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0" w:lineRule="exact"/>
        <w:rPr>
          <w:color w:val="000000" w:themeColor="text1"/>
          <w:sz w:val="28"/>
        </w:rPr>
      </w:pPr>
    </w:p>
    <w:p>
      <w:pPr>
        <w:spacing w:line="360" w:lineRule="auto"/>
        <w:ind w:right="-105" w:rightChars="-50"/>
        <w:jc w:val="left"/>
        <w:rPr>
          <w:rFonts w:hAnsi="宋体"/>
          <w:b/>
          <w:sz w:val="72"/>
          <w:szCs w:val="72"/>
        </w:rPr>
      </w:pPr>
      <w:r>
        <w:rPr>
          <w:rFonts w:hint="eastAsia" w:hAnsi="宋体"/>
          <w:b/>
          <w:sz w:val="72"/>
          <w:szCs w:val="72"/>
        </w:rPr>
        <w:t xml:space="preserve">    </w:t>
      </w:r>
    </w:p>
    <w:p>
      <w:pPr>
        <w:spacing w:line="360" w:lineRule="auto"/>
        <w:ind w:right="-105" w:rightChars="-50"/>
        <w:jc w:val="left"/>
        <w:rPr>
          <w:rFonts w:hAnsi="宋体"/>
          <w:b/>
          <w:sz w:val="72"/>
          <w:szCs w:val="72"/>
        </w:rPr>
      </w:pPr>
    </w:p>
    <w:p>
      <w:pPr>
        <w:spacing w:line="360" w:lineRule="auto"/>
        <w:ind w:right="-105" w:rightChars="-50" w:firstLine="720" w:firstLineChars="100"/>
        <w:jc w:val="left"/>
        <w:rPr>
          <w:rFonts w:hAnsi="宋体"/>
          <w:b/>
          <w:sz w:val="72"/>
          <w:szCs w:val="72"/>
        </w:rPr>
      </w:pPr>
      <w:r>
        <w:rPr>
          <w:rFonts w:hAnsi="宋体"/>
          <w:b/>
          <w:sz w:val="72"/>
          <w:szCs w:val="72"/>
        </w:rPr>
        <w:t>建设项目环境影响报告表</w:t>
      </w:r>
    </w:p>
    <w:p>
      <w:pPr>
        <w:spacing w:beforeLines="50" w:line="360" w:lineRule="auto"/>
        <w:jc w:val="left"/>
        <w:rPr>
          <w:rFonts w:hAnsi="宋体"/>
          <w:b/>
          <w:sz w:val="44"/>
          <w:szCs w:val="44"/>
        </w:rPr>
      </w:pPr>
      <w:r>
        <w:rPr>
          <w:rFonts w:hint="eastAsia" w:hAnsi="宋体"/>
          <w:b/>
          <w:sz w:val="44"/>
          <w:szCs w:val="44"/>
        </w:rPr>
        <w:t xml:space="preserve">               </w:t>
      </w:r>
    </w:p>
    <w:p>
      <w:pPr>
        <w:spacing w:line="360" w:lineRule="auto"/>
        <w:jc w:val="center"/>
        <w:rPr>
          <w:b/>
          <w:bCs/>
          <w:sz w:val="40"/>
          <w:szCs w:val="40"/>
        </w:rPr>
      </w:pPr>
      <w:r>
        <w:rPr>
          <w:rFonts w:hint="eastAsia"/>
          <w:b/>
          <w:bCs/>
          <w:sz w:val="40"/>
          <w:szCs w:val="40"/>
        </w:rPr>
        <w:t xml:space="preserve">  </w:t>
      </w:r>
    </w:p>
    <w:p>
      <w:pPr>
        <w:spacing w:line="360" w:lineRule="auto"/>
        <w:jc w:val="center"/>
        <w:rPr>
          <w:sz w:val="24"/>
        </w:rPr>
      </w:pPr>
    </w:p>
    <w:p>
      <w:pPr>
        <w:spacing w:line="360" w:lineRule="auto"/>
        <w:jc w:val="center"/>
        <w:rPr>
          <w:sz w:val="24"/>
        </w:rPr>
      </w:pPr>
    </w:p>
    <w:p>
      <w:pPr>
        <w:spacing w:line="360" w:lineRule="auto"/>
        <w:jc w:val="center"/>
        <w:rPr>
          <w:sz w:val="24"/>
        </w:rPr>
      </w:pPr>
    </w:p>
    <w:p>
      <w:pPr>
        <w:spacing w:line="360" w:lineRule="auto"/>
        <w:ind w:right="-105" w:rightChars="-50"/>
        <w:rPr>
          <w:rFonts w:hAnsi="宋体"/>
          <w:b/>
          <w:spacing w:val="-9"/>
          <w:sz w:val="30"/>
          <w:szCs w:val="30"/>
        </w:rPr>
      </w:pPr>
    </w:p>
    <w:p>
      <w:pPr>
        <w:spacing w:line="360" w:lineRule="auto"/>
        <w:ind w:right="-105" w:rightChars="-50"/>
        <w:rPr>
          <w:rFonts w:hAnsi="宋体"/>
          <w:b/>
          <w:spacing w:val="-9"/>
          <w:sz w:val="30"/>
          <w:szCs w:val="30"/>
        </w:rPr>
      </w:pPr>
      <w:r>
        <w:rPr>
          <w:rFonts w:hint="eastAsia" w:hAnsi="宋体"/>
          <w:b/>
          <w:spacing w:val="-9"/>
          <w:sz w:val="30"/>
          <w:szCs w:val="30"/>
        </w:rPr>
        <w:t xml:space="preserve">                   </w:t>
      </w:r>
    </w:p>
    <w:p>
      <w:pPr>
        <w:spacing w:line="360" w:lineRule="auto"/>
        <w:ind w:right="-105" w:rightChars="-50"/>
        <w:rPr>
          <w:rFonts w:hAnsi="宋体"/>
          <w:b/>
          <w:spacing w:val="-9"/>
          <w:sz w:val="30"/>
          <w:szCs w:val="30"/>
        </w:rPr>
      </w:pPr>
    </w:p>
    <w:p>
      <w:pPr>
        <w:spacing w:line="360" w:lineRule="auto"/>
        <w:ind w:right="-105" w:rightChars="-50" w:firstLine="640" w:firstLineChars="200"/>
        <w:jc w:val="left"/>
        <w:rPr>
          <w:rFonts w:ascii="宋体" w:hAnsi="宋体" w:cs="宋体"/>
          <w:b/>
          <w:bCs/>
          <w:sz w:val="32"/>
          <w:szCs w:val="21"/>
          <w:u w:val="single"/>
        </w:rPr>
      </w:pPr>
      <w:r>
        <w:rPr>
          <w:rFonts w:hint="eastAsia" w:ascii="宋体" w:hAnsi="宋体" w:cs="宋体"/>
          <w:b/>
          <w:bCs/>
          <w:sz w:val="32"/>
          <w:szCs w:val="21"/>
        </w:rPr>
        <w:t>项目名称：</w:t>
      </w:r>
      <w:r>
        <w:rPr>
          <w:rFonts w:hint="eastAsia" w:ascii="宋体" w:hAnsi="宋体" w:cs="宋体"/>
          <w:b/>
          <w:bCs/>
          <w:sz w:val="32"/>
          <w:szCs w:val="21"/>
          <w:u w:val="single"/>
        </w:rPr>
        <w:t xml:space="preserve">   新乡市顺风船科技有限公司      </w:t>
      </w:r>
    </w:p>
    <w:p>
      <w:pPr>
        <w:spacing w:line="360" w:lineRule="auto"/>
        <w:ind w:right="-105" w:rightChars="-50" w:firstLine="2561" w:firstLineChars="800"/>
        <w:jc w:val="left"/>
        <w:rPr>
          <w:rFonts w:ascii="宋体" w:hAnsi="宋体" w:cs="宋体"/>
          <w:b/>
          <w:bCs/>
          <w:sz w:val="32"/>
          <w:szCs w:val="21"/>
          <w:u w:val="single"/>
        </w:rPr>
      </w:pPr>
      <w:r>
        <w:rPr>
          <w:rFonts w:hint="eastAsia" w:ascii="宋体" w:hAnsi="宋体" w:cs="宋体"/>
          <w:b/>
          <w:bCs/>
          <w:sz w:val="32"/>
          <w:szCs w:val="21"/>
          <w:u w:val="single"/>
        </w:rPr>
        <w:t>年产</w:t>
      </w:r>
      <w:r>
        <w:rPr>
          <w:b/>
          <w:bCs/>
          <w:sz w:val="32"/>
          <w:szCs w:val="21"/>
          <w:u w:val="single"/>
        </w:rPr>
        <w:t>1200</w:t>
      </w:r>
      <w:r>
        <w:rPr>
          <w:rFonts w:hint="eastAsia" w:ascii="宋体" w:hAnsi="宋体" w:cs="宋体"/>
          <w:b/>
          <w:bCs/>
          <w:sz w:val="32"/>
          <w:szCs w:val="21"/>
          <w:u w:val="single"/>
        </w:rPr>
        <w:t xml:space="preserve">吨塑料磁吸门帘项目    </w:t>
      </w:r>
    </w:p>
    <w:p>
      <w:pPr>
        <w:spacing w:line="360" w:lineRule="auto"/>
        <w:ind w:right="-105" w:rightChars="-50"/>
        <w:jc w:val="left"/>
        <w:rPr>
          <w:b/>
          <w:spacing w:val="40"/>
          <w:sz w:val="30"/>
          <w:szCs w:val="30"/>
          <w:u w:val="single"/>
        </w:rPr>
      </w:pPr>
      <w:r>
        <w:rPr>
          <w:rFonts w:hint="eastAsia" w:ascii="宋体" w:hAnsi="宋体" w:cs="宋体"/>
          <w:b/>
          <w:bCs/>
          <w:sz w:val="32"/>
          <w:szCs w:val="21"/>
        </w:rPr>
        <w:t xml:space="preserve">    建设单位：</w:t>
      </w:r>
      <w:r>
        <w:rPr>
          <w:rFonts w:hint="eastAsia" w:ascii="宋体" w:hAnsi="宋体" w:cs="宋体"/>
          <w:b/>
          <w:bCs/>
          <w:sz w:val="32"/>
          <w:szCs w:val="21"/>
          <w:u w:val="single"/>
        </w:rPr>
        <w:t xml:space="preserve">   新乡市顺风船科技有限公司      </w:t>
      </w:r>
    </w:p>
    <w:p>
      <w:pPr>
        <w:spacing w:line="360" w:lineRule="auto"/>
        <w:ind w:right="-105" w:rightChars="-50"/>
        <w:rPr>
          <w:b/>
          <w:spacing w:val="40"/>
          <w:sz w:val="30"/>
          <w:szCs w:val="30"/>
          <w:u w:val="single"/>
        </w:rPr>
      </w:pPr>
    </w:p>
    <w:p>
      <w:pPr>
        <w:spacing w:line="360" w:lineRule="auto"/>
        <w:ind w:right="-105" w:rightChars="-50"/>
        <w:rPr>
          <w:b/>
          <w:spacing w:val="40"/>
          <w:sz w:val="30"/>
          <w:szCs w:val="30"/>
          <w:u w:val="single"/>
        </w:rPr>
      </w:pPr>
    </w:p>
    <w:p>
      <w:pPr>
        <w:spacing w:beforeLines="50" w:line="360" w:lineRule="auto"/>
        <w:rPr>
          <w:rFonts w:hAnsi="宋体"/>
          <w:b/>
          <w:sz w:val="32"/>
          <w:szCs w:val="32"/>
        </w:rPr>
      </w:pPr>
    </w:p>
    <w:p>
      <w:pPr>
        <w:spacing w:beforeLines="50" w:line="360" w:lineRule="auto"/>
        <w:ind w:firstLine="2881" w:firstLineChars="900"/>
        <w:rPr>
          <w:rFonts w:hAnsi="宋体"/>
          <w:b/>
          <w:sz w:val="32"/>
          <w:szCs w:val="32"/>
        </w:rPr>
      </w:pPr>
      <w:r>
        <w:rPr>
          <w:rFonts w:hAnsi="宋体"/>
          <w:b/>
          <w:sz w:val="32"/>
          <w:szCs w:val="32"/>
        </w:rPr>
        <w:t>编制日期：</w:t>
      </w:r>
      <w:r>
        <w:rPr>
          <w:rFonts w:hint="eastAsia" w:hAnsi="宋体"/>
          <w:b/>
          <w:sz w:val="32"/>
          <w:szCs w:val="32"/>
        </w:rPr>
        <w:t>二零二零年九月</w:t>
      </w:r>
    </w:p>
    <w:p>
      <w:pPr>
        <w:spacing w:beforeLines="50" w:line="360" w:lineRule="auto"/>
        <w:jc w:val="center"/>
        <w:rPr>
          <w:sz w:val="28"/>
          <w:szCs w:val="28"/>
        </w:rPr>
      </w:pPr>
      <w:r>
        <w:rPr>
          <w:rFonts w:hint="eastAsia" w:hAnsi="宋体"/>
          <w:b/>
          <w:sz w:val="32"/>
          <w:szCs w:val="32"/>
        </w:rPr>
        <w:t xml:space="preserve">       </w:t>
      </w:r>
    </w:p>
    <w:p>
      <w:pPr>
        <w:widowControl/>
        <w:jc w:val="left"/>
        <w:rPr>
          <w:rFonts w:hAnsi="宋体"/>
          <w:b/>
          <w:color w:val="000000" w:themeColor="text1"/>
          <w:sz w:val="32"/>
          <w:szCs w:val="32"/>
        </w:rPr>
      </w:pPr>
      <w:r>
        <w:rPr>
          <w:rFonts w:hAnsi="宋体"/>
          <w:b/>
          <w:color w:val="000000" w:themeColor="text1"/>
          <w:sz w:val="32"/>
          <w:szCs w:val="32"/>
        </w:rPr>
        <w:br w:type="page"/>
      </w:r>
    </w:p>
    <w:p>
      <w:pPr>
        <w:spacing w:line="500" w:lineRule="exact"/>
        <w:outlineLvl w:val="0"/>
        <w:rPr>
          <w:rFonts w:hAnsi="宋体"/>
          <w:b/>
          <w:color w:val="000000" w:themeColor="text1"/>
          <w:sz w:val="32"/>
          <w:szCs w:val="32"/>
        </w:rPr>
      </w:pPr>
      <w:bookmarkStart w:id="16" w:name="_GoBack"/>
      <w:r>
        <w:rPr>
          <w:rFonts w:hAnsi="宋体"/>
          <w:b/>
          <w:color w:val="000000" w:themeColor="text1"/>
          <w:sz w:val="32"/>
          <w:szCs w:val="32"/>
        </w:rPr>
        <w:drawing>
          <wp:anchor distT="0" distB="0" distL="114300" distR="114300" simplePos="0" relativeHeight="251783168" behindDoc="1" locked="0" layoutInCell="1" allowOverlap="1">
            <wp:simplePos x="0" y="0"/>
            <wp:positionH relativeFrom="column">
              <wp:posOffset>-381000</wp:posOffset>
            </wp:positionH>
            <wp:positionV relativeFrom="paragraph">
              <wp:posOffset>61595</wp:posOffset>
            </wp:positionV>
            <wp:extent cx="6639560" cy="8181975"/>
            <wp:effectExtent l="0" t="0" r="8890" b="9525"/>
            <wp:wrapNone/>
            <wp:docPr id="8" name="图片 7" descr="C:/Users/ADMINI~1/AppData/Local/Temp/picturescale_20200914110854/output_20200914110900.pngoutput_2020091411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C:/Users/ADMINI~1/AppData/Local/Temp/picturescale_20200914110854/output_20200914110900.pngoutput_20200914110900"/>
                    <pic:cNvPicPr>
                      <a:picLocks noChangeAspect="1" noChangeArrowheads="1"/>
                    </pic:cNvPicPr>
                  </pic:nvPicPr>
                  <pic:blipFill>
                    <a:blip r:embed="rId6"/>
                    <a:srcRect/>
                    <a:stretch>
                      <a:fillRect/>
                    </a:stretch>
                  </pic:blipFill>
                  <pic:spPr>
                    <a:xfrm>
                      <a:off x="0" y="0"/>
                      <a:ext cx="6639560" cy="8182099"/>
                    </a:xfrm>
                    <a:prstGeom prst="rect">
                      <a:avLst/>
                    </a:prstGeom>
                    <a:noFill/>
                    <a:ln w="9525">
                      <a:noFill/>
                      <a:miter lim="800000"/>
                      <a:headEnd/>
                      <a:tailEnd/>
                    </a:ln>
                  </pic:spPr>
                </pic:pic>
              </a:graphicData>
            </a:graphic>
          </wp:anchor>
        </w:drawing>
      </w:r>
      <w:bookmarkEnd w:id="16"/>
    </w:p>
    <w:p>
      <w:pPr>
        <w:spacing w:line="500" w:lineRule="exact"/>
        <w:outlineLvl w:val="0"/>
        <w:rPr>
          <w:rFonts w:hAnsi="宋体"/>
          <w:b/>
          <w:color w:val="000000" w:themeColor="text1"/>
          <w:sz w:val="32"/>
          <w:szCs w:val="32"/>
        </w:rPr>
      </w:pPr>
    </w:p>
    <w:p>
      <w:pPr>
        <w:spacing w:line="500" w:lineRule="exact"/>
        <w:outlineLvl w:val="0"/>
        <w:rPr>
          <w:rFonts w:hAnsi="宋体"/>
          <w:b/>
          <w:color w:val="000000" w:themeColor="text1"/>
          <w:sz w:val="32"/>
          <w:szCs w:val="32"/>
        </w:rPr>
      </w:pPr>
    </w:p>
    <w:p>
      <w:pPr>
        <w:spacing w:line="500" w:lineRule="exact"/>
        <w:outlineLvl w:val="0"/>
        <w:rPr>
          <w:rFonts w:hAnsi="宋体"/>
          <w:b/>
          <w:color w:val="000000" w:themeColor="text1"/>
          <w:sz w:val="32"/>
          <w:szCs w:val="32"/>
        </w:rPr>
      </w:pPr>
    </w:p>
    <w:p>
      <w:pPr>
        <w:spacing w:line="500" w:lineRule="exact"/>
        <w:outlineLvl w:val="0"/>
        <w:rPr>
          <w:rFonts w:hAnsi="宋体"/>
          <w:b/>
          <w:color w:val="000000" w:themeColor="text1"/>
          <w:sz w:val="32"/>
          <w:szCs w:val="32"/>
        </w:rPr>
      </w:pPr>
    </w:p>
    <w:p>
      <w:pPr>
        <w:pStyle w:val="2"/>
      </w:pPr>
    </w:p>
    <w:p/>
    <w:p>
      <w:pPr>
        <w:pStyle w:val="2"/>
      </w:pPr>
    </w:p>
    <w:p/>
    <w:p>
      <w:pPr>
        <w:pStyle w:val="2"/>
      </w:pPr>
    </w:p>
    <w:p/>
    <w:p>
      <w:pPr>
        <w:pStyle w:val="2"/>
      </w:pPr>
    </w:p>
    <w:p/>
    <w:p>
      <w:pPr>
        <w:spacing w:line="500" w:lineRule="exact"/>
        <w:outlineLvl w:val="0"/>
        <w:rPr>
          <w:rFonts w:hAnsi="宋体"/>
          <w:b/>
          <w:color w:val="000000" w:themeColor="text1"/>
          <w:sz w:val="32"/>
          <w:szCs w:val="32"/>
        </w:rPr>
      </w:pPr>
    </w:p>
    <w:p>
      <w:pPr>
        <w:widowControl/>
        <w:jc w:val="left"/>
        <w:rPr>
          <w:rFonts w:hAnsi="宋体"/>
          <w:b/>
          <w:color w:val="000000" w:themeColor="text1"/>
          <w:sz w:val="32"/>
          <w:szCs w:val="32"/>
        </w:rPr>
      </w:pPr>
      <w:r>
        <w:rPr>
          <w:rFonts w:hAnsi="宋体"/>
          <w:b/>
          <w:color w:val="000000" w:themeColor="text1"/>
          <w:sz w:val="32"/>
          <w:szCs w:val="32"/>
        </w:rPr>
        <w:br w:type="page"/>
      </w:r>
    </w:p>
    <w:p>
      <w:pPr>
        <w:spacing w:line="500" w:lineRule="exact"/>
        <w:outlineLvl w:val="0"/>
        <w:rPr>
          <w:rFonts w:hAnsi="宋体"/>
          <w:b/>
          <w:color w:val="000000" w:themeColor="text1"/>
          <w:sz w:val="32"/>
          <w:szCs w:val="32"/>
        </w:rPr>
      </w:pPr>
      <w:r>
        <w:rPr>
          <w:rFonts w:hAnsi="宋体"/>
          <w:b/>
          <w:color w:val="000000" w:themeColor="text1"/>
          <w:sz w:val="32"/>
          <w:szCs w:val="32"/>
        </w:rPr>
        <w:drawing>
          <wp:anchor distT="0" distB="0" distL="114300" distR="114300" simplePos="0" relativeHeight="251784192" behindDoc="1" locked="0" layoutInCell="1" allowOverlap="1">
            <wp:simplePos x="0" y="0"/>
            <wp:positionH relativeFrom="column">
              <wp:posOffset>315595</wp:posOffset>
            </wp:positionH>
            <wp:positionV relativeFrom="paragraph">
              <wp:posOffset>-20955</wp:posOffset>
            </wp:positionV>
            <wp:extent cx="4648200" cy="6661785"/>
            <wp:effectExtent l="0" t="0" r="0" b="5715"/>
            <wp:wrapNone/>
            <wp:docPr id="11" name="图片 8" descr="C:/Users/ADMINI~1/AppData/Local/Temp/picturescale_20200914110838/output_20200914110844.pngoutput_2020091411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C:/Users/ADMINI~1/AppData/Local/Temp/picturescale_20200914110838/output_20200914110844.pngoutput_20200914110844"/>
                    <pic:cNvPicPr>
                      <a:picLocks noChangeAspect="1" noChangeArrowheads="1"/>
                    </pic:cNvPicPr>
                  </pic:nvPicPr>
                  <pic:blipFill>
                    <a:blip r:embed="rId7"/>
                    <a:srcRect/>
                    <a:stretch>
                      <a:fillRect/>
                    </a:stretch>
                  </pic:blipFill>
                  <pic:spPr>
                    <a:xfrm>
                      <a:off x="0" y="0"/>
                      <a:ext cx="4648200" cy="6662057"/>
                    </a:xfrm>
                    <a:prstGeom prst="rect">
                      <a:avLst/>
                    </a:prstGeom>
                    <a:noFill/>
                    <a:ln w="9525">
                      <a:noFill/>
                      <a:miter lim="800000"/>
                      <a:headEnd/>
                      <a:tailEnd/>
                    </a:ln>
                  </pic:spPr>
                </pic:pic>
              </a:graphicData>
            </a:graphic>
          </wp:anchor>
        </w:drawing>
      </w:r>
    </w:p>
    <w:p>
      <w:pPr>
        <w:spacing w:line="500" w:lineRule="exact"/>
        <w:outlineLvl w:val="0"/>
        <w:rPr>
          <w:rFonts w:hAnsi="宋体"/>
          <w:b/>
          <w:color w:val="000000" w:themeColor="text1"/>
          <w:sz w:val="32"/>
          <w:szCs w:val="32"/>
        </w:rPr>
      </w:pPr>
    </w:p>
    <w:p>
      <w:pPr>
        <w:spacing w:line="500" w:lineRule="exact"/>
        <w:outlineLvl w:val="0"/>
        <w:rPr>
          <w:rFonts w:hAnsi="宋体"/>
          <w:b/>
          <w:color w:val="000000" w:themeColor="text1"/>
          <w:sz w:val="32"/>
          <w:szCs w:val="32"/>
        </w:rPr>
      </w:pPr>
    </w:p>
    <w:p>
      <w:pPr>
        <w:spacing w:line="500" w:lineRule="exact"/>
        <w:outlineLvl w:val="0"/>
        <w:rPr>
          <w:rFonts w:hAnsi="宋体"/>
          <w:b/>
          <w:color w:val="000000" w:themeColor="text1"/>
          <w:sz w:val="32"/>
          <w:szCs w:val="32"/>
        </w:rPr>
      </w:pPr>
    </w:p>
    <w:p>
      <w:pPr>
        <w:spacing w:line="500" w:lineRule="exact"/>
        <w:outlineLvl w:val="0"/>
        <w:rPr>
          <w:rFonts w:hAnsi="宋体"/>
          <w:b/>
          <w:color w:val="000000" w:themeColor="text1"/>
          <w:sz w:val="32"/>
          <w:szCs w:val="32"/>
        </w:rPr>
      </w:pPr>
    </w:p>
    <w:p>
      <w:pPr>
        <w:spacing w:line="500" w:lineRule="exact"/>
        <w:outlineLvl w:val="0"/>
        <w:rPr>
          <w:rFonts w:hAnsi="宋体"/>
          <w:b/>
          <w:color w:val="000000" w:themeColor="text1"/>
          <w:sz w:val="32"/>
          <w:szCs w:val="32"/>
        </w:rPr>
      </w:pPr>
    </w:p>
    <w:p>
      <w:pPr>
        <w:spacing w:line="500" w:lineRule="exact"/>
        <w:outlineLvl w:val="0"/>
        <w:rPr>
          <w:rFonts w:hAnsi="宋体"/>
          <w:b/>
          <w:color w:val="000000" w:themeColor="text1"/>
          <w:sz w:val="32"/>
          <w:szCs w:val="32"/>
        </w:rPr>
      </w:pPr>
    </w:p>
    <w:p>
      <w:pPr>
        <w:spacing w:line="500" w:lineRule="exact"/>
        <w:outlineLvl w:val="0"/>
        <w:rPr>
          <w:rFonts w:hAnsi="宋体"/>
          <w:b/>
          <w:color w:val="000000" w:themeColor="text1"/>
          <w:sz w:val="32"/>
          <w:szCs w:val="32"/>
        </w:rPr>
      </w:pPr>
    </w:p>
    <w:p>
      <w:pPr>
        <w:spacing w:line="500" w:lineRule="exact"/>
        <w:outlineLvl w:val="0"/>
        <w:rPr>
          <w:rFonts w:hAnsi="宋体"/>
          <w:b/>
          <w:color w:val="000000" w:themeColor="text1"/>
          <w:sz w:val="32"/>
          <w:szCs w:val="32"/>
        </w:rPr>
      </w:pPr>
    </w:p>
    <w:p>
      <w:pPr>
        <w:spacing w:line="500" w:lineRule="exact"/>
        <w:outlineLvl w:val="0"/>
        <w:rPr>
          <w:rFonts w:hAnsi="宋体"/>
          <w:b/>
          <w:color w:val="000000" w:themeColor="text1"/>
          <w:sz w:val="32"/>
          <w:szCs w:val="32"/>
        </w:rPr>
      </w:pPr>
    </w:p>
    <w:p>
      <w:pPr>
        <w:spacing w:line="500" w:lineRule="exact"/>
        <w:outlineLvl w:val="0"/>
        <w:rPr>
          <w:rFonts w:hAnsi="宋体"/>
          <w:b/>
          <w:color w:val="000000" w:themeColor="text1"/>
          <w:sz w:val="32"/>
          <w:szCs w:val="32"/>
        </w:rPr>
      </w:pPr>
    </w:p>
    <w:p>
      <w:pPr>
        <w:spacing w:line="500" w:lineRule="exact"/>
        <w:outlineLvl w:val="0"/>
        <w:rPr>
          <w:rFonts w:hAnsi="宋体"/>
          <w:b/>
          <w:color w:val="000000" w:themeColor="text1"/>
          <w:sz w:val="32"/>
          <w:szCs w:val="32"/>
        </w:rPr>
      </w:pPr>
    </w:p>
    <w:p>
      <w:pPr>
        <w:widowControl/>
        <w:jc w:val="left"/>
        <w:rPr>
          <w:rFonts w:hAnsi="宋体"/>
          <w:b/>
          <w:color w:val="000000" w:themeColor="text1"/>
          <w:sz w:val="32"/>
          <w:szCs w:val="32"/>
        </w:rPr>
      </w:pPr>
      <w:r>
        <w:rPr>
          <w:rFonts w:hAnsi="宋体"/>
          <w:b/>
          <w:color w:val="000000" w:themeColor="text1"/>
          <w:sz w:val="32"/>
          <w:szCs w:val="32"/>
        </w:rPr>
        <w:br w:type="page"/>
      </w:r>
    </w:p>
    <w:p>
      <w:pPr>
        <w:spacing w:line="500" w:lineRule="exact"/>
        <w:outlineLvl w:val="0"/>
        <w:rPr>
          <w:rFonts w:hAnsi="宋体"/>
          <w:b/>
          <w:color w:val="000000" w:themeColor="text1"/>
          <w:sz w:val="32"/>
          <w:szCs w:val="32"/>
        </w:rPr>
      </w:pPr>
      <w:r>
        <w:rPr>
          <w:rFonts w:hAnsi="宋体"/>
          <w:b/>
          <w:color w:val="000000" w:themeColor="text1"/>
          <w:sz w:val="32"/>
          <w:szCs w:val="32"/>
        </w:rPr>
        <w:drawing>
          <wp:anchor distT="0" distB="0" distL="114300" distR="114300" simplePos="0" relativeHeight="251785216" behindDoc="1" locked="0" layoutInCell="1" allowOverlap="1">
            <wp:simplePos x="0" y="0"/>
            <wp:positionH relativeFrom="column">
              <wp:posOffset>-271145</wp:posOffset>
            </wp:positionH>
            <wp:positionV relativeFrom="paragraph">
              <wp:posOffset>50165</wp:posOffset>
            </wp:positionV>
            <wp:extent cx="6219190" cy="8110855"/>
            <wp:effectExtent l="0" t="0" r="10160" b="4445"/>
            <wp:wrapNone/>
            <wp:docPr id="714" name="图片 9" descr="C:/Users/ADMINI~1/AppData/Local/Temp/picturescale_20200914110819/output_20200914110827.pngoutput_20200914110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图片 9" descr="C:/Users/ADMINI~1/AppData/Local/Temp/picturescale_20200914110819/output_20200914110827.pngoutput_20200914110827"/>
                    <pic:cNvPicPr>
                      <a:picLocks noChangeAspect="1" noChangeArrowheads="1"/>
                    </pic:cNvPicPr>
                  </pic:nvPicPr>
                  <pic:blipFill>
                    <a:blip r:embed="rId8"/>
                    <a:srcRect/>
                    <a:stretch>
                      <a:fillRect/>
                    </a:stretch>
                  </pic:blipFill>
                  <pic:spPr>
                    <a:xfrm>
                      <a:off x="0" y="0"/>
                      <a:ext cx="6219190" cy="8110847"/>
                    </a:xfrm>
                    <a:prstGeom prst="rect">
                      <a:avLst/>
                    </a:prstGeom>
                    <a:noFill/>
                    <a:ln w="9525">
                      <a:noFill/>
                      <a:miter lim="800000"/>
                      <a:headEnd/>
                      <a:tailEnd/>
                    </a:ln>
                  </pic:spPr>
                </pic:pic>
              </a:graphicData>
            </a:graphic>
          </wp:anchor>
        </w:drawing>
      </w:r>
    </w:p>
    <w:p>
      <w:pPr>
        <w:spacing w:line="500" w:lineRule="exact"/>
        <w:outlineLvl w:val="0"/>
        <w:rPr>
          <w:rFonts w:hAnsi="宋体"/>
          <w:b/>
          <w:color w:val="000000" w:themeColor="text1"/>
          <w:sz w:val="32"/>
          <w:szCs w:val="32"/>
        </w:rPr>
      </w:pPr>
    </w:p>
    <w:p>
      <w:pPr>
        <w:spacing w:line="500" w:lineRule="exact"/>
        <w:outlineLvl w:val="0"/>
        <w:rPr>
          <w:rFonts w:hAnsi="宋体"/>
          <w:b/>
          <w:color w:val="000000" w:themeColor="text1"/>
          <w:sz w:val="32"/>
          <w:szCs w:val="32"/>
        </w:rPr>
      </w:pPr>
    </w:p>
    <w:p>
      <w:pPr>
        <w:spacing w:line="500" w:lineRule="exact"/>
        <w:outlineLvl w:val="0"/>
        <w:rPr>
          <w:rFonts w:hAnsi="宋体"/>
          <w:b/>
          <w:color w:val="000000" w:themeColor="text1"/>
          <w:sz w:val="32"/>
          <w:szCs w:val="32"/>
        </w:rPr>
      </w:pPr>
    </w:p>
    <w:p>
      <w:pPr>
        <w:spacing w:line="500" w:lineRule="exact"/>
        <w:outlineLvl w:val="0"/>
        <w:rPr>
          <w:rFonts w:hAnsi="宋体"/>
          <w:b/>
          <w:color w:val="000000" w:themeColor="text1"/>
          <w:sz w:val="32"/>
          <w:szCs w:val="32"/>
        </w:rPr>
      </w:pPr>
    </w:p>
    <w:p>
      <w:pPr>
        <w:spacing w:line="500" w:lineRule="exact"/>
        <w:outlineLvl w:val="0"/>
        <w:rPr>
          <w:rFonts w:hAnsi="宋体"/>
          <w:b/>
          <w:color w:val="000000" w:themeColor="text1"/>
          <w:sz w:val="32"/>
          <w:szCs w:val="32"/>
        </w:rPr>
      </w:pPr>
    </w:p>
    <w:p>
      <w:pPr>
        <w:spacing w:line="500" w:lineRule="exact"/>
        <w:outlineLvl w:val="0"/>
        <w:rPr>
          <w:rFonts w:hAnsi="宋体"/>
          <w:b/>
          <w:color w:val="000000" w:themeColor="text1"/>
          <w:sz w:val="32"/>
          <w:szCs w:val="32"/>
        </w:rPr>
      </w:pPr>
    </w:p>
    <w:p>
      <w:pPr>
        <w:spacing w:line="500" w:lineRule="exact"/>
        <w:outlineLvl w:val="0"/>
        <w:rPr>
          <w:rFonts w:hAnsi="宋体"/>
          <w:b/>
          <w:color w:val="000000" w:themeColor="text1"/>
          <w:sz w:val="32"/>
          <w:szCs w:val="32"/>
        </w:rPr>
      </w:pPr>
    </w:p>
    <w:p>
      <w:pPr>
        <w:spacing w:line="500" w:lineRule="exact"/>
        <w:outlineLvl w:val="0"/>
        <w:rPr>
          <w:rFonts w:hAnsi="宋体"/>
          <w:b/>
          <w:color w:val="000000" w:themeColor="text1"/>
          <w:sz w:val="32"/>
          <w:szCs w:val="32"/>
        </w:rPr>
      </w:pPr>
    </w:p>
    <w:p>
      <w:pPr>
        <w:spacing w:line="500" w:lineRule="exact"/>
        <w:outlineLvl w:val="0"/>
        <w:rPr>
          <w:rFonts w:hAnsi="宋体"/>
          <w:b/>
          <w:color w:val="000000" w:themeColor="text1"/>
          <w:sz w:val="32"/>
          <w:szCs w:val="32"/>
        </w:rPr>
      </w:pPr>
    </w:p>
    <w:p>
      <w:pPr>
        <w:spacing w:line="500" w:lineRule="exact"/>
        <w:outlineLvl w:val="0"/>
        <w:rPr>
          <w:rFonts w:hAnsi="宋体"/>
          <w:b/>
          <w:color w:val="000000" w:themeColor="text1"/>
          <w:sz w:val="32"/>
          <w:szCs w:val="32"/>
        </w:rPr>
      </w:pPr>
    </w:p>
    <w:p>
      <w:pPr>
        <w:widowControl/>
        <w:jc w:val="left"/>
        <w:rPr>
          <w:rFonts w:hAnsi="宋体"/>
          <w:b/>
          <w:color w:val="000000" w:themeColor="text1"/>
          <w:sz w:val="32"/>
          <w:szCs w:val="32"/>
        </w:rPr>
      </w:pPr>
      <w:r>
        <w:rPr>
          <w:rFonts w:hAnsi="宋体"/>
          <w:b/>
          <w:color w:val="000000" w:themeColor="text1"/>
          <w:sz w:val="32"/>
          <w:szCs w:val="32"/>
        </w:rPr>
        <w:br w:type="page"/>
      </w:r>
    </w:p>
    <w:p>
      <w:pPr>
        <w:spacing w:line="500" w:lineRule="exact"/>
        <w:outlineLvl w:val="0"/>
        <w:rPr>
          <w:rFonts w:hAnsi="宋体"/>
          <w:b/>
          <w:color w:val="000000" w:themeColor="text1"/>
          <w:sz w:val="32"/>
          <w:szCs w:val="32"/>
        </w:rPr>
      </w:pPr>
      <w:r>
        <w:rPr>
          <w:rFonts w:hAnsi="宋体"/>
          <w:b/>
          <w:color w:val="000000" w:themeColor="text1"/>
          <w:sz w:val="32"/>
          <w:szCs w:val="32"/>
        </w:rPr>
        <w:drawing>
          <wp:anchor distT="0" distB="0" distL="114300" distR="114300" simplePos="0" relativeHeight="251786240" behindDoc="1" locked="0" layoutInCell="1" allowOverlap="1">
            <wp:simplePos x="0" y="0"/>
            <wp:positionH relativeFrom="column">
              <wp:posOffset>-448945</wp:posOffset>
            </wp:positionH>
            <wp:positionV relativeFrom="paragraph">
              <wp:posOffset>-329565</wp:posOffset>
            </wp:positionV>
            <wp:extent cx="6706870" cy="9060815"/>
            <wp:effectExtent l="0" t="0" r="17780" b="6985"/>
            <wp:wrapNone/>
            <wp:docPr id="715" name="图片 10" descr="C:/Users/ADMINI~1/AppData/Local/Temp/picturescale_20200914110800/output_20200914110808.pngoutput_2020091411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图片 10" descr="C:/Users/ADMINI~1/AppData/Local/Temp/picturescale_20200914110800/output_20200914110808.pngoutput_20200914110808"/>
                    <pic:cNvPicPr>
                      <a:picLocks noChangeAspect="1" noChangeArrowheads="1"/>
                    </pic:cNvPicPr>
                  </pic:nvPicPr>
                  <pic:blipFill>
                    <a:blip r:embed="rId9"/>
                    <a:srcRect/>
                    <a:stretch>
                      <a:fillRect/>
                    </a:stretch>
                  </pic:blipFill>
                  <pic:spPr>
                    <a:xfrm>
                      <a:off x="0" y="0"/>
                      <a:ext cx="6706870" cy="9060872"/>
                    </a:xfrm>
                    <a:prstGeom prst="rect">
                      <a:avLst/>
                    </a:prstGeom>
                    <a:noFill/>
                    <a:ln w="9525">
                      <a:noFill/>
                      <a:miter lim="800000"/>
                      <a:headEnd/>
                      <a:tailEnd/>
                    </a:ln>
                  </pic:spPr>
                </pic:pic>
              </a:graphicData>
            </a:graphic>
          </wp:anchor>
        </w:drawing>
      </w:r>
    </w:p>
    <w:p>
      <w:pPr>
        <w:spacing w:line="500" w:lineRule="exact"/>
        <w:outlineLvl w:val="0"/>
        <w:rPr>
          <w:rFonts w:hAnsi="宋体"/>
          <w:b/>
          <w:color w:val="000000" w:themeColor="text1"/>
          <w:sz w:val="32"/>
          <w:szCs w:val="32"/>
        </w:rPr>
      </w:pPr>
    </w:p>
    <w:p>
      <w:pPr>
        <w:spacing w:line="500" w:lineRule="exact"/>
        <w:outlineLvl w:val="0"/>
        <w:rPr>
          <w:rFonts w:hAnsi="宋体"/>
          <w:b/>
          <w:color w:val="000000" w:themeColor="text1"/>
          <w:sz w:val="32"/>
          <w:szCs w:val="32"/>
        </w:rPr>
      </w:pPr>
    </w:p>
    <w:p>
      <w:pPr>
        <w:spacing w:line="500" w:lineRule="exact"/>
        <w:outlineLvl w:val="0"/>
        <w:rPr>
          <w:rFonts w:hAnsi="宋体"/>
          <w:b/>
          <w:color w:val="000000" w:themeColor="text1"/>
          <w:sz w:val="32"/>
          <w:szCs w:val="32"/>
        </w:rPr>
      </w:pPr>
    </w:p>
    <w:p>
      <w:pPr>
        <w:spacing w:line="500" w:lineRule="exact"/>
        <w:outlineLvl w:val="0"/>
        <w:rPr>
          <w:rFonts w:hAnsi="宋体"/>
          <w:b/>
          <w:color w:val="000000" w:themeColor="text1"/>
          <w:sz w:val="32"/>
          <w:szCs w:val="32"/>
        </w:rPr>
      </w:pPr>
    </w:p>
    <w:p>
      <w:pPr>
        <w:spacing w:line="500" w:lineRule="exact"/>
        <w:outlineLvl w:val="0"/>
        <w:rPr>
          <w:rFonts w:hAnsi="宋体"/>
          <w:b/>
          <w:color w:val="000000" w:themeColor="text1"/>
          <w:sz w:val="32"/>
          <w:szCs w:val="32"/>
        </w:rPr>
      </w:pPr>
    </w:p>
    <w:p>
      <w:pPr>
        <w:spacing w:line="500" w:lineRule="exact"/>
        <w:outlineLvl w:val="0"/>
        <w:rPr>
          <w:rFonts w:hAnsi="宋体"/>
          <w:b/>
          <w:color w:val="000000" w:themeColor="text1"/>
          <w:sz w:val="32"/>
          <w:szCs w:val="32"/>
        </w:rPr>
      </w:pPr>
    </w:p>
    <w:p>
      <w:pPr>
        <w:spacing w:line="500" w:lineRule="exact"/>
        <w:outlineLvl w:val="0"/>
        <w:rPr>
          <w:rFonts w:hAnsi="宋体"/>
          <w:b/>
          <w:color w:val="000000" w:themeColor="text1"/>
          <w:sz w:val="32"/>
          <w:szCs w:val="32"/>
        </w:rPr>
      </w:pPr>
    </w:p>
    <w:p>
      <w:pPr>
        <w:spacing w:line="500" w:lineRule="exact"/>
        <w:outlineLvl w:val="0"/>
        <w:rPr>
          <w:rFonts w:hAnsi="宋体"/>
          <w:b/>
          <w:color w:val="000000" w:themeColor="text1"/>
          <w:sz w:val="32"/>
          <w:szCs w:val="32"/>
        </w:rPr>
      </w:pPr>
    </w:p>
    <w:p>
      <w:pPr>
        <w:spacing w:line="500" w:lineRule="exact"/>
        <w:outlineLvl w:val="0"/>
        <w:rPr>
          <w:rFonts w:hAnsi="宋体"/>
          <w:b/>
          <w:color w:val="000000" w:themeColor="text1"/>
          <w:sz w:val="32"/>
          <w:szCs w:val="32"/>
        </w:rPr>
      </w:pPr>
    </w:p>
    <w:p>
      <w:pPr>
        <w:spacing w:line="500" w:lineRule="exact"/>
        <w:outlineLvl w:val="0"/>
        <w:rPr>
          <w:rFonts w:hAnsi="宋体"/>
          <w:b/>
          <w:color w:val="000000" w:themeColor="text1"/>
          <w:sz w:val="32"/>
          <w:szCs w:val="32"/>
        </w:rPr>
      </w:pPr>
    </w:p>
    <w:p>
      <w:pPr>
        <w:widowControl/>
        <w:jc w:val="left"/>
        <w:rPr>
          <w:rFonts w:hAnsi="宋体"/>
          <w:b/>
          <w:color w:val="000000" w:themeColor="text1"/>
          <w:sz w:val="32"/>
          <w:szCs w:val="32"/>
        </w:rPr>
      </w:pPr>
      <w:r>
        <w:rPr>
          <w:rFonts w:hAnsi="宋体"/>
          <w:b/>
          <w:color w:val="000000" w:themeColor="text1"/>
          <w:sz w:val="32"/>
          <w:szCs w:val="32"/>
        </w:rPr>
        <w:br w:type="page"/>
      </w:r>
    </w:p>
    <w:p>
      <w:pPr>
        <w:spacing w:line="500" w:lineRule="exact"/>
        <w:outlineLvl w:val="0"/>
        <w:rPr>
          <w:b/>
          <w:color w:val="000000" w:themeColor="text1"/>
          <w:sz w:val="32"/>
          <w:szCs w:val="32"/>
        </w:rPr>
      </w:pPr>
      <w:r>
        <w:rPr>
          <w:rFonts w:hint="eastAsia" w:hAnsi="宋体"/>
          <w:b/>
          <w:color w:val="000000" w:themeColor="text1"/>
          <w:sz w:val="32"/>
          <w:szCs w:val="32"/>
        </w:rPr>
        <w:t>建设项目基本情况</w:t>
      </w:r>
    </w:p>
    <w:tbl>
      <w:tblPr>
        <w:tblStyle w:val="2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57" w:type="dxa"/>
          <w:bottom w:w="0" w:type="dxa"/>
          <w:right w:w="57" w:type="dxa"/>
        </w:tblCellMar>
      </w:tblPr>
      <w:tblGrid>
        <w:gridCol w:w="1259"/>
        <w:gridCol w:w="1417"/>
        <w:gridCol w:w="1428"/>
        <w:gridCol w:w="1241"/>
        <w:gridCol w:w="1950"/>
        <w:gridCol w:w="189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75" w:hRule="atLeast"/>
          <w:jc w:val="center"/>
        </w:trPr>
        <w:tc>
          <w:tcPr>
            <w:tcW w:w="1346" w:type="dxa"/>
            <w:vAlign w:val="center"/>
          </w:tcPr>
          <w:p>
            <w:pPr>
              <w:spacing w:line="400" w:lineRule="exact"/>
              <w:jc w:val="center"/>
              <w:rPr>
                <w:rFonts w:ascii="Times New Roman" w:hAnsi="Times New Roman" w:eastAsia="宋体"/>
                <w:color w:val="000000" w:themeColor="text1"/>
                <w:sz w:val="24"/>
              </w:rPr>
            </w:pPr>
            <w:r>
              <w:rPr>
                <w:rFonts w:ascii="Times New Roman" w:hAnsi="Times New Roman" w:eastAsia="宋体"/>
                <w:color w:val="000000" w:themeColor="text1"/>
                <w:sz w:val="24"/>
              </w:rPr>
              <w:t>项目名称</w:t>
            </w:r>
          </w:p>
        </w:tc>
        <w:tc>
          <w:tcPr>
            <w:tcW w:w="7840" w:type="dxa"/>
            <w:gridSpan w:val="5"/>
            <w:vAlign w:val="center"/>
          </w:tcPr>
          <w:p>
            <w:pPr>
              <w:jc w:val="center"/>
              <w:rPr>
                <w:rFonts w:ascii="Times New Roman" w:hAnsi="Times New Roman" w:eastAsia="宋体"/>
                <w:color w:val="000000" w:themeColor="text1"/>
                <w:sz w:val="24"/>
              </w:rPr>
            </w:pPr>
            <w:r>
              <w:rPr>
                <w:rFonts w:hint="eastAsia" w:ascii="Times New Roman" w:hAnsi="Times New Roman" w:eastAsia="宋体"/>
                <w:bCs/>
                <w:color w:val="000000" w:themeColor="text1"/>
                <w:sz w:val="24"/>
              </w:rPr>
              <w:t>新乡市顺风船科技有限公司年产1200吨塑料磁吸门帘</w:t>
            </w:r>
            <w:r>
              <w:rPr>
                <w:rFonts w:ascii="Times New Roman" w:hAnsi="Times New Roman" w:eastAsia="宋体"/>
                <w:bCs/>
                <w:color w:val="000000" w:themeColor="text1"/>
                <w:sz w:val="24"/>
              </w:rPr>
              <w:t>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233" w:hRule="atLeast"/>
          <w:jc w:val="center"/>
        </w:trPr>
        <w:tc>
          <w:tcPr>
            <w:tcW w:w="1346" w:type="dxa"/>
            <w:vAlign w:val="center"/>
          </w:tcPr>
          <w:p>
            <w:pPr>
              <w:spacing w:line="400" w:lineRule="exact"/>
              <w:jc w:val="center"/>
              <w:rPr>
                <w:rFonts w:ascii="Times New Roman" w:hAnsi="Times New Roman" w:eastAsia="宋体"/>
                <w:color w:val="000000" w:themeColor="text1"/>
                <w:sz w:val="24"/>
              </w:rPr>
            </w:pPr>
            <w:r>
              <w:rPr>
                <w:rFonts w:ascii="Times New Roman" w:hAnsi="Times New Roman" w:eastAsia="宋体"/>
                <w:color w:val="000000" w:themeColor="text1"/>
                <w:sz w:val="24"/>
              </w:rPr>
              <w:t>建设单位</w:t>
            </w:r>
          </w:p>
        </w:tc>
        <w:tc>
          <w:tcPr>
            <w:tcW w:w="7840" w:type="dxa"/>
            <w:gridSpan w:val="5"/>
            <w:vAlign w:val="center"/>
          </w:tcPr>
          <w:p>
            <w:pPr>
              <w:spacing w:line="400" w:lineRule="exact"/>
              <w:jc w:val="center"/>
              <w:rPr>
                <w:rFonts w:ascii="Times New Roman" w:hAnsi="Times New Roman" w:eastAsia="宋体"/>
                <w:color w:val="000000" w:themeColor="text1"/>
                <w:sz w:val="24"/>
              </w:rPr>
            </w:pPr>
            <w:r>
              <w:rPr>
                <w:rFonts w:hint="eastAsia" w:ascii="Times New Roman" w:hAnsi="Times New Roman" w:eastAsia="宋体"/>
                <w:bCs/>
                <w:color w:val="000000" w:themeColor="text1"/>
                <w:sz w:val="24"/>
              </w:rPr>
              <w:t>新乡市顺风船科技有限公司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63" w:hRule="atLeast"/>
          <w:jc w:val="center"/>
        </w:trPr>
        <w:tc>
          <w:tcPr>
            <w:tcW w:w="1346" w:type="dxa"/>
            <w:vAlign w:val="center"/>
          </w:tcPr>
          <w:p>
            <w:pPr>
              <w:spacing w:line="400" w:lineRule="exact"/>
              <w:jc w:val="center"/>
              <w:rPr>
                <w:rFonts w:ascii="Times New Roman" w:hAnsi="Times New Roman" w:eastAsia="宋体"/>
                <w:color w:val="000000" w:themeColor="text1"/>
                <w:sz w:val="24"/>
              </w:rPr>
            </w:pPr>
            <w:r>
              <w:rPr>
                <w:rFonts w:ascii="Times New Roman" w:hAnsi="Times New Roman" w:eastAsia="宋体"/>
                <w:color w:val="000000" w:themeColor="text1"/>
                <w:sz w:val="24"/>
              </w:rPr>
              <w:t>法人代表</w:t>
            </w:r>
          </w:p>
        </w:tc>
        <w:tc>
          <w:tcPr>
            <w:tcW w:w="3437" w:type="dxa"/>
            <w:gridSpan w:val="2"/>
            <w:vAlign w:val="center"/>
          </w:tcPr>
          <w:p>
            <w:pPr>
              <w:jc w:val="center"/>
              <w:rPr>
                <w:rFonts w:ascii="Times New Roman" w:hAnsi="Times New Roman" w:eastAsia="宋体"/>
                <w:color w:val="000000" w:themeColor="text1"/>
                <w:sz w:val="24"/>
                <w:highlight w:val="yellow"/>
              </w:rPr>
            </w:pPr>
            <w:r>
              <w:rPr>
                <w:rFonts w:hint="eastAsia" w:ascii="Times New Roman" w:hAnsi="Times New Roman" w:eastAsia="宋体"/>
                <w:color w:val="000000" w:themeColor="text1"/>
                <w:sz w:val="24"/>
              </w:rPr>
              <w:t>张德杰</w:t>
            </w:r>
          </w:p>
        </w:tc>
        <w:tc>
          <w:tcPr>
            <w:tcW w:w="1318" w:type="dxa"/>
            <w:vAlign w:val="center"/>
          </w:tcPr>
          <w:p>
            <w:pPr>
              <w:jc w:val="center"/>
              <w:rPr>
                <w:rFonts w:ascii="Times New Roman" w:hAnsi="Times New Roman" w:eastAsia="宋体"/>
                <w:color w:val="000000" w:themeColor="text1"/>
                <w:sz w:val="24"/>
                <w:highlight w:val="yellow"/>
              </w:rPr>
            </w:pPr>
            <w:r>
              <w:rPr>
                <w:rFonts w:ascii="Times New Roman" w:hAnsi="Times New Roman" w:eastAsia="宋体"/>
                <w:color w:val="000000" w:themeColor="text1"/>
                <w:sz w:val="24"/>
              </w:rPr>
              <w:t>联系人</w:t>
            </w:r>
          </w:p>
        </w:tc>
        <w:tc>
          <w:tcPr>
            <w:tcW w:w="3085" w:type="dxa"/>
            <w:gridSpan w:val="2"/>
            <w:vAlign w:val="center"/>
          </w:tcPr>
          <w:p>
            <w:pPr>
              <w:jc w:val="center"/>
              <w:rPr>
                <w:rFonts w:ascii="Times New Roman" w:hAnsi="Times New Roman" w:eastAsia="宋体"/>
                <w:color w:val="000000" w:themeColor="text1"/>
                <w:sz w:val="24"/>
                <w:highlight w:val="yellow"/>
              </w:rPr>
            </w:pPr>
            <w:r>
              <w:rPr>
                <w:rFonts w:hint="eastAsia" w:ascii="Times New Roman" w:hAnsi="Times New Roman" w:eastAsia="宋体"/>
                <w:color w:val="000000" w:themeColor="text1"/>
                <w:sz w:val="24"/>
              </w:rPr>
              <w:t>张德杰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61" w:hRule="atLeast"/>
          <w:jc w:val="center"/>
        </w:trPr>
        <w:tc>
          <w:tcPr>
            <w:tcW w:w="1346" w:type="dxa"/>
            <w:vAlign w:val="center"/>
          </w:tcPr>
          <w:p>
            <w:pPr>
              <w:spacing w:line="400" w:lineRule="exact"/>
              <w:jc w:val="center"/>
              <w:rPr>
                <w:rFonts w:ascii="Times New Roman" w:hAnsi="Times New Roman" w:eastAsia="宋体"/>
                <w:color w:val="000000" w:themeColor="text1"/>
                <w:sz w:val="24"/>
              </w:rPr>
            </w:pPr>
            <w:r>
              <w:rPr>
                <w:rFonts w:ascii="Times New Roman" w:hAnsi="Times New Roman" w:eastAsia="宋体"/>
                <w:color w:val="000000" w:themeColor="text1"/>
                <w:sz w:val="24"/>
              </w:rPr>
              <w:t>通讯地址</w:t>
            </w:r>
          </w:p>
        </w:tc>
        <w:tc>
          <w:tcPr>
            <w:tcW w:w="7840" w:type="dxa"/>
            <w:gridSpan w:val="5"/>
            <w:vAlign w:val="center"/>
          </w:tcPr>
          <w:p>
            <w:pPr>
              <w:spacing w:line="400" w:lineRule="exact"/>
              <w:jc w:val="center"/>
              <w:rPr>
                <w:rFonts w:ascii="Times New Roman" w:hAnsi="Times New Roman" w:eastAsia="宋体"/>
                <w:color w:val="000000" w:themeColor="text1"/>
                <w:sz w:val="24"/>
              </w:rPr>
            </w:pPr>
            <w:r>
              <w:rPr>
                <w:rFonts w:ascii="Times New Roman" w:hAnsi="Times New Roman" w:eastAsia="宋体"/>
                <w:bCs/>
                <w:color w:val="000000" w:themeColor="text1"/>
                <w:sz w:val="24"/>
              </w:rPr>
              <w:t>新乡市新乡县七里营镇</w:t>
            </w:r>
            <w:r>
              <w:rPr>
                <w:rFonts w:hint="eastAsia" w:ascii="Times New Roman" w:hAnsi="Times New Roman" w:eastAsia="宋体"/>
                <w:bCs/>
                <w:color w:val="000000" w:themeColor="text1"/>
                <w:sz w:val="24"/>
              </w:rPr>
              <w:t>107国道与胡韦线交叉口中原兴业产业园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60" w:hRule="atLeast"/>
          <w:jc w:val="center"/>
        </w:trPr>
        <w:tc>
          <w:tcPr>
            <w:tcW w:w="1346" w:type="dxa"/>
            <w:vAlign w:val="center"/>
          </w:tcPr>
          <w:p>
            <w:pPr>
              <w:jc w:val="center"/>
              <w:rPr>
                <w:rFonts w:ascii="Times New Roman" w:hAnsi="Times New Roman" w:eastAsia="宋体"/>
                <w:color w:val="000000" w:themeColor="text1"/>
                <w:sz w:val="24"/>
              </w:rPr>
            </w:pPr>
            <w:r>
              <w:rPr>
                <w:rFonts w:ascii="Times New Roman" w:hAnsi="Times New Roman" w:eastAsia="宋体"/>
                <w:color w:val="000000" w:themeColor="text1"/>
                <w:sz w:val="24"/>
              </w:rPr>
              <w:t>联系电话</w:t>
            </w:r>
          </w:p>
        </w:tc>
        <w:tc>
          <w:tcPr>
            <w:tcW w:w="1830" w:type="dxa"/>
            <w:vAlign w:val="center"/>
          </w:tcPr>
          <w:p>
            <w:pPr>
              <w:jc w:val="center"/>
              <w:rPr>
                <w:rFonts w:ascii="Times New Roman" w:hAnsi="Times New Roman" w:eastAsia="宋体"/>
                <w:color w:val="000000" w:themeColor="text1"/>
                <w:sz w:val="24"/>
              </w:rPr>
            </w:pPr>
          </w:p>
        </w:tc>
        <w:tc>
          <w:tcPr>
            <w:tcW w:w="1607" w:type="dxa"/>
            <w:vAlign w:val="center"/>
          </w:tcPr>
          <w:p>
            <w:pPr>
              <w:jc w:val="center"/>
              <w:rPr>
                <w:rFonts w:ascii="Times New Roman" w:hAnsi="Times New Roman" w:eastAsia="宋体"/>
                <w:color w:val="000000" w:themeColor="text1"/>
                <w:sz w:val="24"/>
              </w:rPr>
            </w:pPr>
            <w:r>
              <w:rPr>
                <w:rFonts w:ascii="Times New Roman" w:hAnsi="Times New Roman" w:eastAsia="宋体"/>
                <w:color w:val="000000" w:themeColor="text1"/>
                <w:sz w:val="24"/>
              </w:rPr>
              <w:t>传  真</w:t>
            </w:r>
          </w:p>
        </w:tc>
        <w:tc>
          <w:tcPr>
            <w:tcW w:w="1318" w:type="dxa"/>
            <w:vAlign w:val="center"/>
          </w:tcPr>
          <w:p>
            <w:pPr>
              <w:jc w:val="center"/>
              <w:rPr>
                <w:rFonts w:ascii="Times New Roman" w:hAnsi="Times New Roman" w:eastAsia="宋体"/>
                <w:color w:val="000000" w:themeColor="text1"/>
                <w:sz w:val="24"/>
              </w:rPr>
            </w:pPr>
            <w:r>
              <w:rPr>
                <w:rFonts w:ascii="Times New Roman" w:hAnsi="Times New Roman" w:eastAsia="宋体"/>
                <w:color w:val="000000" w:themeColor="text1"/>
                <w:sz w:val="24"/>
              </w:rPr>
              <w:t>/</w:t>
            </w:r>
          </w:p>
        </w:tc>
        <w:tc>
          <w:tcPr>
            <w:tcW w:w="1580" w:type="dxa"/>
            <w:vAlign w:val="center"/>
          </w:tcPr>
          <w:p>
            <w:pPr>
              <w:jc w:val="center"/>
              <w:rPr>
                <w:rFonts w:ascii="Times New Roman" w:hAnsi="Times New Roman" w:eastAsia="宋体"/>
                <w:color w:val="000000" w:themeColor="text1"/>
                <w:sz w:val="24"/>
              </w:rPr>
            </w:pPr>
            <w:r>
              <w:rPr>
                <w:rFonts w:ascii="Times New Roman" w:hAnsi="Times New Roman" w:eastAsia="宋体"/>
                <w:color w:val="000000" w:themeColor="text1"/>
                <w:sz w:val="24"/>
              </w:rPr>
              <w:t>邮政编码</w:t>
            </w:r>
          </w:p>
        </w:tc>
        <w:tc>
          <w:tcPr>
            <w:tcW w:w="1505" w:type="dxa"/>
            <w:vAlign w:val="center"/>
          </w:tcPr>
          <w:p>
            <w:pPr>
              <w:jc w:val="center"/>
              <w:rPr>
                <w:rFonts w:ascii="Times New Roman" w:hAnsi="Times New Roman" w:eastAsia="宋体"/>
                <w:color w:val="000000" w:themeColor="text1"/>
                <w:sz w:val="24"/>
              </w:rPr>
            </w:pPr>
            <w:r>
              <w:rPr>
                <w:rFonts w:ascii="Times New Roman" w:hAnsi="Times New Roman" w:eastAsia="宋体"/>
                <w:color w:val="000000" w:themeColor="text1"/>
                <w:sz w:val="24"/>
              </w:rPr>
              <w:t>453</w:t>
            </w:r>
            <w:r>
              <w:rPr>
                <w:rFonts w:hint="eastAsia" w:ascii="Times New Roman" w:hAnsi="Times New Roman" w:eastAsia="宋体"/>
                <w:color w:val="000000" w:themeColor="text1"/>
                <w:sz w:val="24"/>
              </w:rPr>
              <w:t>7</w:t>
            </w:r>
            <w:r>
              <w:rPr>
                <w:rFonts w:ascii="Times New Roman" w:hAnsi="Times New Roman" w:eastAsia="宋体"/>
                <w:color w:val="000000" w:themeColor="text1"/>
                <w:sz w:val="24"/>
              </w:rPr>
              <w:t>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06" w:hRule="atLeast"/>
          <w:jc w:val="center"/>
        </w:trPr>
        <w:tc>
          <w:tcPr>
            <w:tcW w:w="1346" w:type="dxa"/>
            <w:vAlign w:val="center"/>
          </w:tcPr>
          <w:p>
            <w:pPr>
              <w:spacing w:line="400" w:lineRule="exact"/>
              <w:jc w:val="center"/>
              <w:rPr>
                <w:rFonts w:ascii="Times New Roman" w:hAnsi="Times New Roman" w:eastAsia="宋体"/>
                <w:color w:val="000000" w:themeColor="text1"/>
                <w:sz w:val="24"/>
              </w:rPr>
            </w:pPr>
            <w:r>
              <w:rPr>
                <w:rFonts w:ascii="Times New Roman" w:hAnsi="Times New Roman" w:eastAsia="宋体"/>
                <w:color w:val="000000" w:themeColor="text1"/>
                <w:sz w:val="24"/>
              </w:rPr>
              <w:t>建设地点</w:t>
            </w:r>
          </w:p>
        </w:tc>
        <w:tc>
          <w:tcPr>
            <w:tcW w:w="7840" w:type="dxa"/>
            <w:gridSpan w:val="5"/>
            <w:vAlign w:val="center"/>
          </w:tcPr>
          <w:p>
            <w:pPr>
              <w:spacing w:line="400" w:lineRule="exact"/>
              <w:jc w:val="center"/>
              <w:rPr>
                <w:rFonts w:ascii="Times New Roman" w:hAnsi="Times New Roman" w:eastAsia="宋体"/>
                <w:color w:val="000000" w:themeColor="text1"/>
                <w:sz w:val="24"/>
              </w:rPr>
            </w:pPr>
            <w:r>
              <w:rPr>
                <w:rFonts w:ascii="Times New Roman" w:hAnsi="Times New Roman" w:eastAsia="宋体"/>
                <w:bCs/>
                <w:color w:val="000000" w:themeColor="text1"/>
                <w:sz w:val="24"/>
              </w:rPr>
              <w:t>新乡市新乡县七里营镇</w:t>
            </w:r>
            <w:r>
              <w:rPr>
                <w:rFonts w:hint="eastAsia" w:ascii="Times New Roman" w:hAnsi="Times New Roman" w:eastAsia="宋体"/>
                <w:bCs/>
                <w:color w:val="000000" w:themeColor="text1"/>
                <w:sz w:val="24"/>
              </w:rPr>
              <w:t>107国道与胡韦线交叉口中原兴业产业园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510" w:hRule="atLeast"/>
          <w:jc w:val="center"/>
        </w:trPr>
        <w:tc>
          <w:tcPr>
            <w:tcW w:w="1346" w:type="dxa"/>
            <w:vAlign w:val="center"/>
          </w:tcPr>
          <w:p>
            <w:pPr>
              <w:jc w:val="center"/>
              <w:rPr>
                <w:rFonts w:ascii="Times New Roman" w:hAnsi="Times New Roman" w:eastAsia="宋体"/>
                <w:color w:val="000000" w:themeColor="text1"/>
                <w:sz w:val="24"/>
              </w:rPr>
            </w:pPr>
            <w:r>
              <w:rPr>
                <w:rFonts w:ascii="Times New Roman" w:hAnsi="Times New Roman" w:eastAsia="宋体"/>
                <w:color w:val="000000" w:themeColor="text1"/>
                <w:sz w:val="24"/>
              </w:rPr>
              <w:t>立项审批</w:t>
            </w:r>
          </w:p>
          <w:p>
            <w:pPr>
              <w:jc w:val="center"/>
              <w:rPr>
                <w:rFonts w:ascii="Times New Roman" w:hAnsi="Times New Roman" w:eastAsia="宋体"/>
                <w:color w:val="000000" w:themeColor="text1"/>
                <w:sz w:val="24"/>
              </w:rPr>
            </w:pPr>
            <w:r>
              <w:rPr>
                <w:rFonts w:ascii="Times New Roman" w:hAnsi="Times New Roman" w:eastAsia="宋体"/>
                <w:color w:val="000000" w:themeColor="text1"/>
                <w:sz w:val="24"/>
              </w:rPr>
              <w:t>部门</w:t>
            </w:r>
          </w:p>
        </w:tc>
        <w:tc>
          <w:tcPr>
            <w:tcW w:w="3437" w:type="dxa"/>
            <w:gridSpan w:val="2"/>
            <w:vAlign w:val="center"/>
          </w:tcPr>
          <w:p>
            <w:pPr>
              <w:jc w:val="center"/>
              <w:rPr>
                <w:rFonts w:ascii="Times New Roman" w:hAnsi="Times New Roman" w:eastAsia="宋体"/>
                <w:color w:val="000000" w:themeColor="text1"/>
                <w:sz w:val="24"/>
              </w:rPr>
            </w:pPr>
            <w:r>
              <w:rPr>
                <w:rFonts w:ascii="Times New Roman" w:hAnsi="Times New Roman" w:eastAsia="宋体"/>
                <w:color w:val="000000" w:themeColor="text1"/>
                <w:sz w:val="24"/>
              </w:rPr>
              <w:t>河南新乡经济技术集聚区管理委员会</w:t>
            </w:r>
          </w:p>
        </w:tc>
        <w:tc>
          <w:tcPr>
            <w:tcW w:w="1318" w:type="dxa"/>
            <w:vAlign w:val="center"/>
          </w:tcPr>
          <w:p>
            <w:pPr>
              <w:jc w:val="center"/>
              <w:rPr>
                <w:rFonts w:ascii="Times New Roman" w:hAnsi="Times New Roman" w:eastAsia="宋体"/>
                <w:color w:val="000000" w:themeColor="text1"/>
                <w:sz w:val="24"/>
              </w:rPr>
            </w:pPr>
            <w:r>
              <w:rPr>
                <w:rFonts w:ascii="Times New Roman" w:hAnsi="Times New Roman" w:eastAsia="宋体"/>
                <w:color w:val="000000" w:themeColor="text1"/>
                <w:sz w:val="24"/>
              </w:rPr>
              <w:t>批准文号</w:t>
            </w:r>
          </w:p>
        </w:tc>
        <w:tc>
          <w:tcPr>
            <w:tcW w:w="3085" w:type="dxa"/>
            <w:gridSpan w:val="2"/>
            <w:vAlign w:val="center"/>
          </w:tcPr>
          <w:p>
            <w:pPr>
              <w:jc w:val="center"/>
              <w:rPr>
                <w:rFonts w:ascii="Times New Roman" w:hAnsi="Times New Roman" w:eastAsia="宋体"/>
                <w:color w:val="000000" w:themeColor="text1"/>
                <w:sz w:val="24"/>
              </w:rPr>
            </w:pPr>
            <w:r>
              <w:rPr>
                <w:rFonts w:ascii="Times New Roman" w:hAnsi="Times New Roman" w:eastAsia="宋体"/>
                <w:color w:val="000000" w:themeColor="text1"/>
                <w:sz w:val="24"/>
              </w:rPr>
              <w:t>2020-4107</w:t>
            </w:r>
            <w:r>
              <w:rPr>
                <w:rFonts w:hint="eastAsia" w:ascii="Times New Roman" w:hAnsi="Times New Roman" w:eastAsia="宋体"/>
                <w:color w:val="000000" w:themeColor="text1"/>
                <w:sz w:val="24"/>
              </w:rPr>
              <w:t>2</w:t>
            </w:r>
            <w:r>
              <w:rPr>
                <w:rFonts w:ascii="Times New Roman" w:hAnsi="Times New Roman" w:eastAsia="宋体"/>
                <w:color w:val="000000" w:themeColor="text1"/>
                <w:sz w:val="24"/>
              </w:rPr>
              <w:t>1-</w:t>
            </w:r>
            <w:r>
              <w:rPr>
                <w:rFonts w:hint="eastAsia" w:ascii="Times New Roman" w:hAnsi="Times New Roman" w:eastAsia="宋体"/>
                <w:color w:val="000000" w:themeColor="text1"/>
                <w:sz w:val="24"/>
              </w:rPr>
              <w:t>29</w:t>
            </w:r>
            <w:r>
              <w:rPr>
                <w:rFonts w:ascii="Times New Roman" w:hAnsi="Times New Roman" w:eastAsia="宋体"/>
                <w:color w:val="000000" w:themeColor="text1"/>
                <w:sz w:val="24"/>
              </w:rPr>
              <w:t>-03-0</w:t>
            </w:r>
            <w:r>
              <w:rPr>
                <w:rFonts w:hint="eastAsia" w:ascii="Times New Roman" w:hAnsi="Times New Roman" w:eastAsia="宋体"/>
                <w:color w:val="000000" w:themeColor="text1"/>
                <w:sz w:val="24"/>
              </w:rPr>
              <w:t>64043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510" w:hRule="atLeast"/>
          <w:jc w:val="center"/>
        </w:trPr>
        <w:tc>
          <w:tcPr>
            <w:tcW w:w="1346" w:type="dxa"/>
            <w:vAlign w:val="center"/>
          </w:tcPr>
          <w:p>
            <w:pPr>
              <w:jc w:val="center"/>
              <w:rPr>
                <w:rFonts w:ascii="Times New Roman" w:hAnsi="Times New Roman" w:eastAsia="宋体"/>
                <w:color w:val="000000" w:themeColor="text1"/>
                <w:sz w:val="24"/>
              </w:rPr>
            </w:pPr>
            <w:r>
              <w:rPr>
                <w:rFonts w:ascii="Times New Roman" w:hAnsi="Times New Roman" w:eastAsia="宋体"/>
                <w:color w:val="000000" w:themeColor="text1"/>
                <w:sz w:val="24"/>
              </w:rPr>
              <w:t>建设性质</w:t>
            </w:r>
          </w:p>
        </w:tc>
        <w:tc>
          <w:tcPr>
            <w:tcW w:w="3437" w:type="dxa"/>
            <w:gridSpan w:val="2"/>
            <w:vAlign w:val="center"/>
          </w:tcPr>
          <w:p>
            <w:pPr>
              <w:jc w:val="center"/>
              <w:rPr>
                <w:rFonts w:ascii="Times New Roman" w:hAnsi="Times New Roman" w:eastAsia="宋体"/>
                <w:color w:val="000000" w:themeColor="text1"/>
                <w:sz w:val="24"/>
              </w:rPr>
            </w:pPr>
            <w:r>
              <w:rPr>
                <w:rFonts w:ascii="Times New Roman" w:hAnsi="Times New Roman" w:eastAsia="宋体"/>
                <w:color w:val="000000" w:themeColor="text1"/>
                <w:sz w:val="24"/>
              </w:rPr>
              <w:t>新建</w:t>
            </w:r>
            <w:r>
              <w:rPr>
                <w:rFonts w:ascii="Times New Roman" w:hAnsi="Times New Roman" w:eastAsia="宋体"/>
                <w:color w:val="000000" w:themeColor="text1"/>
                <w:sz w:val="24"/>
              </w:rPr>
              <w:sym w:font="Wingdings 2" w:char="00A3"/>
            </w:r>
            <w:r>
              <w:rPr>
                <w:rFonts w:ascii="Times New Roman" w:hAnsi="Times New Roman" w:eastAsia="宋体"/>
                <w:color w:val="000000" w:themeColor="text1"/>
                <w:sz w:val="24"/>
              </w:rPr>
              <w:t>扩建</w:t>
            </w:r>
            <w:r>
              <w:rPr>
                <w:rFonts w:ascii="Times New Roman" w:hAnsi="Times New Roman" w:eastAsia="宋体"/>
                <w:color w:val="000000" w:themeColor="text1"/>
                <w:sz w:val="24"/>
              </w:rPr>
              <w:sym w:font="Wingdings 2" w:char="0052"/>
            </w:r>
            <w:r>
              <w:rPr>
                <w:rFonts w:ascii="Times New Roman" w:hAnsi="Times New Roman" w:eastAsia="宋体"/>
                <w:color w:val="000000" w:themeColor="text1"/>
                <w:sz w:val="24"/>
              </w:rPr>
              <w:t>技改</w:t>
            </w:r>
            <w:r>
              <w:rPr>
                <w:rFonts w:ascii="Times New Roman" w:hAnsi="Times New Roman" w:eastAsia="宋体"/>
                <w:color w:val="000000" w:themeColor="text1"/>
                <w:sz w:val="24"/>
              </w:rPr>
              <w:sym w:font="Wingdings 2" w:char="00A3"/>
            </w:r>
          </w:p>
        </w:tc>
        <w:tc>
          <w:tcPr>
            <w:tcW w:w="1318" w:type="dxa"/>
            <w:vAlign w:val="center"/>
          </w:tcPr>
          <w:p>
            <w:pPr>
              <w:jc w:val="center"/>
              <w:rPr>
                <w:rFonts w:ascii="Times New Roman" w:hAnsi="Times New Roman" w:eastAsia="宋体"/>
                <w:color w:val="000000" w:themeColor="text1"/>
                <w:sz w:val="24"/>
              </w:rPr>
            </w:pPr>
            <w:r>
              <w:rPr>
                <w:rFonts w:ascii="Times New Roman" w:hAnsi="Times New Roman" w:eastAsia="宋体"/>
                <w:color w:val="000000" w:themeColor="text1"/>
                <w:sz w:val="24"/>
              </w:rPr>
              <w:t>行业类别</w:t>
            </w:r>
          </w:p>
        </w:tc>
        <w:tc>
          <w:tcPr>
            <w:tcW w:w="3085" w:type="dxa"/>
            <w:gridSpan w:val="2"/>
            <w:vAlign w:val="center"/>
          </w:tcPr>
          <w:p>
            <w:pPr>
              <w:pStyle w:val="23"/>
              <w:spacing w:after="0" w:line="240" w:lineRule="auto"/>
              <w:ind w:left="0" w:leftChars="0" w:firstLine="0" w:firstLineChars="0"/>
              <w:jc w:val="center"/>
              <w:rPr>
                <w:color w:val="000000" w:themeColor="text1"/>
                <w:sz w:val="24"/>
              </w:rPr>
            </w:pPr>
            <w:r>
              <w:rPr>
                <w:color w:val="000000" w:themeColor="text1"/>
                <w:sz w:val="24"/>
              </w:rPr>
              <w:t>C</w:t>
            </w:r>
            <w:r>
              <w:rPr>
                <w:rFonts w:hint="eastAsia"/>
                <w:color w:val="000000" w:themeColor="text1"/>
                <w:sz w:val="24"/>
              </w:rPr>
              <w:t>2927 日用塑料制品制造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510" w:hRule="atLeast"/>
          <w:jc w:val="center"/>
        </w:trPr>
        <w:tc>
          <w:tcPr>
            <w:tcW w:w="1346" w:type="dxa"/>
            <w:vAlign w:val="center"/>
          </w:tcPr>
          <w:p>
            <w:pPr>
              <w:jc w:val="center"/>
              <w:rPr>
                <w:rFonts w:ascii="Times New Roman" w:hAnsi="Times New Roman" w:eastAsia="宋体"/>
                <w:color w:val="000000" w:themeColor="text1"/>
                <w:sz w:val="24"/>
              </w:rPr>
            </w:pPr>
            <w:r>
              <w:rPr>
                <w:rFonts w:ascii="Times New Roman" w:hAnsi="Times New Roman" w:eastAsia="宋体"/>
                <w:color w:val="000000" w:themeColor="text1"/>
                <w:sz w:val="24"/>
              </w:rPr>
              <w:t>占地面积</w:t>
            </w:r>
          </w:p>
          <w:p>
            <w:pPr>
              <w:jc w:val="center"/>
              <w:rPr>
                <w:rFonts w:ascii="Times New Roman" w:hAnsi="Times New Roman" w:eastAsia="宋体"/>
                <w:color w:val="000000" w:themeColor="text1"/>
                <w:sz w:val="24"/>
              </w:rPr>
            </w:pPr>
            <w:r>
              <w:rPr>
                <w:rFonts w:ascii="Times New Roman" w:hAnsi="Times New Roman" w:eastAsia="宋体"/>
                <w:color w:val="000000" w:themeColor="text1"/>
                <w:sz w:val="24"/>
              </w:rPr>
              <w:t>（平方米）</w:t>
            </w:r>
          </w:p>
        </w:tc>
        <w:tc>
          <w:tcPr>
            <w:tcW w:w="3437" w:type="dxa"/>
            <w:gridSpan w:val="2"/>
            <w:vAlign w:val="center"/>
          </w:tcPr>
          <w:p>
            <w:pPr>
              <w:jc w:val="center"/>
              <w:rPr>
                <w:rFonts w:ascii="Times New Roman" w:hAnsi="Times New Roman" w:eastAsia="宋体"/>
                <w:color w:val="000000" w:themeColor="text1"/>
                <w:sz w:val="24"/>
              </w:rPr>
            </w:pPr>
            <w:r>
              <w:rPr>
                <w:rFonts w:hint="eastAsia" w:ascii="Times New Roman" w:hAnsi="Times New Roman" w:eastAsia="宋体"/>
                <w:color w:val="000000" w:themeColor="text1"/>
                <w:sz w:val="24"/>
              </w:rPr>
              <w:t>2025</w:t>
            </w:r>
          </w:p>
        </w:tc>
        <w:tc>
          <w:tcPr>
            <w:tcW w:w="1318" w:type="dxa"/>
            <w:vAlign w:val="center"/>
          </w:tcPr>
          <w:p>
            <w:pPr>
              <w:jc w:val="center"/>
              <w:rPr>
                <w:rFonts w:ascii="Times New Roman" w:hAnsi="Times New Roman" w:eastAsia="宋体"/>
                <w:color w:val="000000" w:themeColor="text1"/>
                <w:sz w:val="24"/>
              </w:rPr>
            </w:pPr>
            <w:r>
              <w:rPr>
                <w:rFonts w:ascii="Times New Roman" w:hAnsi="Times New Roman" w:eastAsia="宋体"/>
                <w:color w:val="000000" w:themeColor="text1"/>
                <w:sz w:val="24"/>
              </w:rPr>
              <w:t>绿化面积</w:t>
            </w:r>
          </w:p>
          <w:p>
            <w:pPr>
              <w:jc w:val="center"/>
              <w:rPr>
                <w:rFonts w:ascii="Times New Roman" w:hAnsi="Times New Roman" w:eastAsia="宋体"/>
                <w:color w:val="000000" w:themeColor="text1"/>
                <w:sz w:val="24"/>
              </w:rPr>
            </w:pPr>
            <w:r>
              <w:rPr>
                <w:rFonts w:ascii="Times New Roman" w:hAnsi="Times New Roman" w:eastAsia="宋体"/>
                <w:color w:val="000000" w:themeColor="text1"/>
                <w:sz w:val="24"/>
              </w:rPr>
              <w:t>（平方米）</w:t>
            </w:r>
          </w:p>
        </w:tc>
        <w:tc>
          <w:tcPr>
            <w:tcW w:w="3085" w:type="dxa"/>
            <w:gridSpan w:val="2"/>
            <w:vAlign w:val="center"/>
          </w:tcPr>
          <w:p>
            <w:pPr>
              <w:jc w:val="center"/>
              <w:rPr>
                <w:rFonts w:ascii="Times New Roman" w:hAnsi="Times New Roman" w:eastAsia="宋体"/>
                <w:color w:val="000000" w:themeColor="text1"/>
                <w:sz w:val="24"/>
              </w:rPr>
            </w:pPr>
            <w:r>
              <w:rPr>
                <w:rFonts w:ascii="Times New Roman" w:hAnsi="Times New Roman" w:eastAsia="宋体"/>
                <w:color w:val="000000" w:themeColor="text1"/>
                <w:sz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510" w:hRule="atLeast"/>
          <w:jc w:val="center"/>
        </w:trPr>
        <w:tc>
          <w:tcPr>
            <w:tcW w:w="1346" w:type="dxa"/>
            <w:vAlign w:val="center"/>
          </w:tcPr>
          <w:p>
            <w:pPr>
              <w:jc w:val="center"/>
              <w:rPr>
                <w:rFonts w:ascii="Times New Roman" w:hAnsi="Times New Roman" w:eastAsia="宋体"/>
                <w:color w:val="000000" w:themeColor="text1"/>
                <w:sz w:val="24"/>
              </w:rPr>
            </w:pPr>
            <w:r>
              <w:rPr>
                <w:rFonts w:ascii="Times New Roman" w:hAnsi="Times New Roman" w:eastAsia="宋体"/>
                <w:color w:val="000000" w:themeColor="text1"/>
                <w:sz w:val="24"/>
              </w:rPr>
              <w:t>总投资</w:t>
            </w:r>
          </w:p>
          <w:p>
            <w:pPr>
              <w:jc w:val="center"/>
              <w:rPr>
                <w:rFonts w:ascii="Times New Roman" w:hAnsi="Times New Roman" w:eastAsia="宋体"/>
                <w:color w:val="000000" w:themeColor="text1"/>
                <w:sz w:val="24"/>
              </w:rPr>
            </w:pPr>
            <w:r>
              <w:rPr>
                <w:rFonts w:ascii="Times New Roman" w:hAnsi="Times New Roman" w:eastAsia="宋体"/>
                <w:color w:val="000000" w:themeColor="text1"/>
                <w:sz w:val="24"/>
              </w:rPr>
              <w:t>（万元）</w:t>
            </w:r>
          </w:p>
        </w:tc>
        <w:tc>
          <w:tcPr>
            <w:tcW w:w="1830" w:type="dxa"/>
            <w:vAlign w:val="center"/>
          </w:tcPr>
          <w:p>
            <w:pPr>
              <w:jc w:val="center"/>
              <w:rPr>
                <w:rFonts w:ascii="Times New Roman" w:hAnsi="Times New Roman" w:eastAsia="宋体"/>
                <w:color w:val="000000" w:themeColor="text1"/>
                <w:sz w:val="24"/>
              </w:rPr>
            </w:pPr>
            <w:r>
              <w:rPr>
                <w:rFonts w:hint="eastAsia" w:ascii="Times New Roman" w:hAnsi="Times New Roman" w:eastAsia="宋体"/>
                <w:color w:val="000000" w:themeColor="text1"/>
                <w:sz w:val="24"/>
              </w:rPr>
              <w:t>50</w:t>
            </w:r>
          </w:p>
        </w:tc>
        <w:tc>
          <w:tcPr>
            <w:tcW w:w="1607" w:type="dxa"/>
            <w:vAlign w:val="center"/>
          </w:tcPr>
          <w:p>
            <w:pPr>
              <w:jc w:val="center"/>
              <w:rPr>
                <w:rFonts w:ascii="Times New Roman" w:hAnsi="Times New Roman" w:eastAsia="宋体"/>
                <w:color w:val="000000" w:themeColor="text1"/>
                <w:sz w:val="24"/>
              </w:rPr>
            </w:pPr>
            <w:r>
              <w:rPr>
                <w:rFonts w:ascii="Times New Roman" w:hAnsi="Times New Roman" w:eastAsia="宋体"/>
                <w:color w:val="000000" w:themeColor="text1"/>
                <w:sz w:val="24"/>
              </w:rPr>
              <w:t>其中：环保投资（万元）</w:t>
            </w:r>
          </w:p>
        </w:tc>
        <w:tc>
          <w:tcPr>
            <w:tcW w:w="1318" w:type="dxa"/>
            <w:vAlign w:val="center"/>
          </w:tcPr>
          <w:p>
            <w:pPr>
              <w:jc w:val="center"/>
              <w:rPr>
                <w:rFonts w:ascii="Times New Roman" w:hAnsi="Times New Roman" w:eastAsia="宋体"/>
                <w:color w:val="000000" w:themeColor="text1"/>
                <w:sz w:val="24"/>
              </w:rPr>
            </w:pPr>
            <w:r>
              <w:rPr>
                <w:rFonts w:hint="eastAsia" w:ascii="Times New Roman" w:hAnsi="Times New Roman" w:eastAsia="宋体"/>
                <w:color w:val="000000" w:themeColor="text1"/>
                <w:sz w:val="24"/>
              </w:rPr>
              <w:t>3</w:t>
            </w:r>
          </w:p>
        </w:tc>
        <w:tc>
          <w:tcPr>
            <w:tcW w:w="1580" w:type="dxa"/>
            <w:vAlign w:val="center"/>
          </w:tcPr>
          <w:p>
            <w:pPr>
              <w:jc w:val="center"/>
              <w:rPr>
                <w:rFonts w:ascii="Times New Roman" w:hAnsi="Times New Roman" w:eastAsia="宋体"/>
                <w:color w:val="000000" w:themeColor="text1"/>
                <w:sz w:val="24"/>
              </w:rPr>
            </w:pPr>
            <w:r>
              <w:rPr>
                <w:rFonts w:ascii="Times New Roman" w:hAnsi="Times New Roman" w:eastAsia="宋体"/>
                <w:color w:val="000000" w:themeColor="text1"/>
                <w:sz w:val="24"/>
              </w:rPr>
              <w:t>环保投资占总投资比例%</w:t>
            </w:r>
          </w:p>
        </w:tc>
        <w:tc>
          <w:tcPr>
            <w:tcW w:w="1505" w:type="dxa"/>
            <w:vAlign w:val="center"/>
          </w:tcPr>
          <w:p>
            <w:pPr>
              <w:jc w:val="center"/>
              <w:rPr>
                <w:rFonts w:ascii="Times New Roman" w:hAnsi="Times New Roman" w:eastAsia="宋体"/>
                <w:color w:val="000000" w:themeColor="text1"/>
                <w:sz w:val="24"/>
              </w:rPr>
            </w:pPr>
            <w:r>
              <w:rPr>
                <w:rFonts w:hint="eastAsia" w:ascii="Times New Roman" w:hAnsi="Times New Roman" w:eastAsia="宋体"/>
                <w:color w:val="000000" w:themeColor="text1"/>
                <w:sz w:val="24"/>
              </w:rPr>
              <w:t>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510" w:hRule="atLeast"/>
          <w:jc w:val="center"/>
        </w:trPr>
        <w:tc>
          <w:tcPr>
            <w:tcW w:w="1346" w:type="dxa"/>
            <w:tcBorders>
              <w:bottom w:val="single" w:color="auto" w:sz="6" w:space="0"/>
            </w:tcBorders>
            <w:vAlign w:val="center"/>
          </w:tcPr>
          <w:p>
            <w:pPr>
              <w:jc w:val="center"/>
              <w:rPr>
                <w:rFonts w:ascii="Times New Roman" w:hAnsi="Times New Roman" w:eastAsia="宋体"/>
                <w:color w:val="000000" w:themeColor="text1"/>
                <w:sz w:val="24"/>
              </w:rPr>
            </w:pPr>
            <w:r>
              <w:rPr>
                <w:rFonts w:ascii="Times New Roman" w:hAnsi="Times New Roman" w:eastAsia="宋体"/>
                <w:color w:val="000000" w:themeColor="text1"/>
                <w:sz w:val="24"/>
              </w:rPr>
              <w:t>评价经费</w:t>
            </w:r>
          </w:p>
          <w:p>
            <w:pPr>
              <w:jc w:val="center"/>
              <w:rPr>
                <w:rFonts w:ascii="Times New Roman" w:hAnsi="Times New Roman" w:eastAsia="宋体"/>
                <w:color w:val="000000" w:themeColor="text1"/>
                <w:sz w:val="24"/>
              </w:rPr>
            </w:pPr>
            <w:r>
              <w:rPr>
                <w:rFonts w:ascii="Times New Roman" w:hAnsi="Times New Roman" w:eastAsia="宋体"/>
                <w:color w:val="000000" w:themeColor="text1"/>
                <w:sz w:val="24"/>
              </w:rPr>
              <w:t>（万元）</w:t>
            </w:r>
          </w:p>
        </w:tc>
        <w:tc>
          <w:tcPr>
            <w:tcW w:w="1830" w:type="dxa"/>
            <w:tcBorders>
              <w:bottom w:val="single" w:color="auto" w:sz="6" w:space="0"/>
            </w:tcBorders>
            <w:vAlign w:val="center"/>
          </w:tcPr>
          <w:p>
            <w:pPr>
              <w:jc w:val="center"/>
              <w:rPr>
                <w:rFonts w:ascii="Times New Roman" w:hAnsi="Times New Roman" w:eastAsia="宋体"/>
                <w:color w:val="000000" w:themeColor="text1"/>
                <w:sz w:val="24"/>
              </w:rPr>
            </w:pPr>
            <w:r>
              <w:rPr>
                <w:rFonts w:ascii="Times New Roman" w:hAnsi="Times New Roman" w:eastAsia="宋体"/>
                <w:color w:val="000000" w:themeColor="text1"/>
                <w:sz w:val="24"/>
              </w:rPr>
              <w:t>/</w:t>
            </w:r>
          </w:p>
        </w:tc>
        <w:tc>
          <w:tcPr>
            <w:tcW w:w="2925" w:type="dxa"/>
            <w:gridSpan w:val="2"/>
            <w:tcBorders>
              <w:bottom w:val="single" w:color="auto" w:sz="6" w:space="0"/>
            </w:tcBorders>
            <w:vAlign w:val="center"/>
          </w:tcPr>
          <w:p>
            <w:pPr>
              <w:jc w:val="center"/>
              <w:rPr>
                <w:rFonts w:ascii="Times New Roman" w:hAnsi="Times New Roman" w:eastAsia="宋体"/>
                <w:color w:val="000000" w:themeColor="text1"/>
                <w:sz w:val="24"/>
              </w:rPr>
            </w:pPr>
            <w:r>
              <w:rPr>
                <w:rFonts w:ascii="Times New Roman" w:hAnsi="Times New Roman" w:eastAsia="宋体"/>
                <w:color w:val="000000" w:themeColor="text1"/>
                <w:sz w:val="24"/>
              </w:rPr>
              <w:t>预期投产日期</w:t>
            </w:r>
          </w:p>
        </w:tc>
        <w:tc>
          <w:tcPr>
            <w:tcW w:w="3085" w:type="dxa"/>
            <w:gridSpan w:val="2"/>
            <w:tcBorders>
              <w:bottom w:val="single" w:color="auto" w:sz="6" w:space="0"/>
            </w:tcBorders>
            <w:vAlign w:val="center"/>
          </w:tcPr>
          <w:p>
            <w:pPr>
              <w:jc w:val="center"/>
              <w:rPr>
                <w:rFonts w:ascii="Times New Roman" w:hAnsi="Times New Roman" w:eastAsia="宋体"/>
                <w:color w:val="000000" w:themeColor="text1"/>
                <w:sz w:val="24"/>
              </w:rPr>
            </w:pPr>
            <w:r>
              <w:rPr>
                <w:rFonts w:ascii="Times New Roman" w:hAnsi="Times New Roman" w:eastAsia="宋体"/>
                <w:color w:val="000000" w:themeColor="text1"/>
                <w:sz w:val="24"/>
              </w:rPr>
              <w:t>202</w:t>
            </w:r>
            <w:r>
              <w:rPr>
                <w:rFonts w:hint="eastAsia" w:ascii="Times New Roman" w:hAnsi="Times New Roman" w:eastAsia="宋体"/>
                <w:color w:val="000000" w:themeColor="text1"/>
                <w:sz w:val="24"/>
              </w:rPr>
              <w:t>0</w:t>
            </w:r>
            <w:r>
              <w:rPr>
                <w:rFonts w:ascii="Times New Roman" w:hAnsi="Times New Roman" w:eastAsia="宋体"/>
                <w:color w:val="000000" w:themeColor="text1"/>
                <w:sz w:val="24"/>
              </w:rPr>
              <w:t>年</w:t>
            </w:r>
            <w:r>
              <w:rPr>
                <w:rFonts w:hint="eastAsia" w:ascii="Times New Roman" w:hAnsi="Times New Roman" w:eastAsia="宋体"/>
                <w:color w:val="000000" w:themeColor="text1"/>
                <w:sz w:val="24"/>
              </w:rPr>
              <w:t>1</w:t>
            </w:r>
            <w:r>
              <w:rPr>
                <w:rFonts w:ascii="Times New Roman" w:hAnsi="Times New Roman" w:eastAsia="宋体"/>
                <w:color w:val="000000" w:themeColor="text1"/>
                <w:sz w:val="24"/>
              </w:rPr>
              <w:t>2月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703" w:hRule="atLeast"/>
          <w:jc w:val="center"/>
        </w:trPr>
        <w:tc>
          <w:tcPr>
            <w:tcW w:w="9186" w:type="dxa"/>
            <w:gridSpan w:val="6"/>
            <w:tcBorders>
              <w:bottom w:val="single" w:color="auto" w:sz="4" w:space="0"/>
            </w:tcBorders>
          </w:tcPr>
          <w:p>
            <w:pPr>
              <w:spacing w:line="440" w:lineRule="exact"/>
              <w:rPr>
                <w:rFonts w:ascii="Times New Roman" w:hAnsi="Times New Roman" w:eastAsia="宋体"/>
                <w:b/>
                <w:bCs/>
                <w:color w:val="000000" w:themeColor="text1"/>
                <w:sz w:val="24"/>
              </w:rPr>
            </w:pPr>
            <w:r>
              <w:rPr>
                <w:rFonts w:ascii="Times New Roman" w:hAnsi="Times New Roman" w:eastAsia="宋体"/>
                <w:b/>
                <w:bCs/>
                <w:color w:val="000000" w:themeColor="text1"/>
                <w:sz w:val="24"/>
              </w:rPr>
              <w:t>一、项目由来</w:t>
            </w:r>
          </w:p>
          <w:p>
            <w:pPr>
              <w:adjustRightInd w:val="0"/>
              <w:snapToGrid w:val="0"/>
              <w:spacing w:line="440" w:lineRule="exact"/>
              <w:ind w:firstLine="480" w:firstLineChars="200"/>
              <w:rPr>
                <w:rFonts w:ascii="Times New Roman" w:hAnsi="Times New Roman" w:eastAsia="宋体"/>
                <w:bCs/>
                <w:color w:val="000000" w:themeColor="text1"/>
                <w:sz w:val="24"/>
              </w:rPr>
            </w:pPr>
            <w:r>
              <w:rPr>
                <w:rFonts w:hint="eastAsia" w:ascii="Times New Roman" w:hAnsi="Times New Roman" w:eastAsia="宋体"/>
                <w:color w:val="000000" w:themeColor="text1"/>
                <w:sz w:val="24"/>
              </w:rPr>
              <w:t>新乡市顺风船科技有限公司成立于2</w:t>
            </w:r>
            <w:r>
              <w:rPr>
                <w:rFonts w:ascii="Times New Roman" w:hAnsi="Times New Roman" w:eastAsia="宋体"/>
                <w:color w:val="000000" w:themeColor="text1"/>
                <w:sz w:val="24"/>
              </w:rPr>
              <w:t>01</w:t>
            </w:r>
            <w:r>
              <w:rPr>
                <w:rFonts w:hint="eastAsia" w:ascii="Times New Roman" w:hAnsi="Times New Roman" w:eastAsia="宋体"/>
                <w:color w:val="000000" w:themeColor="text1"/>
                <w:sz w:val="24"/>
              </w:rPr>
              <w:t>7年3月，占地面积约为9413m</w:t>
            </w:r>
            <w:r>
              <w:rPr>
                <w:rFonts w:ascii="Times New Roman" w:hAnsi="Times New Roman" w:eastAsia="宋体"/>
                <w:color w:val="000000" w:themeColor="text1"/>
                <w:sz w:val="24"/>
                <w:vertAlign w:val="superscript"/>
              </w:rPr>
              <w:t>2</w:t>
            </w:r>
            <w:r>
              <w:rPr>
                <w:rFonts w:hint="eastAsia" w:ascii="Times New Roman" w:hAnsi="Times New Roman" w:eastAsia="宋体"/>
                <w:color w:val="000000" w:themeColor="text1"/>
                <w:sz w:val="24"/>
              </w:rPr>
              <w:t>，位于</w:t>
            </w:r>
            <w:r>
              <w:rPr>
                <w:rFonts w:ascii="Times New Roman" w:hAnsi="Times New Roman" w:eastAsia="宋体"/>
                <w:bCs/>
                <w:color w:val="000000" w:themeColor="text1"/>
                <w:sz w:val="24"/>
              </w:rPr>
              <w:t>新乡市新乡县七里营镇</w:t>
            </w:r>
            <w:r>
              <w:rPr>
                <w:rFonts w:hint="eastAsia" w:ascii="Times New Roman" w:hAnsi="Times New Roman" w:eastAsia="宋体"/>
                <w:bCs/>
                <w:color w:val="000000" w:themeColor="text1"/>
                <w:sz w:val="24"/>
              </w:rPr>
              <w:t>107国道与胡韦线交叉口中原兴业产业园，主要生产塑料布、塑料皮帘和环保钙锌稳定剂。</w:t>
            </w:r>
          </w:p>
          <w:p>
            <w:pPr>
              <w:pStyle w:val="2"/>
              <w:spacing w:line="440" w:lineRule="exact"/>
              <w:ind w:firstLine="480" w:firstLineChars="200"/>
              <w:jc w:val="both"/>
              <w:rPr>
                <w:rFonts w:ascii="Times New Roman" w:hAnsi="Times New Roman" w:eastAsia="宋体"/>
                <w:color w:val="000000" w:themeColor="text1"/>
                <w:sz w:val="24"/>
              </w:rPr>
            </w:pPr>
            <w:r>
              <w:rPr>
                <w:rFonts w:hint="eastAsia" w:ascii="Times New Roman" w:hAnsi="Times New Roman" w:eastAsia="宋体"/>
                <w:color w:val="000000" w:themeColor="text1"/>
                <w:sz w:val="24"/>
              </w:rPr>
              <w:t>新乡市顺风船科技有限公司现有工程为年产1000吨PVC塑料制品项目和年产2800吨新型环保</w:t>
            </w:r>
            <w:r>
              <w:rPr>
                <w:rFonts w:hint="eastAsia" w:ascii="Times New Roman" w:hAnsi="Times New Roman" w:eastAsia="宋体"/>
                <w:bCs/>
                <w:color w:val="000000" w:themeColor="text1"/>
                <w:sz w:val="24"/>
              </w:rPr>
              <w:t>钙锌稳定剂项目</w:t>
            </w:r>
            <w:r>
              <w:rPr>
                <w:rFonts w:hint="eastAsia" w:ascii="Times New Roman" w:hAnsi="Times New Roman" w:eastAsia="宋体"/>
                <w:color w:val="000000" w:themeColor="text1"/>
                <w:sz w:val="24"/>
              </w:rPr>
              <w:t>，年产1000吨PVC塑料制品项目于</w:t>
            </w:r>
            <w:r>
              <w:rPr>
                <w:rFonts w:ascii="Times New Roman" w:hAnsi="Times New Roman" w:eastAsia="宋体"/>
                <w:color w:val="000000" w:themeColor="text1"/>
                <w:sz w:val="24"/>
              </w:rPr>
              <w:t>201</w:t>
            </w:r>
            <w:r>
              <w:rPr>
                <w:rFonts w:hint="eastAsia" w:ascii="Times New Roman" w:hAnsi="Times New Roman" w:eastAsia="宋体"/>
                <w:color w:val="000000" w:themeColor="text1"/>
                <w:sz w:val="24"/>
              </w:rPr>
              <w:t>8年9月10日经新乡县环境保护局以新环表（</w:t>
            </w:r>
            <w:r>
              <w:rPr>
                <w:rFonts w:ascii="Times New Roman" w:hAnsi="Times New Roman" w:eastAsia="宋体"/>
                <w:color w:val="000000" w:themeColor="text1"/>
                <w:sz w:val="24"/>
              </w:rPr>
              <w:t>20</w:t>
            </w:r>
            <w:r>
              <w:rPr>
                <w:rFonts w:hint="eastAsia" w:ascii="Times New Roman" w:hAnsi="Times New Roman" w:eastAsia="宋体"/>
                <w:color w:val="000000" w:themeColor="text1"/>
                <w:sz w:val="24"/>
              </w:rPr>
              <w:t>18）041号文（见附件4）批复。新乡市顺风船科技有限公司于</w:t>
            </w:r>
            <w:r>
              <w:rPr>
                <w:rFonts w:ascii="Times New Roman" w:hAnsi="Times New Roman" w:eastAsia="宋体"/>
                <w:color w:val="000000" w:themeColor="text1"/>
                <w:sz w:val="24"/>
              </w:rPr>
              <w:t>20</w:t>
            </w:r>
            <w:r>
              <w:rPr>
                <w:rFonts w:hint="eastAsia" w:ascii="Times New Roman" w:hAnsi="Times New Roman" w:eastAsia="宋体"/>
                <w:color w:val="000000" w:themeColor="text1"/>
                <w:sz w:val="24"/>
              </w:rPr>
              <w:t>19年5月</w:t>
            </w:r>
            <w:r>
              <w:rPr>
                <w:rFonts w:ascii="Times New Roman" w:hAnsi="Times New Roman" w:eastAsia="宋体"/>
                <w:color w:val="000000" w:themeColor="text1"/>
                <w:sz w:val="24"/>
              </w:rPr>
              <w:t>9</w:t>
            </w:r>
            <w:r>
              <w:rPr>
                <w:rFonts w:hint="eastAsia" w:ascii="Times New Roman" w:hAnsi="Times New Roman" w:eastAsia="宋体"/>
                <w:color w:val="000000" w:themeColor="text1"/>
                <w:sz w:val="24"/>
              </w:rPr>
              <w:t>日对该项目进行自主验收。年产2800吨新型环保</w:t>
            </w:r>
            <w:r>
              <w:rPr>
                <w:rFonts w:hint="eastAsia" w:ascii="Times New Roman" w:hAnsi="Times New Roman" w:eastAsia="宋体"/>
                <w:bCs/>
                <w:color w:val="000000" w:themeColor="text1"/>
                <w:sz w:val="24"/>
              </w:rPr>
              <w:t>钙锌稳定剂项目</w:t>
            </w:r>
            <w:r>
              <w:rPr>
                <w:rFonts w:hint="eastAsia" w:ascii="Times New Roman" w:hAnsi="Times New Roman" w:eastAsia="宋体"/>
                <w:color w:val="000000" w:themeColor="text1"/>
                <w:sz w:val="24"/>
              </w:rPr>
              <w:t>于</w:t>
            </w:r>
            <w:r>
              <w:rPr>
                <w:rFonts w:ascii="Times New Roman" w:hAnsi="Times New Roman" w:eastAsia="宋体"/>
                <w:color w:val="000000" w:themeColor="text1"/>
                <w:sz w:val="24"/>
              </w:rPr>
              <w:t>201</w:t>
            </w:r>
            <w:r>
              <w:rPr>
                <w:rFonts w:hint="eastAsia" w:ascii="Times New Roman" w:hAnsi="Times New Roman" w:eastAsia="宋体"/>
                <w:color w:val="000000" w:themeColor="text1"/>
                <w:sz w:val="24"/>
              </w:rPr>
              <w:t>8年9月25日经新乡县环境保护局以新环表（</w:t>
            </w:r>
            <w:r>
              <w:rPr>
                <w:rFonts w:ascii="Times New Roman" w:hAnsi="Times New Roman" w:eastAsia="宋体"/>
                <w:color w:val="000000" w:themeColor="text1"/>
                <w:sz w:val="24"/>
              </w:rPr>
              <w:t>20</w:t>
            </w:r>
            <w:r>
              <w:rPr>
                <w:rFonts w:hint="eastAsia" w:ascii="Times New Roman" w:hAnsi="Times New Roman" w:eastAsia="宋体"/>
                <w:color w:val="000000" w:themeColor="text1"/>
                <w:sz w:val="24"/>
              </w:rPr>
              <w:t>18）043号文（见附件5）批复。新乡市顺风船科技有限公司于</w:t>
            </w:r>
            <w:r>
              <w:rPr>
                <w:rFonts w:ascii="Times New Roman" w:hAnsi="Times New Roman" w:eastAsia="宋体"/>
                <w:color w:val="000000" w:themeColor="text1"/>
                <w:sz w:val="24"/>
              </w:rPr>
              <w:t>20</w:t>
            </w:r>
            <w:r>
              <w:rPr>
                <w:rFonts w:hint="eastAsia" w:ascii="Times New Roman" w:hAnsi="Times New Roman" w:eastAsia="宋体"/>
                <w:color w:val="000000" w:themeColor="text1"/>
                <w:sz w:val="24"/>
              </w:rPr>
              <w:t>19年5月</w:t>
            </w:r>
            <w:r>
              <w:rPr>
                <w:rFonts w:ascii="Times New Roman" w:hAnsi="Times New Roman" w:eastAsia="宋体"/>
                <w:color w:val="000000" w:themeColor="text1"/>
                <w:sz w:val="24"/>
              </w:rPr>
              <w:t>9</w:t>
            </w:r>
            <w:r>
              <w:rPr>
                <w:rFonts w:hint="eastAsia" w:ascii="Times New Roman" w:hAnsi="Times New Roman" w:eastAsia="宋体"/>
                <w:color w:val="000000" w:themeColor="text1"/>
                <w:sz w:val="24"/>
              </w:rPr>
              <w:t>日对该项目进行自主验收。</w:t>
            </w:r>
          </w:p>
          <w:p>
            <w:pPr>
              <w:spacing w:line="440" w:lineRule="exact"/>
              <w:ind w:firstLine="480" w:firstLineChars="200"/>
              <w:rPr>
                <w:rFonts w:ascii="Times New Roman" w:hAnsi="宋体" w:eastAsia="宋体"/>
                <w:bCs/>
                <w:color w:val="000000" w:themeColor="text1"/>
                <w:sz w:val="24"/>
              </w:rPr>
            </w:pPr>
            <w:r>
              <w:rPr>
                <w:rFonts w:hint="eastAsia" w:ascii="Times New Roman" w:hAnsi="宋体" w:eastAsia="宋体"/>
                <w:bCs/>
                <w:color w:val="000000" w:themeColor="text1"/>
                <w:sz w:val="24"/>
              </w:rPr>
              <w:t>根据市场需求以及企业自身的发展规划，</w:t>
            </w:r>
            <w:r>
              <w:rPr>
                <w:rFonts w:hint="eastAsia" w:ascii="Times New Roman" w:hAnsi="Times New Roman" w:eastAsia="宋体"/>
                <w:color w:val="000000" w:themeColor="text1"/>
                <w:sz w:val="24"/>
              </w:rPr>
              <w:t>新乡市顺风船科技有限公司</w:t>
            </w:r>
            <w:r>
              <w:rPr>
                <w:rFonts w:hint="eastAsia" w:ascii="Times New Roman" w:hAnsi="宋体" w:eastAsia="宋体"/>
                <w:bCs/>
                <w:color w:val="000000" w:themeColor="text1"/>
                <w:sz w:val="24"/>
              </w:rPr>
              <w:t>拟利用原有厂房在原有工程的基础上投资</w:t>
            </w:r>
            <w:r>
              <w:rPr>
                <w:rFonts w:hint="eastAsia" w:ascii="Times New Roman" w:hAnsi="Times New Roman" w:eastAsia="宋体"/>
                <w:bCs/>
                <w:color w:val="000000" w:themeColor="text1"/>
                <w:sz w:val="24"/>
              </w:rPr>
              <w:t>5</w:t>
            </w:r>
            <w:r>
              <w:rPr>
                <w:rFonts w:ascii="Times New Roman" w:hAnsi="Times New Roman" w:eastAsia="宋体"/>
                <w:bCs/>
                <w:color w:val="000000" w:themeColor="text1"/>
                <w:sz w:val="24"/>
              </w:rPr>
              <w:t>0</w:t>
            </w:r>
            <w:r>
              <w:rPr>
                <w:rFonts w:hint="eastAsia" w:ascii="Times New Roman" w:hAnsi="宋体" w:eastAsia="宋体"/>
                <w:bCs/>
                <w:color w:val="000000" w:themeColor="text1"/>
                <w:sz w:val="24"/>
              </w:rPr>
              <w:t>万元建设</w:t>
            </w:r>
            <w:r>
              <w:rPr>
                <w:rFonts w:hint="eastAsia" w:ascii="Times New Roman" w:hAnsi="Times New Roman" w:eastAsia="宋体"/>
                <w:bCs/>
                <w:color w:val="000000" w:themeColor="text1"/>
                <w:sz w:val="24"/>
              </w:rPr>
              <w:t>新乡市顺风船科技有限公司年产1200吨塑料磁吸门帘</w:t>
            </w:r>
            <w:r>
              <w:rPr>
                <w:rFonts w:ascii="Times New Roman" w:hAnsi="Times New Roman" w:eastAsia="宋体"/>
                <w:bCs/>
                <w:color w:val="000000" w:themeColor="text1"/>
                <w:sz w:val="24"/>
              </w:rPr>
              <w:t>项目</w:t>
            </w:r>
            <w:r>
              <w:rPr>
                <w:rFonts w:hint="eastAsia" w:ascii="Times New Roman" w:hAnsi="宋体" w:eastAsia="宋体"/>
                <w:bCs/>
                <w:color w:val="000000" w:themeColor="text1"/>
                <w:sz w:val="24"/>
              </w:rPr>
              <w:t>。根据现场踏勘，本项目的生产设备未购进，不涉及未批先建（项目现场图见附图6）。</w:t>
            </w:r>
          </w:p>
          <w:p>
            <w:pPr>
              <w:adjustRightInd w:val="0"/>
              <w:snapToGrid w:val="0"/>
              <w:spacing w:line="440" w:lineRule="exact"/>
              <w:ind w:firstLine="480" w:firstLineChars="200"/>
              <w:rPr>
                <w:rFonts w:ascii="Times New Roman" w:hAnsi="Times New Roman" w:eastAsia="宋体"/>
                <w:color w:val="000000" w:themeColor="text1"/>
                <w:sz w:val="24"/>
              </w:rPr>
            </w:pPr>
            <w:r>
              <w:rPr>
                <w:rFonts w:hint="eastAsia" w:ascii="Times New Roman" w:hAnsi="Times New Roman" w:eastAsia="宋体"/>
                <w:bCs/>
                <w:color w:val="000000" w:themeColor="text1"/>
                <w:sz w:val="24"/>
              </w:rPr>
              <w:t>经查阅《产业结构调整指导目录》</w:t>
            </w:r>
            <w:r>
              <w:rPr>
                <w:rFonts w:ascii="Times New Roman" w:hAnsi="Times New Roman" w:eastAsia="宋体"/>
                <w:color w:val="000000" w:themeColor="text1"/>
                <w:sz w:val="24"/>
              </w:rPr>
              <w:t>（发改委令（2019）第29号）</w:t>
            </w:r>
            <w:r>
              <w:rPr>
                <w:rFonts w:hint="eastAsia" w:ascii="Times New Roman" w:hAnsi="Times New Roman" w:eastAsia="宋体"/>
                <w:bCs/>
                <w:color w:val="000000" w:themeColor="text1"/>
                <w:sz w:val="24"/>
              </w:rPr>
              <w:t>，本项目不在限制类和淘汰类之列，属于允许类，符合国家产业政策。根据《河南省企业投资项目备案证明》（项目代码：</w:t>
            </w:r>
            <w:r>
              <w:rPr>
                <w:rFonts w:ascii="Times New Roman" w:hAnsi="Times New Roman" w:eastAsia="宋体"/>
                <w:bCs/>
                <w:color w:val="000000" w:themeColor="text1"/>
                <w:sz w:val="24"/>
              </w:rPr>
              <w:t>2020-4107</w:t>
            </w:r>
            <w:r>
              <w:rPr>
                <w:rFonts w:hint="eastAsia" w:ascii="Times New Roman" w:hAnsi="Times New Roman" w:eastAsia="宋体"/>
                <w:bCs/>
                <w:color w:val="000000" w:themeColor="text1"/>
                <w:sz w:val="24"/>
              </w:rPr>
              <w:t>21</w:t>
            </w:r>
            <w:r>
              <w:rPr>
                <w:rFonts w:ascii="Times New Roman" w:hAnsi="Times New Roman" w:eastAsia="宋体"/>
                <w:bCs/>
                <w:color w:val="000000" w:themeColor="text1"/>
                <w:sz w:val="24"/>
              </w:rPr>
              <w:t>-</w:t>
            </w:r>
            <w:r>
              <w:rPr>
                <w:rFonts w:hint="eastAsia" w:ascii="Times New Roman" w:hAnsi="Times New Roman" w:eastAsia="宋体"/>
                <w:bCs/>
                <w:color w:val="000000" w:themeColor="text1"/>
                <w:sz w:val="24"/>
              </w:rPr>
              <w:t>29</w:t>
            </w:r>
            <w:r>
              <w:rPr>
                <w:rFonts w:ascii="Times New Roman" w:hAnsi="Times New Roman" w:eastAsia="宋体"/>
                <w:bCs/>
                <w:color w:val="000000" w:themeColor="text1"/>
                <w:sz w:val="24"/>
              </w:rPr>
              <w:t>-03-06</w:t>
            </w:r>
            <w:r>
              <w:rPr>
                <w:rFonts w:hint="eastAsia" w:ascii="Times New Roman" w:hAnsi="Times New Roman" w:eastAsia="宋体"/>
                <w:bCs/>
                <w:color w:val="000000" w:themeColor="text1"/>
                <w:sz w:val="24"/>
              </w:rPr>
              <w:t>4043，见附件2）可知，企业已于</w:t>
            </w:r>
            <w:r>
              <w:rPr>
                <w:rFonts w:ascii="Times New Roman" w:hAnsi="Times New Roman" w:eastAsia="宋体"/>
                <w:bCs/>
                <w:color w:val="000000" w:themeColor="text1"/>
                <w:sz w:val="24"/>
              </w:rPr>
              <w:t>2020</w:t>
            </w:r>
            <w:r>
              <w:rPr>
                <w:rFonts w:hint="eastAsia" w:ascii="Times New Roman" w:hAnsi="Times New Roman" w:eastAsia="宋体"/>
                <w:bCs/>
                <w:color w:val="000000" w:themeColor="text1"/>
                <w:sz w:val="24"/>
              </w:rPr>
              <w:t>年8月3日在</w:t>
            </w:r>
            <w:r>
              <w:rPr>
                <w:rFonts w:ascii="Times New Roman" w:hAnsi="Times New Roman" w:eastAsia="宋体"/>
                <w:color w:val="000000" w:themeColor="text1"/>
                <w:sz w:val="24"/>
              </w:rPr>
              <w:t>河南新乡经济技术集聚区管理委员会</w:t>
            </w:r>
            <w:r>
              <w:rPr>
                <w:rFonts w:hint="eastAsia" w:ascii="Times New Roman" w:hAnsi="Times New Roman" w:eastAsia="宋体"/>
                <w:bCs/>
                <w:color w:val="000000" w:themeColor="text1"/>
                <w:sz w:val="24"/>
              </w:rPr>
              <w:t>进行备案。本项目利用原有厂房进行建设</w:t>
            </w:r>
            <w:r>
              <w:rPr>
                <w:rFonts w:ascii="Times New Roman" w:hAnsi="Times New Roman" w:eastAsia="宋体"/>
                <w:bCs/>
                <w:color w:val="000000" w:themeColor="text1"/>
                <w:sz w:val="24"/>
              </w:rPr>
              <w:t>，不新增占地，不办理土地手续。</w:t>
            </w:r>
            <w:r>
              <w:rPr>
                <w:rFonts w:ascii="Times New Roman" w:hAnsi="Times New Roman" w:eastAsia="宋体"/>
                <w:color w:val="000000" w:themeColor="text1"/>
                <w:sz w:val="24"/>
              </w:rPr>
              <w:t>根据</w:t>
            </w:r>
            <w:r>
              <w:rPr>
                <w:rFonts w:hint="eastAsia" w:ascii="Times New Roman" w:hAnsi="Times New Roman" w:eastAsia="宋体"/>
                <w:color w:val="000000" w:themeColor="text1"/>
                <w:sz w:val="24"/>
              </w:rPr>
              <w:t>新乡经济技术产业集聚区总体发展规划（2015-2025）-用地规划图（见附图2（1））可知，本项目所在地为工业用地；</w:t>
            </w:r>
            <w:r>
              <w:rPr>
                <w:rFonts w:ascii="Times New Roman" w:hAnsi="Times New Roman" w:eastAsia="宋体"/>
                <w:color w:val="000000" w:themeColor="text1"/>
                <w:sz w:val="24"/>
              </w:rPr>
              <w:t>根据</w:t>
            </w:r>
            <w:r>
              <w:rPr>
                <w:rFonts w:hint="eastAsia" w:ascii="Times New Roman" w:hAnsi="Times New Roman" w:eastAsia="宋体"/>
                <w:color w:val="000000" w:themeColor="text1"/>
                <w:sz w:val="24"/>
              </w:rPr>
              <w:t>新乡经济技术产业集聚区总体发展规划（2015-2025）-产业布局规划图（见附图2（2））可知，本项目位于纸制品印刷包装产业园。</w:t>
            </w:r>
          </w:p>
          <w:p>
            <w:pPr>
              <w:adjustRightInd w:val="0"/>
              <w:snapToGrid w:val="0"/>
              <w:spacing w:line="440" w:lineRule="exact"/>
              <w:ind w:firstLine="480" w:firstLineChars="200"/>
              <w:rPr>
                <w:rFonts w:ascii="Times New Roman" w:hAnsi="Times New Roman" w:eastAsia="宋体"/>
                <w:bCs/>
                <w:color w:val="000000" w:themeColor="text1"/>
                <w:sz w:val="24"/>
              </w:rPr>
            </w:pPr>
            <w:r>
              <w:rPr>
                <w:rFonts w:hint="eastAsia" w:ascii="Times New Roman" w:hAnsi="Times New Roman" w:eastAsia="宋体"/>
                <w:color w:val="000000" w:themeColor="text1"/>
                <w:sz w:val="24"/>
              </w:rPr>
              <w:t>依据《建设项目环境影响评价分类管理名录》（环境保护部令</w:t>
            </w:r>
            <w:r>
              <w:rPr>
                <w:rFonts w:ascii="Times New Roman" w:hAnsi="Times New Roman" w:eastAsia="宋体"/>
                <w:color w:val="000000" w:themeColor="text1"/>
                <w:sz w:val="24"/>
              </w:rPr>
              <w:t xml:space="preserve"> </w:t>
            </w:r>
            <w:r>
              <w:rPr>
                <w:rFonts w:hint="eastAsia" w:ascii="Times New Roman" w:hAnsi="Times New Roman" w:eastAsia="宋体"/>
                <w:color w:val="000000" w:themeColor="text1"/>
                <w:sz w:val="24"/>
              </w:rPr>
              <w:t>第</w:t>
            </w:r>
            <w:r>
              <w:rPr>
                <w:rFonts w:ascii="Times New Roman" w:hAnsi="Times New Roman" w:eastAsia="宋体"/>
                <w:color w:val="000000" w:themeColor="text1"/>
                <w:sz w:val="24"/>
              </w:rPr>
              <w:t>44</w:t>
            </w:r>
            <w:r>
              <w:rPr>
                <w:rFonts w:hint="eastAsia" w:ascii="Times New Roman" w:hAnsi="Times New Roman" w:eastAsia="宋体"/>
                <w:color w:val="000000" w:themeColor="text1"/>
                <w:sz w:val="24"/>
              </w:rPr>
              <w:t>号）及关于修改《建设项目环境影响评价分类管理名录》部分内容的决定（生态环境部令</w:t>
            </w:r>
            <w:r>
              <w:rPr>
                <w:rFonts w:ascii="Times New Roman" w:hAnsi="Times New Roman" w:eastAsia="宋体"/>
                <w:color w:val="000000" w:themeColor="text1"/>
                <w:sz w:val="24"/>
              </w:rPr>
              <w:t xml:space="preserve"> </w:t>
            </w:r>
            <w:r>
              <w:rPr>
                <w:rFonts w:hint="eastAsia" w:ascii="Times New Roman" w:hAnsi="Times New Roman" w:eastAsia="宋体"/>
                <w:color w:val="000000" w:themeColor="text1"/>
                <w:sz w:val="24"/>
              </w:rPr>
              <w:t>第</w:t>
            </w:r>
            <w:r>
              <w:rPr>
                <w:rFonts w:ascii="Times New Roman" w:hAnsi="Times New Roman" w:eastAsia="宋体"/>
                <w:color w:val="000000" w:themeColor="text1"/>
                <w:sz w:val="24"/>
              </w:rPr>
              <w:t>1</w:t>
            </w:r>
            <w:r>
              <w:rPr>
                <w:rFonts w:hint="eastAsia" w:ascii="Times New Roman" w:hAnsi="Times New Roman" w:eastAsia="宋体"/>
                <w:color w:val="000000" w:themeColor="text1"/>
                <w:sz w:val="24"/>
              </w:rPr>
              <w:t>号）规定</w:t>
            </w:r>
            <w:r>
              <w:rPr>
                <w:rFonts w:ascii="Times New Roman" w:hAnsi="Times New Roman" w:eastAsia="宋体"/>
                <w:color w:val="000000" w:themeColor="text1"/>
                <w:sz w:val="24"/>
              </w:rPr>
              <w:t>，本项目属于</w:t>
            </w:r>
            <w:r>
              <w:rPr>
                <w:rFonts w:hint="eastAsia" w:ascii="Times New Roman" w:eastAsia="宋体"/>
                <w:color w:val="000000" w:themeColor="text1"/>
                <w:sz w:val="24"/>
              </w:rPr>
              <w:t>十八、橡胶和塑料制品业</w:t>
            </w:r>
            <w:r>
              <w:rPr>
                <w:rFonts w:ascii="Times New Roman" w:hAnsi="Times New Roman" w:eastAsia="宋体"/>
                <w:color w:val="000000" w:themeColor="text1"/>
                <w:sz w:val="24"/>
              </w:rPr>
              <w:t>中第</w:t>
            </w:r>
            <w:r>
              <w:rPr>
                <w:rFonts w:hint="eastAsia" w:ascii="Times New Roman" w:hAnsi="Times New Roman" w:eastAsia="宋体"/>
                <w:color w:val="000000" w:themeColor="text1"/>
                <w:sz w:val="24"/>
              </w:rPr>
              <w:t>47</w:t>
            </w:r>
            <w:r>
              <w:rPr>
                <w:rFonts w:ascii="Times New Roman" w:hAnsi="Times New Roman" w:eastAsia="宋体"/>
                <w:color w:val="000000" w:themeColor="text1"/>
                <w:sz w:val="24"/>
              </w:rPr>
              <w:t>类、</w:t>
            </w:r>
            <w:r>
              <w:rPr>
                <w:rFonts w:hint="eastAsia" w:ascii="Times New Roman" w:eastAsia="宋体"/>
                <w:color w:val="000000" w:themeColor="text1"/>
                <w:sz w:val="24"/>
              </w:rPr>
              <w:t>塑料制品制造</w:t>
            </w:r>
            <w:r>
              <w:rPr>
                <w:rFonts w:ascii="Times New Roman" w:hAnsi="Times New Roman" w:eastAsia="宋体"/>
                <w:color w:val="000000" w:themeColor="text1"/>
                <w:sz w:val="24"/>
              </w:rPr>
              <w:t>，名录规定：</w:t>
            </w:r>
            <w:r>
              <w:rPr>
                <w:rFonts w:hint="eastAsia" w:ascii="Times New Roman" w:hAnsi="Times New Roman" w:eastAsia="宋体"/>
                <w:color w:val="000000" w:themeColor="text1"/>
                <w:sz w:val="24"/>
                <w:lang w:val="zh-CN"/>
              </w:rPr>
              <w:t>“</w:t>
            </w:r>
            <w:r>
              <w:rPr>
                <w:rFonts w:hint="eastAsia" w:ascii="Times New Roman" w:eastAsia="宋体"/>
                <w:color w:val="000000" w:themeColor="text1"/>
                <w:sz w:val="24"/>
                <w:lang w:val="zh-CN"/>
              </w:rPr>
              <w:t>人造革、发泡胶等涉及有毒原材料的；以再生塑料为原料的；有电镀或喷漆工艺且年用油性漆（含稀释剂）</w:t>
            </w:r>
            <w:r>
              <w:rPr>
                <w:rFonts w:hint="eastAsia" w:ascii="Times New Roman" w:hAnsi="Times New Roman" w:eastAsia="宋体"/>
                <w:color w:val="000000" w:themeColor="text1"/>
                <w:sz w:val="24"/>
                <w:lang w:val="zh-CN"/>
              </w:rPr>
              <w:t>10</w:t>
            </w:r>
            <w:r>
              <w:rPr>
                <w:rFonts w:hint="eastAsia" w:ascii="Times New Roman" w:eastAsia="宋体"/>
                <w:color w:val="000000" w:themeColor="text1"/>
                <w:sz w:val="24"/>
                <w:lang w:val="zh-CN"/>
              </w:rPr>
              <w:t>吨及以上的</w:t>
            </w:r>
            <w:r>
              <w:rPr>
                <w:rFonts w:hint="eastAsia" w:ascii="Times New Roman" w:hAnsi="Times New Roman" w:eastAsia="宋体"/>
                <w:color w:val="000000" w:themeColor="text1"/>
                <w:sz w:val="24"/>
                <w:lang w:val="zh-CN"/>
              </w:rPr>
              <w:t>”</w:t>
            </w:r>
            <w:r>
              <w:rPr>
                <w:rFonts w:hint="eastAsia" w:ascii="Times New Roman" w:eastAsia="宋体"/>
                <w:color w:val="000000" w:themeColor="text1"/>
                <w:sz w:val="24"/>
                <w:lang w:val="zh-CN"/>
              </w:rPr>
              <w:t>应编制环境影响报告书，</w:t>
            </w:r>
            <w:r>
              <w:rPr>
                <w:rFonts w:hint="eastAsia" w:ascii="Times New Roman" w:hAnsi="Times New Roman" w:eastAsia="宋体"/>
                <w:color w:val="000000" w:themeColor="text1"/>
                <w:sz w:val="24"/>
                <w:lang w:val="zh-CN"/>
              </w:rPr>
              <w:t>“</w:t>
            </w:r>
            <w:r>
              <w:rPr>
                <w:rFonts w:hint="eastAsia" w:ascii="Times New Roman" w:eastAsia="宋体"/>
                <w:color w:val="000000" w:themeColor="text1"/>
                <w:sz w:val="24"/>
                <w:lang w:val="zh-CN"/>
              </w:rPr>
              <w:t>其他</w:t>
            </w:r>
            <w:r>
              <w:rPr>
                <w:rFonts w:hint="eastAsia" w:ascii="Times New Roman" w:hAnsi="Times New Roman" w:eastAsia="宋体"/>
                <w:color w:val="000000" w:themeColor="text1"/>
                <w:sz w:val="24"/>
                <w:lang w:val="zh-CN"/>
              </w:rPr>
              <w:t>”</w:t>
            </w:r>
            <w:r>
              <w:rPr>
                <w:rFonts w:hint="eastAsia" w:ascii="Times New Roman" w:eastAsia="宋体"/>
                <w:color w:val="000000" w:themeColor="text1"/>
                <w:sz w:val="24"/>
                <w:lang w:val="zh-CN"/>
              </w:rPr>
              <w:t>应编制环境影响报告表。</w:t>
            </w:r>
            <w:r>
              <w:rPr>
                <w:rFonts w:hint="eastAsia" w:ascii="Times New Roman" w:eastAsia="宋体"/>
                <w:color w:val="000000" w:themeColor="text1"/>
                <w:sz w:val="24"/>
              </w:rPr>
              <w:t>本项目不涉及</w:t>
            </w:r>
            <w:r>
              <w:rPr>
                <w:rFonts w:hint="eastAsia" w:ascii="Times New Roman" w:eastAsia="宋体"/>
                <w:color w:val="000000" w:themeColor="text1"/>
                <w:sz w:val="24"/>
                <w:lang w:val="zh-CN"/>
              </w:rPr>
              <w:t>有毒原材料，</w:t>
            </w:r>
            <w:r>
              <w:rPr>
                <w:rFonts w:hint="eastAsia" w:ascii="Times New Roman" w:eastAsia="宋体"/>
                <w:color w:val="000000" w:themeColor="text1"/>
                <w:sz w:val="24"/>
              </w:rPr>
              <w:t>不属于</w:t>
            </w:r>
            <w:r>
              <w:rPr>
                <w:rFonts w:hint="eastAsia" w:ascii="Times New Roman" w:eastAsia="宋体"/>
                <w:color w:val="000000" w:themeColor="text1"/>
                <w:sz w:val="24"/>
                <w:lang w:val="zh-CN"/>
              </w:rPr>
              <w:t>以再生塑料为原料的，</w:t>
            </w:r>
            <w:r>
              <w:rPr>
                <w:rFonts w:hint="eastAsia" w:ascii="Times New Roman" w:eastAsia="宋体"/>
                <w:color w:val="000000" w:themeColor="text1"/>
                <w:sz w:val="24"/>
              </w:rPr>
              <w:t>不涉及电镀或喷漆工艺，属于</w:t>
            </w:r>
            <w:r>
              <w:rPr>
                <w:rFonts w:hint="eastAsia" w:ascii="Times New Roman" w:hAnsi="Times New Roman" w:eastAsia="宋体"/>
                <w:color w:val="000000" w:themeColor="text1"/>
                <w:sz w:val="24"/>
              </w:rPr>
              <w:t>“</w:t>
            </w:r>
            <w:r>
              <w:rPr>
                <w:rFonts w:hint="eastAsia" w:ascii="Times New Roman" w:eastAsia="宋体"/>
                <w:color w:val="000000" w:themeColor="text1"/>
                <w:sz w:val="24"/>
              </w:rPr>
              <w:t>其他</w:t>
            </w:r>
            <w:r>
              <w:rPr>
                <w:rFonts w:hint="eastAsia" w:ascii="Times New Roman" w:hAnsi="Times New Roman" w:eastAsia="宋体"/>
                <w:color w:val="000000" w:themeColor="text1"/>
                <w:sz w:val="24"/>
              </w:rPr>
              <w:t>”</w:t>
            </w:r>
            <w:r>
              <w:rPr>
                <w:rFonts w:hint="eastAsia" w:ascii="Times New Roman" w:eastAsia="宋体"/>
                <w:color w:val="000000" w:themeColor="text1"/>
                <w:sz w:val="24"/>
              </w:rPr>
              <w:t>，应编制环境影响评价报告表。</w:t>
            </w:r>
          </w:p>
          <w:p>
            <w:pPr>
              <w:adjustRightInd w:val="0"/>
              <w:snapToGrid w:val="0"/>
              <w:spacing w:line="440" w:lineRule="exact"/>
              <w:ind w:firstLine="480" w:firstLineChars="200"/>
              <w:rPr>
                <w:rFonts w:ascii="Times New Roman" w:hAnsi="Times New Roman" w:eastAsia="宋体"/>
                <w:color w:val="000000" w:themeColor="text1"/>
                <w:sz w:val="24"/>
              </w:rPr>
            </w:pPr>
            <w:r>
              <w:rPr>
                <w:rFonts w:ascii="Times New Roman" w:hAnsi="Times New Roman" w:eastAsia="宋体"/>
                <w:color w:val="000000" w:themeColor="text1"/>
                <w:sz w:val="24"/>
              </w:rPr>
              <w:t>受建设单位委托，本项目环境影响评价工作由我单位承担，根据《中华人民共和国环境保护法》、《中华人民共和国环境影响评价法》的有关规定，在现场调查和收集相关资料的基础上，按照“达标排放、清洁生产”的原则，本着“科学、公正、客观、严谨”的态度，编制了本项目的环境影响报告表。</w:t>
            </w:r>
          </w:p>
          <w:p>
            <w:pPr>
              <w:adjustRightInd w:val="0"/>
              <w:snapToGrid w:val="0"/>
              <w:spacing w:line="440" w:lineRule="exact"/>
              <w:rPr>
                <w:rFonts w:ascii="Times New Roman" w:hAnsi="Times New Roman" w:eastAsia="宋体"/>
                <w:b/>
                <w:bCs/>
                <w:color w:val="000000" w:themeColor="text1"/>
                <w:sz w:val="24"/>
              </w:rPr>
            </w:pPr>
            <w:r>
              <w:rPr>
                <w:rFonts w:ascii="Times New Roman" w:hAnsi="Times New Roman" w:eastAsia="宋体"/>
                <w:b/>
                <w:bCs/>
                <w:color w:val="000000" w:themeColor="text1"/>
                <w:sz w:val="24"/>
              </w:rPr>
              <w:t>二、项目建设地点及周围环境</w:t>
            </w:r>
          </w:p>
          <w:p>
            <w:pPr>
              <w:autoSpaceDE w:val="0"/>
              <w:autoSpaceDN w:val="0"/>
              <w:adjustRightInd w:val="0"/>
              <w:spacing w:line="440" w:lineRule="exact"/>
              <w:ind w:firstLine="480" w:firstLineChars="200"/>
              <w:jc w:val="left"/>
              <w:rPr>
                <w:rFonts w:ascii="Times New Roman" w:hAnsi="Times New Roman" w:eastAsia="宋体"/>
                <w:color w:val="000000" w:themeColor="text1"/>
                <w:kern w:val="1"/>
                <w:sz w:val="24"/>
              </w:rPr>
            </w:pPr>
            <w:r>
              <w:rPr>
                <w:rFonts w:ascii="Times New Roman" w:hAnsi="Times New Roman" w:eastAsia="宋体"/>
                <w:color w:val="000000" w:themeColor="text1"/>
                <w:kern w:val="1"/>
                <w:sz w:val="24"/>
              </w:rPr>
              <w:t>本项目位于</w:t>
            </w:r>
            <w:r>
              <w:rPr>
                <w:rFonts w:ascii="Times New Roman" w:hAnsi="Times New Roman" w:eastAsia="宋体"/>
                <w:bCs/>
                <w:color w:val="000000" w:themeColor="text1"/>
                <w:sz w:val="24"/>
              </w:rPr>
              <w:t>新乡市新乡县七里营镇</w:t>
            </w:r>
            <w:r>
              <w:rPr>
                <w:rFonts w:hint="eastAsia" w:ascii="Times New Roman" w:hAnsi="Times New Roman" w:eastAsia="宋体"/>
                <w:bCs/>
                <w:color w:val="000000" w:themeColor="text1"/>
                <w:sz w:val="24"/>
              </w:rPr>
              <w:t>107国道与胡韦线交叉口中原兴业产业园</w:t>
            </w:r>
            <w:r>
              <w:rPr>
                <w:rFonts w:ascii="Times New Roman" w:hAnsi="Times New Roman" w:eastAsia="宋体"/>
                <w:color w:val="000000" w:themeColor="text1"/>
                <w:kern w:val="1"/>
                <w:sz w:val="24"/>
              </w:rPr>
              <w:t>，</w:t>
            </w:r>
            <w:r>
              <w:rPr>
                <w:rFonts w:hint="eastAsia" w:ascii="Times New Roman" w:hAnsi="Times New Roman" w:eastAsia="宋体"/>
                <w:color w:val="000000" w:themeColor="text1"/>
                <w:kern w:val="1"/>
                <w:sz w:val="24"/>
              </w:rPr>
              <w:t>项目利用厂区内现有的厂房进行生产，项目东侧为空地；南侧为园区规划道路，隔道路为空地；西侧为空地；北侧为林地，隔林地为农田。距离项目最近的敏感点为南侧约946m处的东高村，距离项目最近的地表水体为北侧约2061m处的东孟姜女河。周围环境示意图见下图1及附图三：</w:t>
            </w:r>
          </w:p>
          <w:p>
            <w:pPr>
              <w:pStyle w:val="2"/>
              <w:rPr>
                <w:b/>
                <w:color w:val="000000" w:themeColor="text1"/>
                <w:sz w:val="24"/>
              </w:rPr>
            </w:pPr>
          </w:p>
          <w:p>
            <w:pPr>
              <w:rPr>
                <w:b/>
                <w:color w:val="000000" w:themeColor="text1"/>
                <w:sz w:val="24"/>
              </w:rPr>
            </w:pPr>
          </w:p>
          <w:p>
            <w:pPr>
              <w:pStyle w:val="2"/>
              <w:rPr>
                <w:b/>
                <w:color w:val="000000" w:themeColor="text1"/>
                <w:sz w:val="24"/>
              </w:rPr>
            </w:pPr>
          </w:p>
          <w:p>
            <w:pPr>
              <w:rPr>
                <w:b/>
                <w:color w:val="000000" w:themeColor="text1"/>
                <w:sz w:val="24"/>
              </w:rPr>
            </w:pPr>
          </w:p>
          <w:p>
            <w:pPr>
              <w:pStyle w:val="2"/>
              <w:rPr>
                <w:b/>
                <w:color w:val="000000" w:themeColor="text1"/>
                <w:sz w:val="24"/>
              </w:rPr>
            </w:pPr>
          </w:p>
          <w:p>
            <w:pPr>
              <w:rPr>
                <w:b/>
                <w:color w:val="000000" w:themeColor="text1"/>
                <w:sz w:val="24"/>
              </w:rPr>
            </w:pPr>
          </w:p>
          <w:p>
            <w:pPr>
              <w:pStyle w:val="2"/>
              <w:rPr>
                <w:b/>
                <w:color w:val="000000" w:themeColor="text1"/>
                <w:sz w:val="24"/>
              </w:rPr>
            </w:pPr>
          </w:p>
          <w:p>
            <w:pPr>
              <w:rPr>
                <w:b/>
                <w:color w:val="000000" w:themeColor="text1"/>
                <w:sz w:val="24"/>
              </w:rPr>
            </w:pPr>
          </w:p>
          <w:p>
            <w:pPr>
              <w:pStyle w:val="2"/>
              <w:rPr>
                <w:b/>
                <w:color w:val="000000" w:themeColor="text1"/>
                <w:sz w:val="24"/>
              </w:rPr>
            </w:pPr>
          </w:p>
          <w:p>
            <w:pPr>
              <w:rPr>
                <w:b/>
                <w:color w:val="000000" w:themeColor="text1"/>
                <w:sz w:val="24"/>
              </w:rPr>
            </w:pPr>
          </w:p>
          <w:p>
            <w:pPr>
              <w:pStyle w:val="2"/>
              <w:rPr>
                <w:b/>
                <w:color w:val="000000" w:themeColor="text1"/>
                <w:sz w:val="24"/>
              </w:rPr>
            </w:pPr>
          </w:p>
          <w:p>
            <w:pPr>
              <w:rPr>
                <w:b/>
                <w:color w:val="000000" w:themeColor="text1"/>
                <w:sz w:val="24"/>
              </w:rPr>
            </w:pPr>
          </w:p>
          <w:p>
            <w:pPr>
              <w:pStyle w:val="2"/>
              <w:rPr>
                <w:b/>
                <w:color w:val="000000" w:themeColor="text1"/>
                <w:sz w:val="24"/>
              </w:rPr>
            </w:pPr>
          </w:p>
          <w:p>
            <w:pPr>
              <w:rPr>
                <w:b/>
                <w:color w:val="000000" w:themeColor="text1"/>
                <w:sz w:val="24"/>
              </w:rPr>
            </w:pPr>
          </w:p>
          <w:p>
            <w:pPr>
              <w:rPr>
                <w:color w:val="000000" w:themeColor="text1"/>
              </w:rPr>
            </w:pPr>
          </w:p>
          <w:p>
            <w:pPr>
              <w:widowControl/>
              <w:jc w:val="center"/>
              <w:rPr>
                <w:rFonts w:ascii="Times New Roman" w:hAnsi="Times New Roman" w:eastAsia="宋体"/>
                <w:color w:val="000000" w:themeColor="text1"/>
              </w:rPr>
            </w:pPr>
            <w:r>
              <w:rPr>
                <w:rFonts w:ascii="Times New Roman" w:hAnsi="Times New Roman" w:eastAsia="宋体"/>
                <w:color w:val="000000" w:themeColor="text1"/>
              </w:rPr>
              <w:drawing>
                <wp:inline distT="0" distB="0" distL="0" distR="0">
                  <wp:extent cx="4263390" cy="3491230"/>
                  <wp:effectExtent l="19050" t="0" r="3810" b="0"/>
                  <wp:docPr id="716" name="图片 11" descr="C:\Users\linhu\Desktop\QQ截图202009141049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图片 11" descr="C:\Users\linhu\Desktop\QQ截图20200914104902.bmp"/>
                          <pic:cNvPicPr>
                            <a:picLocks noChangeAspect="1" noChangeArrowheads="1"/>
                          </pic:cNvPicPr>
                        </pic:nvPicPr>
                        <pic:blipFill>
                          <a:blip r:embed="rId10"/>
                          <a:srcRect/>
                          <a:stretch>
                            <a:fillRect/>
                          </a:stretch>
                        </pic:blipFill>
                        <pic:spPr>
                          <a:xfrm>
                            <a:off x="0" y="0"/>
                            <a:ext cx="4263390" cy="3491230"/>
                          </a:xfrm>
                          <a:prstGeom prst="rect">
                            <a:avLst/>
                          </a:prstGeom>
                          <a:noFill/>
                          <a:ln w="9525">
                            <a:noFill/>
                            <a:miter lim="800000"/>
                            <a:headEnd/>
                            <a:tailEnd/>
                          </a:ln>
                        </pic:spPr>
                      </pic:pic>
                    </a:graphicData>
                  </a:graphic>
                </wp:inline>
              </w:drawing>
            </w:r>
          </w:p>
          <w:p>
            <w:pPr>
              <w:pStyle w:val="23"/>
              <w:spacing w:after="0" w:line="440" w:lineRule="exact"/>
              <w:ind w:left="0" w:leftChars="0" w:firstLine="0" w:firstLineChars="0"/>
              <w:jc w:val="center"/>
              <w:rPr>
                <w:b/>
                <w:bCs/>
                <w:color w:val="000000" w:themeColor="text1"/>
                <w:sz w:val="24"/>
              </w:rPr>
            </w:pPr>
            <w:r>
              <w:rPr>
                <w:rFonts w:hint="eastAsia"/>
                <w:b/>
                <w:bCs/>
                <w:color w:val="000000" w:themeColor="text1"/>
                <w:sz w:val="24"/>
              </w:rPr>
              <w:t>图1</w:t>
            </w:r>
            <w:r>
              <w:rPr>
                <w:b/>
                <w:bCs/>
                <w:color w:val="000000" w:themeColor="text1"/>
                <w:sz w:val="24"/>
              </w:rPr>
              <w:t xml:space="preserve">    项目周围环境图</w:t>
            </w:r>
          </w:p>
          <w:p>
            <w:pPr>
              <w:spacing w:line="440" w:lineRule="exact"/>
              <w:rPr>
                <w:rFonts w:ascii="Times New Roman" w:hAnsi="Times New Roman" w:eastAsia="宋体"/>
                <w:b/>
                <w:color w:val="000000" w:themeColor="text1"/>
                <w:sz w:val="24"/>
                <w:lang w:val="pt-BR"/>
              </w:rPr>
            </w:pPr>
            <w:r>
              <w:rPr>
                <w:rFonts w:ascii="Times New Roman" w:hAnsi="Times New Roman" w:eastAsia="宋体"/>
                <w:b/>
                <w:color w:val="000000" w:themeColor="text1"/>
                <w:sz w:val="24"/>
              </w:rPr>
              <w:t>三、工程内容</w:t>
            </w:r>
          </w:p>
          <w:p>
            <w:pPr>
              <w:adjustRightInd w:val="0"/>
              <w:snapToGrid w:val="0"/>
              <w:spacing w:line="440" w:lineRule="exact"/>
              <w:ind w:firstLine="482" w:firstLineChars="200"/>
              <w:rPr>
                <w:rFonts w:ascii="Times New Roman" w:hAnsi="Times New Roman" w:eastAsia="宋体"/>
                <w:b/>
                <w:color w:val="000000" w:themeColor="text1"/>
                <w:sz w:val="24"/>
              </w:rPr>
            </w:pPr>
            <w:r>
              <w:rPr>
                <w:rFonts w:ascii="Times New Roman" w:hAnsi="Times New Roman" w:eastAsia="宋体"/>
                <w:b/>
                <w:color w:val="000000" w:themeColor="text1"/>
                <w:sz w:val="24"/>
              </w:rPr>
              <w:t>1、项目概况</w:t>
            </w:r>
          </w:p>
          <w:p>
            <w:pPr>
              <w:spacing w:line="440" w:lineRule="exact"/>
              <w:ind w:firstLine="480" w:firstLineChars="200"/>
              <w:jc w:val="left"/>
              <w:rPr>
                <w:rFonts w:ascii="Times New Roman" w:hAnsi="Times New Roman" w:eastAsia="宋体"/>
                <w:color w:val="000000" w:themeColor="text1"/>
                <w:sz w:val="24"/>
              </w:rPr>
            </w:pPr>
            <w:r>
              <w:rPr>
                <w:rFonts w:ascii="Times New Roman" w:hAnsi="Times New Roman" w:eastAsia="宋体"/>
                <w:color w:val="000000" w:themeColor="text1"/>
                <w:sz w:val="24"/>
              </w:rPr>
              <w:t>项目的基本情况见下表1：</w:t>
            </w:r>
          </w:p>
          <w:p>
            <w:pPr>
              <w:autoSpaceDE w:val="0"/>
              <w:autoSpaceDN w:val="0"/>
              <w:adjustRightInd w:val="0"/>
              <w:spacing w:line="440" w:lineRule="exact"/>
              <w:jc w:val="center"/>
              <w:rPr>
                <w:rFonts w:ascii="Times New Roman" w:hAnsi="Times New Roman" w:eastAsia="宋体"/>
                <w:b/>
                <w:color w:val="000000" w:themeColor="text1"/>
                <w:sz w:val="24"/>
              </w:rPr>
            </w:pPr>
            <w:r>
              <w:rPr>
                <w:rFonts w:ascii="Times New Roman" w:hAnsi="Times New Roman" w:eastAsia="宋体"/>
                <w:b/>
                <w:color w:val="000000" w:themeColor="text1"/>
                <w:sz w:val="24"/>
              </w:rPr>
              <w:t>表1    本项目基本情况一览表</w:t>
            </w:r>
          </w:p>
          <w:tbl>
            <w:tblPr>
              <w:tblStyle w:val="24"/>
              <w:tblW w:w="9071"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52"/>
              <w:gridCol w:w="671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2339" w:type="dxa"/>
                  <w:tcBorders>
                    <w:top w:val="single" w:color="auto" w:sz="8" w:space="0"/>
                    <w:bottom w:val="single" w:color="auto" w:sz="8" w:space="0"/>
                  </w:tcBorders>
                  <w:vAlign w:val="center"/>
                </w:tcPr>
                <w:p>
                  <w:pPr>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项目</w:t>
                  </w:r>
                </w:p>
              </w:tc>
              <w:tc>
                <w:tcPr>
                  <w:tcW w:w="6680" w:type="dxa"/>
                  <w:tcBorders>
                    <w:top w:val="single" w:color="auto" w:sz="8" w:space="0"/>
                    <w:bottom w:val="single" w:color="auto" w:sz="8" w:space="0"/>
                  </w:tcBorders>
                  <w:vAlign w:val="center"/>
                </w:tcPr>
                <w:p>
                  <w:pPr>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建设内容</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9" w:type="dxa"/>
                  <w:tcBorders>
                    <w:top w:val="single" w:color="auto" w:sz="8" w:space="0"/>
                    <w:bottom w:val="single" w:color="auto" w:sz="4" w:space="0"/>
                  </w:tcBorders>
                  <w:vAlign w:val="center"/>
                </w:tcPr>
                <w:p>
                  <w:pPr>
                    <w:pStyle w:val="10"/>
                    <w:spacing w:line="240" w:lineRule="auto"/>
                    <w:ind w:firstLine="0" w:firstLineChars="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项目名称</w:t>
                  </w:r>
                </w:p>
              </w:tc>
              <w:tc>
                <w:tcPr>
                  <w:tcW w:w="6680" w:type="dxa"/>
                  <w:tcBorders>
                    <w:top w:val="single" w:color="auto" w:sz="8" w:space="0"/>
                    <w:bottom w:val="single" w:color="auto" w:sz="4" w:space="0"/>
                  </w:tcBorders>
                  <w:vAlign w:val="center"/>
                </w:tcPr>
                <w:p>
                  <w:pPr>
                    <w:pStyle w:val="10"/>
                    <w:spacing w:line="240" w:lineRule="auto"/>
                    <w:ind w:firstLine="0" w:firstLineChars="0"/>
                    <w:jc w:val="center"/>
                    <w:rPr>
                      <w:rFonts w:ascii="Times New Roman" w:hAnsi="Times New Roman" w:eastAsia="宋体"/>
                      <w:color w:val="000000" w:themeColor="text1"/>
                      <w:sz w:val="21"/>
                      <w:szCs w:val="21"/>
                    </w:rPr>
                  </w:pPr>
                  <w:r>
                    <w:rPr>
                      <w:rFonts w:hint="eastAsia" w:ascii="Times New Roman" w:hAnsi="Times New Roman" w:eastAsia="宋体"/>
                      <w:bCs/>
                      <w:color w:val="000000" w:themeColor="text1"/>
                      <w:sz w:val="21"/>
                      <w:szCs w:val="21"/>
                    </w:rPr>
                    <w:t>新乡市顺风船科技有限公司年产1200吨塑料磁吸门帘</w:t>
                  </w:r>
                  <w:r>
                    <w:rPr>
                      <w:rFonts w:ascii="Times New Roman" w:hAnsi="Times New Roman" w:eastAsia="宋体"/>
                      <w:bCs/>
                      <w:color w:val="000000" w:themeColor="text1"/>
                      <w:sz w:val="21"/>
                      <w:szCs w:val="21"/>
                    </w:rPr>
                    <w:t>项目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9" w:type="dxa"/>
                  <w:tcBorders>
                    <w:top w:val="single" w:color="auto" w:sz="4" w:space="0"/>
                  </w:tcBorders>
                  <w:vAlign w:val="center"/>
                </w:tcPr>
                <w:p>
                  <w:pPr>
                    <w:pStyle w:val="10"/>
                    <w:spacing w:line="240" w:lineRule="auto"/>
                    <w:ind w:firstLine="0" w:firstLineChars="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建设性质</w:t>
                  </w:r>
                </w:p>
              </w:tc>
              <w:tc>
                <w:tcPr>
                  <w:tcW w:w="6680" w:type="dxa"/>
                  <w:tcBorders>
                    <w:top w:val="single" w:color="auto" w:sz="4" w:space="0"/>
                  </w:tcBorders>
                  <w:vAlign w:val="center"/>
                </w:tcPr>
                <w:p>
                  <w:pPr>
                    <w:pStyle w:val="10"/>
                    <w:spacing w:line="240" w:lineRule="auto"/>
                    <w:ind w:firstLine="0" w:firstLineChars="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扩建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9" w:type="dxa"/>
                  <w:vAlign w:val="center"/>
                </w:tcPr>
                <w:p>
                  <w:pPr>
                    <w:pStyle w:val="10"/>
                    <w:spacing w:line="240" w:lineRule="auto"/>
                    <w:ind w:firstLine="0" w:firstLineChars="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建设单位</w:t>
                  </w:r>
                </w:p>
              </w:tc>
              <w:tc>
                <w:tcPr>
                  <w:tcW w:w="6680" w:type="dxa"/>
                  <w:vAlign w:val="center"/>
                </w:tcPr>
                <w:p>
                  <w:pPr>
                    <w:pStyle w:val="10"/>
                    <w:spacing w:line="240" w:lineRule="auto"/>
                    <w:ind w:firstLine="0" w:firstLineChars="0"/>
                    <w:jc w:val="center"/>
                    <w:rPr>
                      <w:rFonts w:ascii="Times New Roman" w:hAnsi="Times New Roman" w:eastAsia="宋体"/>
                      <w:color w:val="000000" w:themeColor="text1"/>
                      <w:sz w:val="21"/>
                      <w:szCs w:val="21"/>
                    </w:rPr>
                  </w:pPr>
                  <w:r>
                    <w:rPr>
                      <w:rFonts w:hint="eastAsia" w:ascii="Times New Roman" w:hAnsi="Times New Roman" w:eastAsia="宋体"/>
                      <w:bCs/>
                      <w:color w:val="000000" w:themeColor="text1"/>
                      <w:sz w:val="21"/>
                      <w:szCs w:val="21"/>
                    </w:rPr>
                    <w:t>新乡市顺风船科技有限公司</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9" w:type="dxa"/>
                  <w:vAlign w:val="center"/>
                </w:tcPr>
                <w:p>
                  <w:pPr>
                    <w:pStyle w:val="10"/>
                    <w:spacing w:line="240" w:lineRule="auto"/>
                    <w:ind w:firstLine="0" w:firstLineChars="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建设地点</w:t>
                  </w:r>
                </w:p>
              </w:tc>
              <w:tc>
                <w:tcPr>
                  <w:tcW w:w="6680" w:type="dxa"/>
                  <w:vAlign w:val="center"/>
                </w:tcPr>
                <w:p>
                  <w:pPr>
                    <w:pStyle w:val="10"/>
                    <w:spacing w:line="240" w:lineRule="auto"/>
                    <w:ind w:firstLine="0" w:firstLineChars="0"/>
                    <w:jc w:val="center"/>
                    <w:rPr>
                      <w:rFonts w:ascii="Times New Roman" w:hAnsi="Times New Roman" w:eastAsia="宋体"/>
                      <w:color w:val="000000" w:themeColor="text1"/>
                      <w:sz w:val="21"/>
                      <w:szCs w:val="21"/>
                    </w:rPr>
                  </w:pPr>
                  <w:r>
                    <w:rPr>
                      <w:rFonts w:ascii="Times New Roman" w:hAnsi="Times New Roman" w:eastAsia="宋体"/>
                      <w:bCs/>
                      <w:color w:val="000000" w:themeColor="text1"/>
                      <w:sz w:val="21"/>
                      <w:szCs w:val="21"/>
                    </w:rPr>
                    <w:t>新乡市新乡县七里营镇</w:t>
                  </w:r>
                  <w:r>
                    <w:rPr>
                      <w:rFonts w:hint="eastAsia" w:ascii="Times New Roman" w:hAnsi="Times New Roman" w:eastAsia="宋体"/>
                      <w:bCs/>
                      <w:color w:val="000000" w:themeColor="text1"/>
                      <w:sz w:val="21"/>
                      <w:szCs w:val="21"/>
                    </w:rPr>
                    <w:t>107国道与胡韦线交叉口中原兴业产业园</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9" w:type="dxa"/>
                  <w:vAlign w:val="center"/>
                </w:tcPr>
                <w:p>
                  <w:pPr>
                    <w:pStyle w:val="10"/>
                    <w:spacing w:line="240" w:lineRule="auto"/>
                    <w:ind w:firstLine="0" w:firstLineChars="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工程投资</w:t>
                  </w:r>
                </w:p>
              </w:tc>
              <w:tc>
                <w:tcPr>
                  <w:tcW w:w="6680" w:type="dxa"/>
                  <w:vAlign w:val="center"/>
                </w:tcPr>
                <w:p>
                  <w:pPr>
                    <w:pStyle w:val="10"/>
                    <w:spacing w:line="240" w:lineRule="auto"/>
                    <w:ind w:firstLine="0" w:firstLineChars="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5</w:t>
                  </w:r>
                  <w:r>
                    <w:rPr>
                      <w:rFonts w:ascii="Times New Roman" w:hAnsi="Times New Roman" w:eastAsia="宋体"/>
                      <w:color w:val="000000" w:themeColor="text1"/>
                      <w:sz w:val="21"/>
                      <w:szCs w:val="21"/>
                    </w:rPr>
                    <w:t>0万元</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9" w:type="dxa"/>
                  <w:vAlign w:val="center"/>
                </w:tcPr>
                <w:p>
                  <w:pPr>
                    <w:pStyle w:val="10"/>
                    <w:spacing w:line="240" w:lineRule="auto"/>
                    <w:ind w:firstLine="0" w:firstLineChars="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占地面积</w:t>
                  </w:r>
                </w:p>
              </w:tc>
              <w:tc>
                <w:tcPr>
                  <w:tcW w:w="6680" w:type="dxa"/>
                  <w:vAlign w:val="center"/>
                </w:tcPr>
                <w:p>
                  <w:pPr>
                    <w:pStyle w:val="10"/>
                    <w:spacing w:line="240" w:lineRule="auto"/>
                    <w:ind w:firstLine="0" w:firstLineChars="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2025</w:t>
                  </w:r>
                  <w:r>
                    <w:rPr>
                      <w:rFonts w:ascii="Times New Roman" w:hAnsi="Times New Roman" w:eastAsia="宋体"/>
                      <w:color w:val="000000" w:themeColor="text1"/>
                      <w:sz w:val="21"/>
                      <w:szCs w:val="21"/>
                    </w:rPr>
                    <w:t>m</w:t>
                  </w:r>
                  <w:r>
                    <w:rPr>
                      <w:rFonts w:ascii="Times New Roman" w:hAnsi="Times New Roman" w:eastAsia="宋体"/>
                      <w:color w:val="000000" w:themeColor="text1"/>
                      <w:sz w:val="21"/>
                      <w:szCs w:val="21"/>
                      <w:vertAlign w:val="superscript"/>
                    </w:rPr>
                    <w:t>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9" w:type="dxa"/>
                  <w:vAlign w:val="center"/>
                </w:tcPr>
                <w:p>
                  <w:pPr>
                    <w:pStyle w:val="10"/>
                    <w:spacing w:line="240" w:lineRule="auto"/>
                    <w:ind w:firstLine="0" w:firstLineChars="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用地性质</w:t>
                  </w:r>
                </w:p>
              </w:tc>
              <w:tc>
                <w:tcPr>
                  <w:tcW w:w="6680" w:type="dxa"/>
                  <w:vAlign w:val="center"/>
                </w:tcPr>
                <w:p>
                  <w:pPr>
                    <w:pStyle w:val="10"/>
                    <w:spacing w:line="240" w:lineRule="auto"/>
                    <w:ind w:firstLine="0" w:firstLineChars="0"/>
                    <w:jc w:val="center"/>
                    <w:rPr>
                      <w:rFonts w:ascii="Times New Roman" w:hAnsi="Times New Roman" w:eastAsia="宋体"/>
                      <w:color w:val="000000" w:themeColor="text1"/>
                      <w:sz w:val="21"/>
                      <w:szCs w:val="21"/>
                      <w:highlight w:val="yellow"/>
                    </w:rPr>
                  </w:pPr>
                  <w:r>
                    <w:rPr>
                      <w:rFonts w:ascii="Times New Roman" w:hAnsi="Times New Roman" w:eastAsia="宋体"/>
                      <w:color w:val="000000" w:themeColor="text1"/>
                      <w:sz w:val="21"/>
                      <w:szCs w:val="21"/>
                    </w:rPr>
                    <w:t>工业用地</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9" w:type="dxa"/>
                  <w:tcBorders>
                    <w:bottom w:val="single" w:color="auto" w:sz="8" w:space="0"/>
                  </w:tcBorders>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劳动定员及工作制度</w:t>
                  </w:r>
                </w:p>
              </w:tc>
              <w:tc>
                <w:tcPr>
                  <w:tcW w:w="6680" w:type="dxa"/>
                  <w:tcBorders>
                    <w:bottom w:val="single" w:color="auto" w:sz="8"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原有工程劳动定员</w:t>
                  </w:r>
                  <w:r>
                    <w:rPr>
                      <w:rFonts w:hint="eastAsia" w:ascii="Times New Roman" w:hAnsi="Times New Roman" w:eastAsia="宋体"/>
                      <w:color w:val="000000" w:themeColor="text1"/>
                      <w:szCs w:val="21"/>
                    </w:rPr>
                    <w:t>42</w:t>
                  </w:r>
                  <w:r>
                    <w:rPr>
                      <w:rFonts w:ascii="Times New Roman" w:hAnsi="Times New Roman" w:eastAsia="宋体"/>
                      <w:color w:val="000000" w:themeColor="text1"/>
                      <w:szCs w:val="21"/>
                    </w:rPr>
                    <w:t>人，单</w:t>
                  </w:r>
                  <w:r>
                    <w:rPr>
                      <w:rFonts w:hint="eastAsia" w:ascii="Times New Roman" w:hAnsi="Times New Roman" w:eastAsia="宋体"/>
                      <w:color w:val="000000" w:themeColor="text1"/>
                      <w:szCs w:val="21"/>
                    </w:rPr>
                    <w:t>班制</w:t>
                  </w:r>
                  <w:r>
                    <w:rPr>
                      <w:rFonts w:ascii="Times New Roman" w:hAnsi="Times New Roman" w:eastAsia="宋体"/>
                      <w:color w:val="000000" w:themeColor="text1"/>
                      <w:szCs w:val="21"/>
                    </w:rPr>
                    <w:t>，每班工作8小时，年工作300天。</w:t>
                  </w:r>
                  <w:r>
                    <w:rPr>
                      <w:rFonts w:hint="eastAsia" w:ascii="Times New Roman" w:eastAsia="宋体"/>
                      <w:color w:val="000000" w:themeColor="text1"/>
                      <w:szCs w:val="21"/>
                    </w:rPr>
                    <w:t>本项目利用原有职工，不新增职工人数，工作制度不变</w:t>
                  </w:r>
                </w:p>
              </w:tc>
            </w:tr>
          </w:tbl>
          <w:p>
            <w:pPr>
              <w:spacing w:line="440" w:lineRule="exact"/>
              <w:ind w:firstLine="482" w:firstLineChars="200"/>
              <w:rPr>
                <w:rFonts w:ascii="Times New Roman" w:hAnsi="Times New Roman" w:eastAsia="宋体"/>
                <w:b/>
                <w:color w:val="000000" w:themeColor="text1"/>
                <w:sz w:val="24"/>
              </w:rPr>
            </w:pPr>
            <w:r>
              <w:rPr>
                <w:rFonts w:ascii="Times New Roman" w:hAnsi="Times New Roman" w:eastAsia="宋体"/>
                <w:b/>
                <w:color w:val="000000" w:themeColor="text1"/>
                <w:sz w:val="24"/>
              </w:rPr>
              <w:t>2、项目组成及建设情况</w:t>
            </w:r>
          </w:p>
          <w:p>
            <w:pPr>
              <w:spacing w:line="440" w:lineRule="exact"/>
              <w:ind w:firstLine="480" w:firstLineChars="200"/>
              <w:rPr>
                <w:rFonts w:ascii="Times New Roman" w:hAnsi="Times New Roman" w:eastAsia="宋体"/>
                <w:color w:val="000000" w:themeColor="text1"/>
                <w:sz w:val="24"/>
              </w:rPr>
            </w:pPr>
            <w:r>
              <w:rPr>
                <w:rFonts w:ascii="Times New Roman" w:hAnsi="Times New Roman" w:eastAsia="宋体"/>
                <w:bCs/>
                <w:color w:val="000000" w:themeColor="text1"/>
                <w:sz w:val="24"/>
              </w:rPr>
              <w:t>本项目</w:t>
            </w:r>
            <w:r>
              <w:rPr>
                <w:rFonts w:hint="eastAsia" w:ascii="Times New Roman" w:hAnsi="Times New Roman" w:eastAsia="宋体"/>
                <w:color w:val="000000" w:themeColor="text1"/>
                <w:kern w:val="1"/>
                <w:sz w:val="24"/>
              </w:rPr>
              <w:t>利用厂区内现有的厂房进行生产建设</w:t>
            </w:r>
            <w:r>
              <w:rPr>
                <w:rFonts w:ascii="Times New Roman" w:hAnsi="Times New Roman" w:eastAsia="宋体"/>
                <w:bCs/>
                <w:color w:val="000000" w:themeColor="text1"/>
                <w:sz w:val="24"/>
              </w:rPr>
              <w:t>，</w:t>
            </w:r>
            <w:r>
              <w:rPr>
                <w:rFonts w:ascii="Times New Roman" w:hAnsi="Times New Roman" w:eastAsia="宋体"/>
                <w:color w:val="000000" w:themeColor="text1"/>
                <w:spacing w:val="-5"/>
                <w:sz w:val="24"/>
              </w:rPr>
              <w:t>不新增占地</w:t>
            </w:r>
            <w:r>
              <w:rPr>
                <w:rFonts w:ascii="Times New Roman" w:hAnsi="Times New Roman" w:eastAsia="宋体"/>
                <w:color w:val="000000" w:themeColor="text1"/>
                <w:sz w:val="24"/>
              </w:rPr>
              <w:t>。经过现场勘查，项目生产设备尚未安装，不具备生产能力，现场照片如图2。</w:t>
            </w:r>
          </w:p>
          <w:p>
            <w:pPr>
              <w:pStyle w:val="2"/>
            </w:pPr>
          </w:p>
          <w:p/>
          <w:p>
            <w:pPr>
              <w:pStyle w:val="2"/>
            </w:pPr>
          </w:p>
          <w:p>
            <w:pPr>
              <w:rPr>
                <w:color w:val="000000" w:themeColor="text1"/>
                <w:highlight w:val="yellow"/>
              </w:rPr>
            </w:pPr>
            <w:r>
              <w:rPr>
                <w:color w:val="000000" w:themeColor="text1"/>
              </w:rPr>
              <w:drawing>
                <wp:anchor distT="0" distB="0" distL="114300" distR="114300" simplePos="0" relativeHeight="251787264" behindDoc="1" locked="0" layoutInCell="1" allowOverlap="1">
                  <wp:simplePos x="0" y="0"/>
                  <wp:positionH relativeFrom="column">
                    <wp:posOffset>21590</wp:posOffset>
                  </wp:positionH>
                  <wp:positionV relativeFrom="paragraph">
                    <wp:posOffset>28575</wp:posOffset>
                  </wp:positionV>
                  <wp:extent cx="5681345" cy="2113915"/>
                  <wp:effectExtent l="19050" t="0" r="0" b="0"/>
                  <wp:wrapNone/>
                  <wp:docPr id="717" name="图片 12" descr="C:\Users\linhu\Desktop\QQ截图2020091410493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图片 12" descr="C:\Users\linhu\Desktop\QQ截图20200914104930.bmp"/>
                          <pic:cNvPicPr>
                            <a:picLocks noChangeAspect="1" noChangeArrowheads="1"/>
                          </pic:cNvPicPr>
                        </pic:nvPicPr>
                        <pic:blipFill>
                          <a:blip r:embed="rId11"/>
                          <a:srcRect/>
                          <a:stretch>
                            <a:fillRect/>
                          </a:stretch>
                        </pic:blipFill>
                        <pic:spPr>
                          <a:xfrm>
                            <a:off x="0" y="0"/>
                            <a:ext cx="5681106" cy="2113807"/>
                          </a:xfrm>
                          <a:prstGeom prst="rect">
                            <a:avLst/>
                          </a:prstGeom>
                          <a:noFill/>
                          <a:ln w="9525">
                            <a:noFill/>
                            <a:miter lim="800000"/>
                            <a:headEnd/>
                            <a:tailEnd/>
                          </a:ln>
                        </pic:spPr>
                      </pic:pic>
                    </a:graphicData>
                  </a:graphic>
                </wp:anchor>
              </w:drawing>
            </w:r>
          </w:p>
          <w:p>
            <w:pPr>
              <w:rPr>
                <w:b/>
                <w:color w:val="000000" w:themeColor="text1"/>
                <w:sz w:val="24"/>
                <w:highlight w:val="yellow"/>
              </w:rPr>
            </w:pPr>
          </w:p>
          <w:p>
            <w:pPr>
              <w:pStyle w:val="2"/>
              <w:rPr>
                <w:b/>
                <w:color w:val="000000" w:themeColor="text1"/>
                <w:sz w:val="24"/>
                <w:highlight w:val="yellow"/>
              </w:rPr>
            </w:pPr>
          </w:p>
          <w:p>
            <w:pPr>
              <w:rPr>
                <w:b/>
                <w:color w:val="000000" w:themeColor="text1"/>
                <w:sz w:val="24"/>
                <w:highlight w:val="yellow"/>
              </w:rPr>
            </w:pPr>
          </w:p>
          <w:p>
            <w:pPr>
              <w:pStyle w:val="2"/>
              <w:rPr>
                <w:b/>
                <w:color w:val="000000" w:themeColor="text1"/>
                <w:sz w:val="24"/>
                <w:highlight w:val="yellow"/>
              </w:rPr>
            </w:pPr>
          </w:p>
          <w:p>
            <w:pPr>
              <w:rPr>
                <w:b/>
                <w:color w:val="000000" w:themeColor="text1"/>
                <w:sz w:val="24"/>
                <w:highlight w:val="yellow"/>
              </w:rPr>
            </w:pPr>
          </w:p>
          <w:p>
            <w:pPr>
              <w:pStyle w:val="2"/>
              <w:rPr>
                <w:b/>
                <w:color w:val="000000" w:themeColor="text1"/>
                <w:sz w:val="24"/>
                <w:highlight w:val="yellow"/>
              </w:rPr>
            </w:pPr>
          </w:p>
          <w:p>
            <w:pPr>
              <w:rPr>
                <w:b/>
                <w:color w:val="000000" w:themeColor="text1"/>
                <w:sz w:val="24"/>
                <w:highlight w:val="yellow"/>
              </w:rPr>
            </w:pPr>
          </w:p>
          <w:p>
            <w:pPr>
              <w:pStyle w:val="2"/>
              <w:rPr>
                <w:b/>
                <w:color w:val="000000" w:themeColor="text1"/>
                <w:sz w:val="24"/>
                <w:highlight w:val="yellow"/>
              </w:rPr>
            </w:pPr>
          </w:p>
          <w:p>
            <w:pPr>
              <w:rPr>
                <w:b/>
                <w:color w:val="000000" w:themeColor="text1"/>
                <w:sz w:val="24"/>
                <w:highlight w:val="yellow"/>
              </w:rPr>
            </w:pPr>
          </w:p>
          <w:p>
            <w:pPr>
              <w:rPr>
                <w:color w:val="000000" w:themeColor="text1"/>
                <w:highlight w:val="yellow"/>
              </w:rPr>
            </w:pPr>
          </w:p>
          <w:p>
            <w:pPr>
              <w:pStyle w:val="23"/>
              <w:spacing w:after="0" w:line="440" w:lineRule="exact"/>
              <w:ind w:left="0" w:leftChars="0" w:firstLine="0" w:firstLineChars="0"/>
              <w:jc w:val="center"/>
              <w:rPr>
                <w:b/>
                <w:bCs/>
                <w:color w:val="000000" w:themeColor="text1"/>
                <w:sz w:val="24"/>
              </w:rPr>
            </w:pPr>
            <w:r>
              <w:rPr>
                <w:b/>
                <w:bCs/>
                <w:color w:val="000000" w:themeColor="text1"/>
                <w:sz w:val="24"/>
              </w:rPr>
              <w:t>图2    项目现状图</w:t>
            </w:r>
          </w:p>
          <w:p>
            <w:pPr>
              <w:adjustRightInd w:val="0"/>
              <w:snapToGrid w:val="0"/>
              <w:spacing w:line="440" w:lineRule="exact"/>
              <w:jc w:val="center"/>
              <w:rPr>
                <w:rFonts w:ascii="Times New Roman" w:hAnsi="Times New Roman" w:eastAsia="宋体"/>
                <w:b/>
                <w:color w:val="000000" w:themeColor="text1"/>
                <w:sz w:val="24"/>
                <w:highlight w:val="yellow"/>
              </w:rPr>
            </w:pPr>
            <w:r>
              <w:rPr>
                <w:rFonts w:ascii="Times New Roman" w:hAnsi="Times New Roman" w:eastAsia="宋体"/>
                <w:b/>
                <w:color w:val="000000" w:themeColor="text1"/>
                <w:sz w:val="24"/>
              </w:rPr>
              <w:t>表2    项目工程组成一览表</w:t>
            </w:r>
          </w:p>
          <w:tbl>
            <w:tblPr>
              <w:tblStyle w:val="24"/>
              <w:tblW w:w="9072"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3"/>
              <w:gridCol w:w="1070"/>
              <w:gridCol w:w="1264"/>
              <w:gridCol w:w="609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tcBorders>
                    <w:top w:val="single" w:color="auto" w:sz="8" w:space="0"/>
                    <w:bottom w:val="single" w:color="auto" w:sz="8" w:space="0"/>
                  </w:tcBorders>
                  <w:vAlign w:val="center"/>
                </w:tcPr>
                <w:p>
                  <w:pPr>
                    <w:jc w:val="center"/>
                    <w:textAlignment w:val="baseline"/>
                    <w:rPr>
                      <w:rFonts w:ascii="Times New Roman" w:hAnsi="Times New Roman" w:eastAsia="宋体"/>
                      <w:b/>
                      <w:bCs/>
                      <w:color w:val="000000" w:themeColor="text1"/>
                      <w:szCs w:val="21"/>
                    </w:rPr>
                  </w:pPr>
                  <w:r>
                    <w:rPr>
                      <w:rFonts w:ascii="Times New Roman" w:hAnsi="Times New Roman" w:eastAsia="宋体"/>
                      <w:b/>
                      <w:bCs/>
                      <w:color w:val="000000" w:themeColor="text1"/>
                      <w:szCs w:val="21"/>
                    </w:rPr>
                    <w:t>序号</w:t>
                  </w:r>
                </w:p>
              </w:tc>
              <w:tc>
                <w:tcPr>
                  <w:tcW w:w="1070" w:type="dxa"/>
                  <w:tcBorders>
                    <w:top w:val="single" w:color="auto" w:sz="8" w:space="0"/>
                    <w:bottom w:val="single" w:color="auto" w:sz="8" w:space="0"/>
                  </w:tcBorders>
                  <w:vAlign w:val="center"/>
                </w:tcPr>
                <w:p>
                  <w:pPr>
                    <w:jc w:val="center"/>
                    <w:textAlignment w:val="baseline"/>
                    <w:rPr>
                      <w:rFonts w:ascii="Times New Roman" w:hAnsi="Times New Roman" w:eastAsia="宋体"/>
                      <w:b/>
                      <w:bCs/>
                      <w:color w:val="000000" w:themeColor="text1"/>
                      <w:szCs w:val="21"/>
                    </w:rPr>
                  </w:pPr>
                  <w:r>
                    <w:rPr>
                      <w:rFonts w:ascii="Times New Roman" w:hAnsi="Times New Roman" w:eastAsia="宋体"/>
                      <w:b/>
                      <w:bCs/>
                      <w:color w:val="000000" w:themeColor="text1"/>
                      <w:szCs w:val="21"/>
                    </w:rPr>
                    <w:t>项目</w:t>
                  </w:r>
                </w:p>
              </w:tc>
              <w:tc>
                <w:tcPr>
                  <w:tcW w:w="1264" w:type="dxa"/>
                  <w:tcBorders>
                    <w:top w:val="single" w:color="auto" w:sz="8" w:space="0"/>
                    <w:bottom w:val="single" w:color="auto" w:sz="8" w:space="0"/>
                  </w:tcBorders>
                  <w:vAlign w:val="center"/>
                </w:tcPr>
                <w:p>
                  <w:pPr>
                    <w:jc w:val="center"/>
                    <w:textAlignment w:val="baseline"/>
                    <w:rPr>
                      <w:rFonts w:ascii="Times New Roman" w:hAnsi="Times New Roman" w:eastAsia="宋体"/>
                      <w:b/>
                      <w:bCs/>
                      <w:color w:val="000000" w:themeColor="text1"/>
                      <w:szCs w:val="21"/>
                    </w:rPr>
                  </w:pPr>
                  <w:r>
                    <w:rPr>
                      <w:rFonts w:ascii="Times New Roman" w:hAnsi="Times New Roman" w:eastAsia="宋体"/>
                      <w:b/>
                      <w:bCs/>
                      <w:color w:val="000000" w:themeColor="text1"/>
                      <w:szCs w:val="21"/>
                    </w:rPr>
                    <w:t>工程名称</w:t>
                  </w:r>
                </w:p>
              </w:tc>
              <w:tc>
                <w:tcPr>
                  <w:tcW w:w="6095" w:type="dxa"/>
                  <w:tcBorders>
                    <w:top w:val="single" w:color="auto" w:sz="8" w:space="0"/>
                    <w:bottom w:val="single" w:color="auto" w:sz="8" w:space="0"/>
                  </w:tcBorders>
                  <w:vAlign w:val="center"/>
                </w:tcPr>
                <w:p>
                  <w:pPr>
                    <w:jc w:val="center"/>
                    <w:textAlignment w:val="baseline"/>
                    <w:rPr>
                      <w:rFonts w:ascii="Times New Roman" w:hAnsi="Times New Roman" w:eastAsia="宋体"/>
                      <w:b/>
                      <w:bCs/>
                      <w:color w:val="000000" w:themeColor="text1"/>
                      <w:szCs w:val="21"/>
                    </w:rPr>
                  </w:pPr>
                  <w:r>
                    <w:rPr>
                      <w:rFonts w:ascii="Times New Roman" w:hAnsi="Times New Roman" w:eastAsia="宋体"/>
                      <w:b/>
                      <w:bCs/>
                      <w:color w:val="000000" w:themeColor="text1"/>
                      <w:szCs w:val="21"/>
                    </w:rPr>
                    <w:t>规模</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tcBorders>
                    <w:top w:val="single" w:color="auto" w:sz="8" w:space="0"/>
                  </w:tcBorders>
                  <w:vAlign w:val="center"/>
                </w:tcPr>
                <w:p>
                  <w:pPr>
                    <w:jc w:val="center"/>
                    <w:textAlignment w:val="baseline"/>
                    <w:rPr>
                      <w:rFonts w:ascii="Times New Roman" w:hAnsi="Times New Roman" w:eastAsia="宋体"/>
                      <w:color w:val="000000" w:themeColor="text1"/>
                      <w:szCs w:val="21"/>
                    </w:rPr>
                  </w:pPr>
                  <w:r>
                    <w:rPr>
                      <w:rFonts w:ascii="Times New Roman" w:hAnsi="Times New Roman" w:eastAsia="宋体"/>
                      <w:color w:val="000000" w:themeColor="text1"/>
                      <w:szCs w:val="21"/>
                    </w:rPr>
                    <w:t>1</w:t>
                  </w:r>
                </w:p>
              </w:tc>
              <w:tc>
                <w:tcPr>
                  <w:tcW w:w="1070" w:type="dxa"/>
                  <w:tcBorders>
                    <w:top w:val="single" w:color="auto" w:sz="8" w:space="0"/>
                  </w:tcBorders>
                  <w:vAlign w:val="center"/>
                </w:tcPr>
                <w:p>
                  <w:pPr>
                    <w:jc w:val="center"/>
                    <w:textAlignment w:val="baseline"/>
                    <w:rPr>
                      <w:rFonts w:ascii="Times New Roman" w:hAnsi="Times New Roman" w:eastAsia="宋体"/>
                      <w:color w:val="000000" w:themeColor="text1"/>
                      <w:szCs w:val="21"/>
                    </w:rPr>
                  </w:pPr>
                  <w:r>
                    <w:rPr>
                      <w:rFonts w:ascii="Times New Roman" w:hAnsi="Times New Roman" w:eastAsia="宋体"/>
                      <w:color w:val="000000" w:themeColor="text1"/>
                      <w:szCs w:val="21"/>
                    </w:rPr>
                    <w:t>主体工程</w:t>
                  </w:r>
                </w:p>
              </w:tc>
              <w:tc>
                <w:tcPr>
                  <w:tcW w:w="1264" w:type="dxa"/>
                  <w:tcBorders>
                    <w:top w:val="single" w:color="auto" w:sz="8" w:space="0"/>
                    <w:bottom w:val="single" w:color="auto" w:sz="4" w:space="0"/>
                  </w:tcBorders>
                  <w:vAlign w:val="center"/>
                </w:tcPr>
                <w:p>
                  <w:pPr>
                    <w:jc w:val="center"/>
                    <w:textAlignment w:val="baseline"/>
                    <w:rPr>
                      <w:rFonts w:ascii="Times New Roman" w:hAnsi="Times New Roman" w:eastAsia="宋体"/>
                      <w:color w:val="000000" w:themeColor="text1"/>
                      <w:szCs w:val="21"/>
                    </w:rPr>
                  </w:pPr>
                  <w:r>
                    <w:rPr>
                      <w:rFonts w:ascii="Times New Roman" w:hAnsi="Times New Roman" w:eastAsia="宋体"/>
                      <w:color w:val="000000" w:themeColor="text1"/>
                      <w:szCs w:val="21"/>
                    </w:rPr>
                    <w:t>生产车间</w:t>
                  </w:r>
                  <w:r>
                    <w:rPr>
                      <w:rFonts w:hint="eastAsia" w:ascii="Times New Roman" w:hAnsi="Times New Roman" w:eastAsia="宋体"/>
                      <w:color w:val="000000" w:themeColor="text1"/>
                      <w:szCs w:val="21"/>
                    </w:rPr>
                    <w:t>1</w:t>
                  </w:r>
                </w:p>
              </w:tc>
              <w:tc>
                <w:tcPr>
                  <w:tcW w:w="6095" w:type="dxa"/>
                  <w:tcBorders>
                    <w:top w:val="single" w:color="auto" w:sz="8" w:space="0"/>
                    <w:bottom w:val="single" w:color="auto" w:sz="4" w:space="0"/>
                  </w:tcBorders>
                  <w:vAlign w:val="center"/>
                </w:tcPr>
                <w:p>
                  <w:pPr>
                    <w:jc w:val="center"/>
                    <w:textAlignment w:val="baseline"/>
                    <w:rPr>
                      <w:rFonts w:ascii="Times New Roman" w:hAnsi="Times New Roman" w:eastAsia="宋体"/>
                      <w:color w:val="000000" w:themeColor="text1"/>
                      <w:szCs w:val="21"/>
                    </w:rPr>
                  </w:pPr>
                  <w:r>
                    <w:rPr>
                      <w:rFonts w:ascii="Times New Roman" w:hAnsi="Times New Roman" w:eastAsia="宋体"/>
                      <w:color w:val="000000" w:themeColor="text1"/>
                      <w:szCs w:val="21"/>
                    </w:rPr>
                    <w:t>第</w:t>
                  </w:r>
                  <w:r>
                    <w:rPr>
                      <w:rFonts w:hint="eastAsia" w:ascii="Times New Roman" w:hAnsi="Times New Roman" w:eastAsia="宋体"/>
                      <w:color w:val="000000" w:themeColor="text1"/>
                      <w:szCs w:val="21"/>
                    </w:rPr>
                    <w:t>2</w:t>
                  </w:r>
                  <w:r>
                    <w:rPr>
                      <w:rFonts w:ascii="Times New Roman" w:hAnsi="Times New Roman" w:eastAsia="宋体"/>
                      <w:color w:val="000000" w:themeColor="text1"/>
                      <w:szCs w:val="21"/>
                    </w:rPr>
                    <w:t>层，建筑面积</w:t>
                  </w:r>
                  <w:r>
                    <w:rPr>
                      <w:rFonts w:hint="eastAsia" w:ascii="Times New Roman" w:hAnsi="Times New Roman" w:eastAsia="宋体"/>
                      <w:color w:val="000000" w:themeColor="text1"/>
                      <w:szCs w:val="21"/>
                    </w:rPr>
                    <w:t>2025</w:t>
                  </w:r>
                  <w:r>
                    <w:rPr>
                      <w:rFonts w:ascii="Times New Roman" w:hAnsi="Times New Roman" w:eastAsia="宋体"/>
                      <w:color w:val="000000" w:themeColor="text1"/>
                      <w:szCs w:val="21"/>
                    </w:rPr>
                    <w:t>m</w:t>
                  </w:r>
                  <w:r>
                    <w:rPr>
                      <w:rFonts w:ascii="Times New Roman" w:hAnsi="Times New Roman" w:eastAsia="宋体"/>
                      <w:color w:val="000000" w:themeColor="text1"/>
                      <w:szCs w:val="21"/>
                      <w:vertAlign w:val="superscript"/>
                    </w:rPr>
                    <w:t>2</w:t>
                  </w:r>
                  <w:r>
                    <w:rPr>
                      <w:rFonts w:hint="eastAsia" w:ascii="Times New Roman" w:hAnsi="Times New Roman" w:eastAsia="宋体"/>
                      <w:color w:val="000000" w:themeColor="text1"/>
                      <w:szCs w:val="21"/>
                    </w:rPr>
                    <w:t>，</w:t>
                  </w:r>
                  <w:r>
                    <w:rPr>
                      <w:rFonts w:ascii="Times New Roman" w:hAnsi="Times New Roman" w:eastAsia="宋体"/>
                      <w:color w:val="000000" w:themeColor="text1"/>
                      <w:szCs w:val="21"/>
                    </w:rPr>
                    <w:t>利用原有厂房</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vAlign w:val="center"/>
                </w:tcPr>
                <w:p>
                  <w:pPr>
                    <w:jc w:val="center"/>
                    <w:textAlignment w:val="baseline"/>
                    <w:rPr>
                      <w:rFonts w:ascii="Times New Roman" w:hAnsi="Times New Roman" w:eastAsia="宋体"/>
                      <w:color w:val="000000" w:themeColor="text1"/>
                      <w:szCs w:val="21"/>
                    </w:rPr>
                  </w:pPr>
                  <w:r>
                    <w:rPr>
                      <w:rFonts w:ascii="Times New Roman" w:hAnsi="Times New Roman" w:eastAsia="宋体"/>
                      <w:color w:val="000000" w:themeColor="text1"/>
                      <w:szCs w:val="21"/>
                    </w:rPr>
                    <w:t>2</w:t>
                  </w:r>
                </w:p>
              </w:tc>
              <w:tc>
                <w:tcPr>
                  <w:tcW w:w="1070" w:type="dxa"/>
                  <w:vAlign w:val="center"/>
                </w:tcPr>
                <w:p>
                  <w:pPr>
                    <w:jc w:val="center"/>
                    <w:textAlignment w:val="baseline"/>
                    <w:rPr>
                      <w:rFonts w:ascii="Times New Roman" w:hAnsi="Times New Roman" w:eastAsia="宋体"/>
                      <w:color w:val="000000" w:themeColor="text1"/>
                      <w:szCs w:val="21"/>
                    </w:rPr>
                  </w:pPr>
                  <w:r>
                    <w:rPr>
                      <w:rFonts w:ascii="Times New Roman" w:hAnsi="Times New Roman" w:eastAsia="宋体"/>
                      <w:color w:val="000000" w:themeColor="text1"/>
                      <w:szCs w:val="21"/>
                    </w:rPr>
                    <w:t>辅助工程</w:t>
                  </w:r>
                </w:p>
              </w:tc>
              <w:tc>
                <w:tcPr>
                  <w:tcW w:w="1264" w:type="dxa"/>
                  <w:vAlign w:val="center"/>
                </w:tcPr>
                <w:p>
                  <w:pPr>
                    <w:jc w:val="center"/>
                    <w:textAlignment w:val="baseline"/>
                    <w:rPr>
                      <w:rFonts w:ascii="Times New Roman" w:hAnsi="Times New Roman" w:eastAsia="宋体"/>
                      <w:color w:val="000000" w:themeColor="text1"/>
                      <w:szCs w:val="21"/>
                    </w:rPr>
                  </w:pPr>
                  <w:r>
                    <w:rPr>
                      <w:rFonts w:ascii="Times New Roman" w:hAnsi="Times New Roman" w:eastAsia="宋体"/>
                      <w:color w:val="000000" w:themeColor="text1"/>
                      <w:szCs w:val="21"/>
                    </w:rPr>
                    <w:t>综合楼</w:t>
                  </w:r>
                </w:p>
              </w:tc>
              <w:tc>
                <w:tcPr>
                  <w:tcW w:w="6095" w:type="dxa"/>
                  <w:vAlign w:val="center"/>
                </w:tcPr>
                <w:p>
                  <w:pPr>
                    <w:jc w:val="center"/>
                    <w:textAlignment w:val="baseline"/>
                    <w:rPr>
                      <w:rFonts w:ascii="Times New Roman" w:hAnsi="Times New Roman" w:eastAsia="宋体"/>
                      <w:color w:val="000000" w:themeColor="text1"/>
                      <w:szCs w:val="21"/>
                    </w:rPr>
                  </w:pPr>
                  <w:r>
                    <w:rPr>
                      <w:rFonts w:hint="eastAsia" w:ascii="Times New Roman" w:hAnsi="Times New Roman" w:eastAsia="宋体"/>
                      <w:color w:val="000000" w:themeColor="text1"/>
                      <w:szCs w:val="21"/>
                    </w:rPr>
                    <w:t>4层</w:t>
                  </w:r>
                  <w:r>
                    <w:rPr>
                      <w:rFonts w:ascii="Times New Roman" w:hAnsi="Times New Roman" w:eastAsia="宋体"/>
                      <w:color w:val="000000" w:themeColor="text1"/>
                      <w:szCs w:val="21"/>
                    </w:rPr>
                    <w:t>，依托原有综合楼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vMerge w:val="restart"/>
                  <w:vAlign w:val="center"/>
                </w:tcPr>
                <w:p>
                  <w:pPr>
                    <w:jc w:val="center"/>
                    <w:textAlignment w:val="baseline"/>
                    <w:rPr>
                      <w:rFonts w:ascii="Times New Roman" w:hAnsi="Times New Roman" w:eastAsia="宋体"/>
                      <w:color w:val="000000" w:themeColor="text1"/>
                      <w:szCs w:val="21"/>
                    </w:rPr>
                  </w:pPr>
                  <w:r>
                    <w:rPr>
                      <w:rFonts w:ascii="Times New Roman" w:hAnsi="Times New Roman" w:eastAsia="宋体"/>
                      <w:color w:val="000000" w:themeColor="text1"/>
                      <w:szCs w:val="21"/>
                    </w:rPr>
                    <w:t>3</w:t>
                  </w:r>
                </w:p>
              </w:tc>
              <w:tc>
                <w:tcPr>
                  <w:tcW w:w="1070" w:type="dxa"/>
                  <w:vMerge w:val="restart"/>
                  <w:vAlign w:val="center"/>
                </w:tcPr>
                <w:p>
                  <w:pPr>
                    <w:jc w:val="center"/>
                    <w:textAlignment w:val="baseline"/>
                    <w:rPr>
                      <w:rFonts w:ascii="Times New Roman" w:hAnsi="Times New Roman" w:eastAsia="宋体"/>
                      <w:color w:val="000000" w:themeColor="text1"/>
                      <w:szCs w:val="21"/>
                    </w:rPr>
                  </w:pPr>
                  <w:r>
                    <w:rPr>
                      <w:rFonts w:ascii="Times New Roman" w:hAnsi="Times New Roman" w:eastAsia="宋体"/>
                      <w:color w:val="000000" w:themeColor="text1"/>
                      <w:szCs w:val="21"/>
                    </w:rPr>
                    <w:t>公用工程</w:t>
                  </w:r>
                </w:p>
              </w:tc>
              <w:tc>
                <w:tcPr>
                  <w:tcW w:w="1264" w:type="dxa"/>
                  <w:vAlign w:val="center"/>
                </w:tcPr>
                <w:p>
                  <w:pPr>
                    <w:jc w:val="center"/>
                    <w:textAlignment w:val="baseline"/>
                    <w:rPr>
                      <w:rFonts w:ascii="Times New Roman" w:hAnsi="Times New Roman" w:eastAsia="宋体"/>
                      <w:color w:val="000000" w:themeColor="text1"/>
                      <w:szCs w:val="21"/>
                    </w:rPr>
                  </w:pPr>
                  <w:r>
                    <w:rPr>
                      <w:rFonts w:ascii="Times New Roman" w:hAnsi="Times New Roman" w:eastAsia="宋体"/>
                      <w:color w:val="000000" w:themeColor="text1"/>
                      <w:szCs w:val="21"/>
                    </w:rPr>
                    <w:t>供电</w:t>
                  </w:r>
                </w:p>
              </w:tc>
              <w:tc>
                <w:tcPr>
                  <w:tcW w:w="6095" w:type="dxa"/>
                  <w:vAlign w:val="center"/>
                </w:tcPr>
                <w:p>
                  <w:pPr>
                    <w:jc w:val="center"/>
                    <w:textAlignment w:val="baseline"/>
                    <w:rPr>
                      <w:rFonts w:ascii="Times New Roman" w:hAnsi="Times New Roman" w:eastAsia="宋体"/>
                      <w:color w:val="000000" w:themeColor="text1"/>
                      <w:szCs w:val="21"/>
                    </w:rPr>
                  </w:pPr>
                  <w:r>
                    <w:rPr>
                      <w:rFonts w:hint="eastAsia" w:ascii="Times New Roman" w:hAnsi="Times New Roman" w:eastAsia="宋体"/>
                      <w:color w:val="000000" w:themeColor="text1"/>
                      <w:szCs w:val="21"/>
                    </w:rPr>
                    <w:t>园区</w:t>
                  </w:r>
                  <w:r>
                    <w:rPr>
                      <w:rFonts w:ascii="Times New Roman" w:hAnsi="Times New Roman" w:eastAsia="宋体"/>
                      <w:color w:val="000000" w:themeColor="text1"/>
                      <w:szCs w:val="21"/>
                    </w:rPr>
                    <w:t>统一供给</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vMerge w:val="continue"/>
                  <w:vAlign w:val="center"/>
                </w:tcPr>
                <w:p>
                  <w:pPr>
                    <w:jc w:val="center"/>
                    <w:textAlignment w:val="baseline"/>
                    <w:rPr>
                      <w:rFonts w:ascii="Times New Roman" w:hAnsi="Times New Roman" w:eastAsia="宋体"/>
                      <w:color w:val="000000" w:themeColor="text1"/>
                      <w:szCs w:val="21"/>
                    </w:rPr>
                  </w:pPr>
                </w:p>
              </w:tc>
              <w:tc>
                <w:tcPr>
                  <w:tcW w:w="1070" w:type="dxa"/>
                  <w:vMerge w:val="continue"/>
                  <w:vAlign w:val="center"/>
                </w:tcPr>
                <w:p>
                  <w:pPr>
                    <w:jc w:val="center"/>
                    <w:textAlignment w:val="baseline"/>
                    <w:rPr>
                      <w:rFonts w:ascii="Times New Roman" w:hAnsi="Times New Roman" w:eastAsia="宋体"/>
                      <w:color w:val="000000" w:themeColor="text1"/>
                      <w:szCs w:val="21"/>
                    </w:rPr>
                  </w:pPr>
                </w:p>
              </w:tc>
              <w:tc>
                <w:tcPr>
                  <w:tcW w:w="1264" w:type="dxa"/>
                  <w:vAlign w:val="center"/>
                </w:tcPr>
                <w:p>
                  <w:pPr>
                    <w:jc w:val="center"/>
                    <w:textAlignment w:val="baseline"/>
                    <w:rPr>
                      <w:rFonts w:ascii="Times New Roman" w:hAnsi="Times New Roman" w:eastAsia="宋体"/>
                      <w:color w:val="000000" w:themeColor="text1"/>
                      <w:szCs w:val="21"/>
                    </w:rPr>
                  </w:pPr>
                  <w:r>
                    <w:rPr>
                      <w:rFonts w:ascii="Times New Roman" w:hAnsi="Times New Roman" w:eastAsia="宋体"/>
                      <w:color w:val="000000" w:themeColor="text1"/>
                      <w:szCs w:val="21"/>
                    </w:rPr>
                    <w:t>供水</w:t>
                  </w:r>
                </w:p>
              </w:tc>
              <w:tc>
                <w:tcPr>
                  <w:tcW w:w="6095" w:type="dxa"/>
                  <w:vAlign w:val="center"/>
                </w:tcPr>
                <w:p>
                  <w:pPr>
                    <w:jc w:val="center"/>
                    <w:textAlignment w:val="baseline"/>
                    <w:rPr>
                      <w:rFonts w:ascii="Times New Roman" w:hAnsi="Times New Roman" w:eastAsia="宋体"/>
                      <w:color w:val="000000" w:themeColor="text1"/>
                      <w:szCs w:val="21"/>
                    </w:rPr>
                  </w:pPr>
                  <w:r>
                    <w:rPr>
                      <w:rFonts w:hint="eastAsia" w:ascii="Times New Roman" w:hAnsi="Times New Roman" w:eastAsia="宋体"/>
                      <w:color w:val="000000" w:themeColor="text1"/>
                      <w:szCs w:val="21"/>
                    </w:rPr>
                    <w:t>市政供水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vMerge w:val="restart"/>
                  <w:vAlign w:val="center"/>
                </w:tcPr>
                <w:p>
                  <w:pPr>
                    <w:jc w:val="center"/>
                    <w:textAlignment w:val="baseline"/>
                    <w:rPr>
                      <w:rFonts w:ascii="Times New Roman" w:hAnsi="Times New Roman" w:eastAsia="宋体"/>
                      <w:color w:val="000000" w:themeColor="text1"/>
                      <w:szCs w:val="21"/>
                    </w:rPr>
                  </w:pPr>
                  <w:r>
                    <w:rPr>
                      <w:rFonts w:ascii="Times New Roman" w:hAnsi="Times New Roman" w:eastAsia="宋体"/>
                      <w:color w:val="000000" w:themeColor="text1"/>
                      <w:szCs w:val="21"/>
                    </w:rPr>
                    <w:t>4</w:t>
                  </w:r>
                </w:p>
              </w:tc>
              <w:tc>
                <w:tcPr>
                  <w:tcW w:w="1070" w:type="dxa"/>
                  <w:vMerge w:val="restart"/>
                  <w:vAlign w:val="center"/>
                </w:tcPr>
                <w:p>
                  <w:pPr>
                    <w:jc w:val="center"/>
                    <w:textAlignment w:val="baseline"/>
                    <w:rPr>
                      <w:rFonts w:ascii="Times New Roman" w:hAnsi="Times New Roman" w:eastAsia="宋体"/>
                      <w:color w:val="000000" w:themeColor="text1"/>
                      <w:szCs w:val="21"/>
                    </w:rPr>
                  </w:pPr>
                  <w:r>
                    <w:rPr>
                      <w:rFonts w:ascii="Times New Roman" w:hAnsi="Times New Roman" w:eastAsia="宋体"/>
                      <w:color w:val="000000" w:themeColor="text1"/>
                      <w:szCs w:val="21"/>
                    </w:rPr>
                    <w:t>环保工程</w:t>
                  </w:r>
                </w:p>
              </w:tc>
              <w:tc>
                <w:tcPr>
                  <w:tcW w:w="1264" w:type="dxa"/>
                  <w:vAlign w:val="center"/>
                </w:tcPr>
                <w:p>
                  <w:pPr>
                    <w:jc w:val="center"/>
                    <w:textAlignment w:val="baseline"/>
                    <w:rPr>
                      <w:rFonts w:ascii="Times New Roman" w:hAnsi="Times New Roman" w:eastAsia="宋体"/>
                      <w:color w:val="000000" w:themeColor="text1"/>
                      <w:szCs w:val="21"/>
                    </w:rPr>
                  </w:pPr>
                  <w:r>
                    <w:rPr>
                      <w:rFonts w:ascii="Times New Roman" w:hAnsi="Times New Roman" w:eastAsia="宋体"/>
                      <w:color w:val="000000" w:themeColor="text1"/>
                      <w:szCs w:val="21"/>
                    </w:rPr>
                    <w:t>废气治理</w:t>
                  </w:r>
                </w:p>
              </w:tc>
              <w:tc>
                <w:tcPr>
                  <w:tcW w:w="6095" w:type="dxa"/>
                  <w:vAlign w:val="center"/>
                </w:tcPr>
                <w:p>
                  <w:pPr>
                    <w:jc w:val="center"/>
                    <w:textAlignment w:val="baseline"/>
                    <w:rPr>
                      <w:rFonts w:ascii="Times New Roman" w:hAnsi="Times New Roman" w:eastAsia="宋体"/>
                      <w:color w:val="000000" w:themeColor="text1"/>
                      <w:szCs w:val="21"/>
                    </w:rPr>
                  </w:pPr>
                  <w:r>
                    <w:rPr>
                      <w:rFonts w:ascii="Times New Roman" w:hAnsi="Times New Roman" w:eastAsia="宋体"/>
                      <w:color w:val="000000" w:themeColor="text1"/>
                      <w:szCs w:val="21"/>
                    </w:rPr>
                    <w:t>压合工序产生的非甲烷总烃经</w:t>
                  </w:r>
                  <w:r>
                    <w:rPr>
                      <w:rFonts w:hint="eastAsia" w:ascii="Times New Roman" w:hAnsi="Times New Roman" w:eastAsia="宋体"/>
                      <w:color w:val="000000" w:themeColor="text1"/>
                      <w:szCs w:val="21"/>
                    </w:rPr>
                    <w:t>封闭集气罩（6个，新建）+“</w:t>
                  </w:r>
                  <w:r>
                    <w:rPr>
                      <w:rFonts w:ascii="Times New Roman" w:hAnsi="Times New Roman" w:eastAsia="宋体"/>
                      <w:color w:val="000000" w:themeColor="text1"/>
                      <w:szCs w:val="21"/>
                    </w:rPr>
                    <w:t>UV光催化氧化</w:t>
                  </w:r>
                  <w:r>
                    <w:rPr>
                      <w:rFonts w:hint="eastAsia" w:ascii="Times New Roman" w:hAnsi="Times New Roman" w:eastAsia="宋体"/>
                      <w:color w:val="000000" w:themeColor="text1"/>
                      <w:szCs w:val="21"/>
                    </w:rPr>
                    <w:t>（原有）</w:t>
                  </w:r>
                  <w:r>
                    <w:rPr>
                      <w:rFonts w:ascii="Times New Roman" w:hAnsi="Times New Roman" w:eastAsia="宋体"/>
                      <w:color w:val="000000" w:themeColor="text1"/>
                      <w:szCs w:val="21"/>
                    </w:rPr>
                    <w:t>+活性炭吸附</w:t>
                  </w:r>
                  <w:r>
                    <w:rPr>
                      <w:rFonts w:hint="eastAsia" w:ascii="Times New Roman" w:hAnsi="Times New Roman" w:eastAsia="宋体"/>
                      <w:color w:val="000000" w:themeColor="text1"/>
                      <w:szCs w:val="21"/>
                    </w:rPr>
                    <w:t>（原有）+油烟净化器（原有）+水喷淋（整改新建）”装置（1套）</w:t>
                  </w:r>
                  <w:r>
                    <w:rPr>
                      <w:rFonts w:ascii="Times New Roman" w:hAnsi="Times New Roman" w:eastAsia="宋体"/>
                      <w:color w:val="000000" w:themeColor="text1"/>
                      <w:szCs w:val="21"/>
                    </w:rPr>
                    <w:t>+</w:t>
                  </w:r>
                  <w:r>
                    <w:rPr>
                      <w:rFonts w:hint="eastAsia" w:ascii="Times New Roman" w:hAnsi="Times New Roman" w:eastAsia="宋体"/>
                      <w:color w:val="000000" w:themeColor="text1"/>
                      <w:szCs w:val="21"/>
                    </w:rPr>
                    <w:t>15m高</w:t>
                  </w:r>
                  <w:r>
                    <w:rPr>
                      <w:rFonts w:ascii="Times New Roman" w:hAnsi="Times New Roman" w:eastAsia="宋体"/>
                      <w:color w:val="000000" w:themeColor="text1"/>
                      <w:szCs w:val="21"/>
                    </w:rPr>
                    <w:t>排气筒排放</w:t>
                  </w:r>
                  <w:r>
                    <w:rPr>
                      <w:rFonts w:hint="eastAsia" w:ascii="Times New Roman" w:hAnsi="Times New Roman" w:eastAsia="宋体"/>
                      <w:color w:val="000000" w:themeColor="text1"/>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vMerge w:val="continue"/>
                  <w:vAlign w:val="center"/>
                </w:tcPr>
                <w:p>
                  <w:pPr>
                    <w:jc w:val="center"/>
                    <w:textAlignment w:val="baseline"/>
                    <w:rPr>
                      <w:rFonts w:ascii="Times New Roman" w:hAnsi="Times New Roman" w:eastAsia="宋体"/>
                      <w:color w:val="000000" w:themeColor="text1"/>
                      <w:szCs w:val="21"/>
                    </w:rPr>
                  </w:pPr>
                </w:p>
              </w:tc>
              <w:tc>
                <w:tcPr>
                  <w:tcW w:w="1070" w:type="dxa"/>
                  <w:vMerge w:val="continue"/>
                  <w:vAlign w:val="center"/>
                </w:tcPr>
                <w:p>
                  <w:pPr>
                    <w:jc w:val="center"/>
                    <w:textAlignment w:val="baseline"/>
                    <w:rPr>
                      <w:rFonts w:ascii="Times New Roman" w:hAnsi="Times New Roman" w:eastAsia="宋体"/>
                      <w:color w:val="000000" w:themeColor="text1"/>
                      <w:szCs w:val="21"/>
                    </w:rPr>
                  </w:pPr>
                </w:p>
              </w:tc>
              <w:tc>
                <w:tcPr>
                  <w:tcW w:w="1264" w:type="dxa"/>
                  <w:vAlign w:val="center"/>
                </w:tcPr>
                <w:p>
                  <w:pPr>
                    <w:jc w:val="center"/>
                    <w:textAlignment w:val="baseline"/>
                    <w:rPr>
                      <w:rFonts w:ascii="Times New Roman" w:hAnsi="Times New Roman" w:eastAsia="宋体"/>
                      <w:color w:val="000000" w:themeColor="text1"/>
                      <w:szCs w:val="21"/>
                    </w:rPr>
                  </w:pPr>
                  <w:r>
                    <w:rPr>
                      <w:rFonts w:ascii="Times New Roman" w:hAnsi="Times New Roman" w:eastAsia="宋体"/>
                      <w:color w:val="000000" w:themeColor="text1"/>
                      <w:szCs w:val="21"/>
                    </w:rPr>
                    <w:t>废水治理</w:t>
                  </w:r>
                </w:p>
              </w:tc>
              <w:tc>
                <w:tcPr>
                  <w:tcW w:w="6095" w:type="dxa"/>
                  <w:vAlign w:val="center"/>
                </w:tcPr>
                <w:p>
                  <w:pPr>
                    <w:jc w:val="center"/>
                    <w:textAlignment w:val="baseline"/>
                    <w:rPr>
                      <w:rFonts w:ascii="Times New Roman" w:eastAsia="宋体"/>
                      <w:color w:val="000000" w:themeColor="text1"/>
                      <w:szCs w:val="21"/>
                    </w:rPr>
                  </w:pPr>
                  <w:r>
                    <w:rPr>
                      <w:rFonts w:hint="eastAsia" w:ascii="Times New Roman" w:eastAsia="宋体"/>
                      <w:color w:val="000000" w:themeColor="text1"/>
                      <w:szCs w:val="21"/>
                    </w:rPr>
                    <w:t>压合工序冷却水循环使用，不外排；</w:t>
                  </w:r>
                </w:p>
                <w:p>
                  <w:pPr>
                    <w:jc w:val="center"/>
                    <w:textAlignment w:val="baseline"/>
                    <w:rPr>
                      <w:rFonts w:ascii="Times New Roman" w:hAnsi="Times New Roman" w:eastAsia="宋体"/>
                      <w:color w:val="000000" w:themeColor="text1"/>
                      <w:szCs w:val="21"/>
                    </w:rPr>
                  </w:pPr>
                  <w:r>
                    <w:rPr>
                      <w:rFonts w:hint="eastAsia" w:ascii="Times New Roman" w:eastAsia="宋体"/>
                      <w:color w:val="000000" w:themeColor="text1"/>
                      <w:szCs w:val="21"/>
                    </w:rPr>
                    <w:t>本项目利用原有职工，不新增职工人数，不新增生活污水；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vMerge w:val="continue"/>
                  <w:tcBorders>
                    <w:bottom w:val="single" w:color="auto" w:sz="8" w:space="0"/>
                  </w:tcBorders>
                  <w:vAlign w:val="center"/>
                </w:tcPr>
                <w:p>
                  <w:pPr>
                    <w:jc w:val="center"/>
                    <w:textAlignment w:val="baseline"/>
                    <w:rPr>
                      <w:rFonts w:ascii="Times New Roman" w:hAnsi="Times New Roman" w:eastAsia="宋体"/>
                      <w:color w:val="000000" w:themeColor="text1"/>
                      <w:szCs w:val="21"/>
                    </w:rPr>
                  </w:pPr>
                </w:p>
              </w:tc>
              <w:tc>
                <w:tcPr>
                  <w:tcW w:w="1070" w:type="dxa"/>
                  <w:vMerge w:val="continue"/>
                  <w:tcBorders>
                    <w:bottom w:val="single" w:color="auto" w:sz="8" w:space="0"/>
                  </w:tcBorders>
                  <w:vAlign w:val="center"/>
                </w:tcPr>
                <w:p>
                  <w:pPr>
                    <w:jc w:val="center"/>
                    <w:textAlignment w:val="baseline"/>
                    <w:rPr>
                      <w:rFonts w:ascii="Times New Roman" w:hAnsi="Times New Roman" w:eastAsia="宋体"/>
                      <w:color w:val="000000" w:themeColor="text1"/>
                      <w:szCs w:val="21"/>
                    </w:rPr>
                  </w:pPr>
                </w:p>
              </w:tc>
              <w:tc>
                <w:tcPr>
                  <w:tcW w:w="1264" w:type="dxa"/>
                  <w:tcBorders>
                    <w:bottom w:val="single" w:color="auto" w:sz="8" w:space="0"/>
                  </w:tcBorders>
                  <w:vAlign w:val="center"/>
                </w:tcPr>
                <w:p>
                  <w:pPr>
                    <w:jc w:val="center"/>
                    <w:textAlignment w:val="baseline"/>
                    <w:rPr>
                      <w:rFonts w:ascii="Times New Roman" w:hAnsi="Times New Roman" w:eastAsia="宋体"/>
                      <w:color w:val="000000" w:themeColor="text1"/>
                      <w:szCs w:val="21"/>
                    </w:rPr>
                  </w:pPr>
                  <w:r>
                    <w:rPr>
                      <w:rFonts w:ascii="Times New Roman" w:hAnsi="Times New Roman" w:eastAsia="宋体"/>
                      <w:color w:val="000000" w:themeColor="text1"/>
                      <w:szCs w:val="21"/>
                    </w:rPr>
                    <w:t>固废治理</w:t>
                  </w:r>
                </w:p>
              </w:tc>
              <w:tc>
                <w:tcPr>
                  <w:tcW w:w="6095" w:type="dxa"/>
                  <w:tcBorders>
                    <w:bottom w:val="single" w:color="auto" w:sz="8" w:space="0"/>
                  </w:tcBorders>
                  <w:vAlign w:val="center"/>
                </w:tcPr>
                <w:p>
                  <w:pPr>
                    <w:jc w:val="center"/>
                    <w:textAlignment w:val="baseline"/>
                    <w:rPr>
                      <w:rFonts w:ascii="Times New Roman" w:hAnsi="Times New Roman" w:eastAsia="宋体"/>
                      <w:color w:val="000000" w:themeColor="text1"/>
                      <w:szCs w:val="21"/>
                    </w:rPr>
                  </w:pPr>
                  <w:r>
                    <w:rPr>
                      <w:rFonts w:hint="eastAsia" w:ascii="Times New Roman" w:hAnsi="Times New Roman" w:eastAsia="宋体"/>
                      <w:color w:val="000000" w:themeColor="text1"/>
                      <w:szCs w:val="21"/>
                    </w:rPr>
                    <w:t>2</w:t>
                  </w:r>
                  <w:r>
                    <w:rPr>
                      <w:rFonts w:ascii="Times New Roman" w:hAnsi="Times New Roman" w:eastAsia="宋体"/>
                      <w:color w:val="000000" w:themeColor="text1"/>
                      <w:szCs w:val="21"/>
                    </w:rPr>
                    <w:t>5m</w:t>
                  </w:r>
                  <w:r>
                    <w:rPr>
                      <w:rFonts w:ascii="Times New Roman" w:hAnsi="Times New Roman" w:eastAsia="宋体"/>
                      <w:color w:val="000000" w:themeColor="text1"/>
                      <w:szCs w:val="21"/>
                      <w:vertAlign w:val="superscript"/>
                    </w:rPr>
                    <w:t>2</w:t>
                  </w:r>
                  <w:r>
                    <w:rPr>
                      <w:rFonts w:ascii="Times New Roman" w:hAnsi="Times New Roman" w:eastAsia="宋体"/>
                      <w:color w:val="000000" w:themeColor="text1"/>
                      <w:szCs w:val="21"/>
                    </w:rPr>
                    <w:t>的一般固废暂存间、</w:t>
                  </w:r>
                  <w:r>
                    <w:rPr>
                      <w:rFonts w:hint="eastAsia" w:ascii="Times New Roman" w:hAnsi="Times New Roman" w:eastAsia="宋体"/>
                      <w:color w:val="000000" w:themeColor="text1"/>
                      <w:szCs w:val="21"/>
                    </w:rPr>
                    <w:t>10</w:t>
                  </w:r>
                  <w:r>
                    <w:rPr>
                      <w:rFonts w:ascii="Times New Roman" w:hAnsi="Times New Roman" w:eastAsia="宋体"/>
                      <w:color w:val="000000" w:themeColor="text1"/>
                      <w:szCs w:val="21"/>
                    </w:rPr>
                    <w:t>m</w:t>
                  </w:r>
                  <w:r>
                    <w:rPr>
                      <w:rFonts w:ascii="Times New Roman" w:hAnsi="Times New Roman" w:eastAsia="宋体"/>
                      <w:color w:val="000000" w:themeColor="text1"/>
                      <w:szCs w:val="21"/>
                      <w:vertAlign w:val="superscript"/>
                    </w:rPr>
                    <w:t>2</w:t>
                  </w:r>
                  <w:r>
                    <w:rPr>
                      <w:rFonts w:ascii="Times New Roman" w:hAnsi="Times New Roman" w:eastAsia="宋体"/>
                      <w:color w:val="000000" w:themeColor="text1"/>
                      <w:szCs w:val="21"/>
                    </w:rPr>
                    <w:t>的</w:t>
                  </w:r>
                  <w:r>
                    <w:rPr>
                      <w:rFonts w:hint="eastAsia" w:ascii="Times New Roman" w:hAnsi="Times New Roman" w:eastAsia="宋体"/>
                      <w:color w:val="000000" w:themeColor="text1"/>
                      <w:szCs w:val="21"/>
                    </w:rPr>
                    <w:t>危废暂存间；</w:t>
                  </w:r>
                </w:p>
              </w:tc>
            </w:tr>
          </w:tbl>
          <w:p>
            <w:pPr>
              <w:spacing w:line="440" w:lineRule="exact"/>
              <w:ind w:firstLine="482" w:firstLineChars="200"/>
              <w:rPr>
                <w:rFonts w:ascii="Times New Roman" w:hAnsi="Times New Roman" w:eastAsia="宋体"/>
                <w:b/>
                <w:color w:val="000000" w:themeColor="text1"/>
                <w:sz w:val="24"/>
              </w:rPr>
            </w:pPr>
            <w:r>
              <w:rPr>
                <w:rFonts w:ascii="Times New Roman" w:hAnsi="Times New Roman" w:eastAsia="宋体"/>
                <w:b/>
                <w:color w:val="000000" w:themeColor="text1"/>
                <w:sz w:val="24"/>
              </w:rPr>
              <w:t>3、项目产品方案</w:t>
            </w:r>
          </w:p>
          <w:p>
            <w:pPr>
              <w:spacing w:line="440" w:lineRule="exact"/>
              <w:ind w:firstLine="480" w:firstLineChars="200"/>
              <w:rPr>
                <w:rFonts w:ascii="Times New Roman" w:hAnsi="Times New Roman" w:eastAsia="宋体"/>
                <w:color w:val="000000" w:themeColor="text1"/>
                <w:sz w:val="24"/>
              </w:rPr>
            </w:pPr>
            <w:r>
              <w:rPr>
                <w:rFonts w:ascii="Times New Roman" w:hAnsi="Times New Roman" w:eastAsia="宋体"/>
                <w:bCs/>
                <w:color w:val="000000" w:themeColor="text1"/>
                <w:sz w:val="24"/>
              </w:rPr>
              <w:t>本项目为</w:t>
            </w:r>
            <w:r>
              <w:rPr>
                <w:rFonts w:hint="eastAsia" w:ascii="Times New Roman" w:hAnsi="Times New Roman" w:eastAsia="宋体"/>
                <w:bCs/>
                <w:color w:val="000000" w:themeColor="text1"/>
                <w:sz w:val="24"/>
              </w:rPr>
              <w:t>新乡市顺风船科技有限公司年产1200吨塑料磁吸门帘</w:t>
            </w:r>
            <w:r>
              <w:rPr>
                <w:rFonts w:ascii="Times New Roman" w:hAnsi="Times New Roman" w:eastAsia="宋体"/>
                <w:bCs/>
                <w:color w:val="000000" w:themeColor="text1"/>
                <w:sz w:val="24"/>
              </w:rPr>
              <w:t>项目</w:t>
            </w:r>
            <w:r>
              <w:rPr>
                <w:rFonts w:hint="eastAsia" w:ascii="Times New Roman" w:hAnsi="Times New Roman" w:eastAsia="宋体"/>
                <w:bCs/>
                <w:color w:val="000000" w:themeColor="text1"/>
                <w:sz w:val="24"/>
              </w:rPr>
              <w:t>，</w:t>
            </w:r>
            <w:r>
              <w:rPr>
                <w:rFonts w:ascii="Times New Roman" w:hAnsi="Times New Roman" w:eastAsia="宋体"/>
                <w:bCs/>
                <w:color w:val="000000" w:themeColor="text1"/>
                <w:sz w:val="24"/>
              </w:rPr>
              <w:t>产品为</w:t>
            </w:r>
            <w:r>
              <w:rPr>
                <w:rFonts w:hint="eastAsia" w:ascii="Times New Roman" w:hAnsi="Times New Roman" w:eastAsia="宋体"/>
                <w:bCs/>
                <w:color w:val="000000" w:themeColor="text1"/>
                <w:sz w:val="24"/>
              </w:rPr>
              <w:t>塑料磁吸门帘</w:t>
            </w:r>
            <w:r>
              <w:rPr>
                <w:rFonts w:ascii="Times New Roman" w:hAnsi="Times New Roman" w:eastAsia="宋体"/>
                <w:bCs/>
                <w:color w:val="000000" w:themeColor="text1"/>
                <w:sz w:val="24"/>
              </w:rPr>
              <w:t>，</w:t>
            </w:r>
            <w:r>
              <w:rPr>
                <w:rFonts w:ascii="Times New Roman" w:hAnsi="Times New Roman" w:eastAsia="宋体"/>
                <w:color w:val="000000" w:themeColor="text1"/>
                <w:sz w:val="24"/>
              </w:rPr>
              <w:t>产品方案如表3所示。</w:t>
            </w:r>
          </w:p>
          <w:p>
            <w:pPr>
              <w:adjustRightInd w:val="0"/>
              <w:snapToGrid w:val="0"/>
              <w:spacing w:line="440" w:lineRule="exact"/>
              <w:jc w:val="center"/>
              <w:rPr>
                <w:rFonts w:ascii="Times New Roman" w:hAnsi="Times New Roman" w:eastAsia="宋体"/>
                <w:b/>
                <w:color w:val="000000" w:themeColor="text1"/>
                <w:sz w:val="24"/>
              </w:rPr>
            </w:pPr>
            <w:r>
              <w:rPr>
                <w:rFonts w:ascii="Times New Roman" w:hAnsi="Times New Roman" w:eastAsia="宋体"/>
                <w:b/>
                <w:color w:val="000000" w:themeColor="text1"/>
                <w:sz w:val="24"/>
              </w:rPr>
              <w:t>表3    项目产品方案一览表</w:t>
            </w:r>
          </w:p>
          <w:tbl>
            <w:tblPr>
              <w:tblStyle w:val="24"/>
              <w:tblW w:w="9072"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3"/>
              <w:gridCol w:w="793"/>
              <w:gridCol w:w="1276"/>
              <w:gridCol w:w="994"/>
              <w:gridCol w:w="1560"/>
              <w:gridCol w:w="994"/>
              <w:gridCol w:w="1876"/>
              <w:gridCol w:w="109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6" w:type="pct"/>
                  <w:vMerge w:val="restart"/>
                  <w:tcBorders>
                    <w:top w:val="single" w:color="auto" w:sz="8" w:space="0"/>
                  </w:tcBorders>
                  <w:vAlign w:val="center"/>
                </w:tcPr>
                <w:p>
                  <w:pPr>
                    <w:widowControl/>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序号</w:t>
                  </w:r>
                </w:p>
              </w:tc>
              <w:tc>
                <w:tcPr>
                  <w:tcW w:w="1688" w:type="pct"/>
                  <w:gridSpan w:val="3"/>
                  <w:tcBorders>
                    <w:top w:val="single" w:color="auto" w:sz="8" w:space="0"/>
                  </w:tcBorders>
                  <w:vAlign w:val="center"/>
                </w:tcPr>
                <w:p>
                  <w:pPr>
                    <w:widowControl/>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原有工程</w:t>
                  </w:r>
                </w:p>
              </w:tc>
              <w:tc>
                <w:tcPr>
                  <w:tcW w:w="1408" w:type="pct"/>
                  <w:gridSpan w:val="2"/>
                  <w:tcBorders>
                    <w:top w:val="single" w:color="auto" w:sz="8" w:space="0"/>
                    <w:bottom w:val="single" w:color="auto" w:sz="4" w:space="0"/>
                  </w:tcBorders>
                  <w:vAlign w:val="center"/>
                </w:tcPr>
                <w:p>
                  <w:pPr>
                    <w:widowControl/>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本项目</w:t>
                  </w:r>
                </w:p>
              </w:tc>
              <w:tc>
                <w:tcPr>
                  <w:tcW w:w="1638" w:type="pct"/>
                  <w:gridSpan w:val="2"/>
                  <w:tcBorders>
                    <w:top w:val="single" w:color="auto" w:sz="8" w:space="0"/>
                    <w:bottom w:val="single" w:color="auto" w:sz="4" w:space="0"/>
                  </w:tcBorders>
                  <w:vAlign w:val="center"/>
                </w:tcPr>
                <w:p>
                  <w:pPr>
                    <w:widowControl/>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扩建完成后全厂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6" w:type="pct"/>
                  <w:vMerge w:val="continue"/>
                  <w:tcBorders>
                    <w:bottom w:val="single" w:color="auto" w:sz="8" w:space="0"/>
                  </w:tcBorders>
                  <w:vAlign w:val="center"/>
                </w:tcPr>
                <w:p>
                  <w:pPr>
                    <w:widowControl/>
                    <w:jc w:val="center"/>
                    <w:rPr>
                      <w:rFonts w:ascii="Times New Roman" w:hAnsi="Times New Roman" w:eastAsia="宋体"/>
                      <w:b/>
                      <w:bCs/>
                      <w:color w:val="000000" w:themeColor="text1"/>
                      <w:szCs w:val="21"/>
                    </w:rPr>
                  </w:pPr>
                </w:p>
              </w:tc>
              <w:tc>
                <w:tcPr>
                  <w:tcW w:w="1140" w:type="pct"/>
                  <w:gridSpan w:val="2"/>
                  <w:tcBorders>
                    <w:top w:val="single" w:color="auto" w:sz="4" w:space="0"/>
                    <w:bottom w:val="single" w:color="auto" w:sz="8" w:space="0"/>
                  </w:tcBorders>
                  <w:vAlign w:val="center"/>
                </w:tcPr>
                <w:p>
                  <w:pPr>
                    <w:widowControl/>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名称</w:t>
                  </w:r>
                </w:p>
              </w:tc>
              <w:tc>
                <w:tcPr>
                  <w:tcW w:w="548" w:type="pct"/>
                  <w:tcBorders>
                    <w:top w:val="single" w:color="auto" w:sz="4" w:space="0"/>
                    <w:bottom w:val="single" w:color="auto" w:sz="8" w:space="0"/>
                  </w:tcBorders>
                  <w:vAlign w:val="center"/>
                </w:tcPr>
                <w:p>
                  <w:pPr>
                    <w:widowControl/>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年产量</w:t>
                  </w:r>
                </w:p>
              </w:tc>
              <w:tc>
                <w:tcPr>
                  <w:tcW w:w="860" w:type="pct"/>
                  <w:tcBorders>
                    <w:top w:val="single" w:color="auto" w:sz="4" w:space="0"/>
                    <w:bottom w:val="single" w:color="auto" w:sz="8" w:space="0"/>
                  </w:tcBorders>
                  <w:vAlign w:val="center"/>
                </w:tcPr>
                <w:p>
                  <w:pPr>
                    <w:widowControl/>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名称</w:t>
                  </w:r>
                </w:p>
              </w:tc>
              <w:tc>
                <w:tcPr>
                  <w:tcW w:w="548" w:type="pct"/>
                  <w:tcBorders>
                    <w:top w:val="single" w:color="auto" w:sz="4" w:space="0"/>
                    <w:bottom w:val="single" w:color="auto" w:sz="8" w:space="0"/>
                  </w:tcBorders>
                  <w:vAlign w:val="center"/>
                </w:tcPr>
                <w:p>
                  <w:pPr>
                    <w:widowControl/>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年产量</w:t>
                  </w:r>
                </w:p>
              </w:tc>
              <w:tc>
                <w:tcPr>
                  <w:tcW w:w="1034" w:type="pct"/>
                  <w:tcBorders>
                    <w:top w:val="single" w:color="auto" w:sz="4" w:space="0"/>
                    <w:bottom w:val="single" w:color="auto" w:sz="8" w:space="0"/>
                  </w:tcBorders>
                  <w:vAlign w:val="center"/>
                </w:tcPr>
                <w:p>
                  <w:pPr>
                    <w:widowControl/>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名称</w:t>
                  </w:r>
                </w:p>
              </w:tc>
              <w:tc>
                <w:tcPr>
                  <w:tcW w:w="604" w:type="pct"/>
                  <w:tcBorders>
                    <w:top w:val="single" w:color="auto" w:sz="4" w:space="0"/>
                    <w:bottom w:val="single" w:color="auto" w:sz="8" w:space="0"/>
                  </w:tcBorders>
                  <w:vAlign w:val="center"/>
                </w:tcPr>
                <w:p>
                  <w:pPr>
                    <w:widowControl/>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年产量</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6" w:type="pct"/>
                  <w:tcBorders>
                    <w:top w:val="single" w:color="auto" w:sz="8" w:space="0"/>
                    <w:bottom w:val="single" w:color="auto" w:sz="4" w:space="0"/>
                  </w:tcBorders>
                  <w:vAlign w:val="center"/>
                </w:tcPr>
                <w:p>
                  <w:pPr>
                    <w:widowControl/>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1</w:t>
                  </w:r>
                </w:p>
              </w:tc>
              <w:tc>
                <w:tcPr>
                  <w:tcW w:w="1140" w:type="pct"/>
                  <w:gridSpan w:val="2"/>
                  <w:tcBorders>
                    <w:top w:val="single" w:color="auto" w:sz="8" w:space="0"/>
                    <w:bottom w:val="single" w:color="auto" w:sz="4" w:space="0"/>
                  </w:tcBorders>
                  <w:vAlign w:val="center"/>
                </w:tcPr>
                <w:p>
                  <w:pPr>
                    <w:widowControl/>
                    <w:jc w:val="center"/>
                    <w:rPr>
                      <w:rFonts w:ascii="Times New Roman" w:hAnsi="Times New Roman" w:eastAsia="宋体"/>
                      <w:color w:val="000000" w:themeColor="text1"/>
                      <w:szCs w:val="21"/>
                    </w:rPr>
                  </w:pPr>
                  <w:r>
                    <w:rPr>
                      <w:rFonts w:hint="eastAsia" w:ascii="Times New Roman" w:hAnsi="Times New Roman" w:eastAsia="宋体"/>
                      <w:bCs/>
                      <w:color w:val="000000" w:themeColor="text1"/>
                      <w:szCs w:val="21"/>
                    </w:rPr>
                    <w:t>环保钙锌稳定剂</w:t>
                  </w:r>
                </w:p>
              </w:tc>
              <w:tc>
                <w:tcPr>
                  <w:tcW w:w="548" w:type="pct"/>
                  <w:tcBorders>
                    <w:top w:val="single" w:color="auto" w:sz="8" w:space="0"/>
                    <w:bottom w:val="single" w:color="auto" w:sz="4" w:space="0"/>
                  </w:tcBorders>
                  <w:vAlign w:val="center"/>
                </w:tcPr>
                <w:p>
                  <w:pPr>
                    <w:widowControl/>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2800t/a</w:t>
                  </w:r>
                </w:p>
              </w:tc>
              <w:tc>
                <w:tcPr>
                  <w:tcW w:w="860" w:type="pct"/>
                  <w:tcBorders>
                    <w:top w:val="single" w:color="auto" w:sz="8" w:space="0"/>
                    <w:bottom w:val="single" w:color="auto" w:sz="4" w:space="0"/>
                  </w:tcBorders>
                  <w:vAlign w:val="center"/>
                </w:tcPr>
                <w:p>
                  <w:pPr>
                    <w:widowControl/>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w:t>
                  </w:r>
                </w:p>
              </w:tc>
              <w:tc>
                <w:tcPr>
                  <w:tcW w:w="548" w:type="pct"/>
                  <w:tcBorders>
                    <w:top w:val="single" w:color="auto" w:sz="8" w:space="0"/>
                    <w:bottom w:val="single" w:color="auto" w:sz="4" w:space="0"/>
                  </w:tcBorders>
                  <w:vAlign w:val="center"/>
                </w:tcPr>
                <w:p>
                  <w:pPr>
                    <w:widowControl/>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w:t>
                  </w:r>
                </w:p>
              </w:tc>
              <w:tc>
                <w:tcPr>
                  <w:tcW w:w="1034" w:type="pct"/>
                  <w:tcBorders>
                    <w:top w:val="single" w:color="auto" w:sz="8" w:space="0"/>
                    <w:bottom w:val="single" w:color="auto" w:sz="4" w:space="0"/>
                  </w:tcBorders>
                  <w:vAlign w:val="center"/>
                </w:tcPr>
                <w:p>
                  <w:pPr>
                    <w:widowControl/>
                    <w:jc w:val="center"/>
                    <w:rPr>
                      <w:rFonts w:ascii="Times New Roman" w:hAnsi="Times New Roman" w:eastAsia="宋体"/>
                      <w:color w:val="000000" w:themeColor="text1"/>
                      <w:szCs w:val="21"/>
                    </w:rPr>
                  </w:pPr>
                  <w:r>
                    <w:rPr>
                      <w:rFonts w:hint="eastAsia" w:ascii="Times New Roman" w:hAnsi="Times New Roman" w:eastAsia="宋体"/>
                      <w:bCs/>
                      <w:color w:val="000000" w:themeColor="text1"/>
                      <w:szCs w:val="21"/>
                    </w:rPr>
                    <w:t>环保钙锌稳定剂</w:t>
                  </w:r>
                </w:p>
              </w:tc>
              <w:tc>
                <w:tcPr>
                  <w:tcW w:w="604" w:type="pct"/>
                  <w:tcBorders>
                    <w:top w:val="single" w:color="auto" w:sz="8" w:space="0"/>
                    <w:bottom w:val="single" w:color="auto" w:sz="4" w:space="0"/>
                  </w:tcBorders>
                  <w:vAlign w:val="center"/>
                </w:tcPr>
                <w:p>
                  <w:pPr>
                    <w:widowControl/>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2800t/a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6" w:type="pct"/>
                  <w:vMerge w:val="restart"/>
                  <w:tcBorders>
                    <w:top w:val="single" w:color="auto" w:sz="4" w:space="0"/>
                  </w:tcBorders>
                  <w:vAlign w:val="center"/>
                </w:tcPr>
                <w:p>
                  <w:pPr>
                    <w:widowControl/>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2</w:t>
                  </w:r>
                </w:p>
              </w:tc>
              <w:tc>
                <w:tcPr>
                  <w:tcW w:w="437" w:type="pct"/>
                  <w:vMerge w:val="restart"/>
                  <w:tcBorders>
                    <w:top w:val="single" w:color="auto" w:sz="4" w:space="0"/>
                  </w:tcBorders>
                  <w:vAlign w:val="center"/>
                </w:tcPr>
                <w:p>
                  <w:pPr>
                    <w:widowControl/>
                    <w:jc w:val="center"/>
                    <w:rPr>
                      <w:rFonts w:ascii="Times New Roman" w:hAnsi="Times New Roman" w:eastAsia="宋体"/>
                      <w:b/>
                      <w:color w:val="000000" w:themeColor="text1"/>
                      <w:szCs w:val="21"/>
                      <w:u w:val="single"/>
                    </w:rPr>
                  </w:pPr>
                  <w:r>
                    <w:rPr>
                      <w:rFonts w:hint="eastAsia" w:ascii="Times New Roman" w:hAnsi="Times New Roman" w:eastAsia="宋体"/>
                      <w:b/>
                      <w:color w:val="000000" w:themeColor="text1"/>
                      <w:szCs w:val="21"/>
                      <w:u w:val="single"/>
                    </w:rPr>
                    <w:t>塑料制品</w:t>
                  </w:r>
                </w:p>
              </w:tc>
              <w:tc>
                <w:tcPr>
                  <w:tcW w:w="703" w:type="pct"/>
                  <w:tcBorders>
                    <w:top w:val="single" w:color="auto" w:sz="4" w:space="0"/>
                    <w:bottom w:val="single" w:color="auto" w:sz="4" w:space="0"/>
                  </w:tcBorders>
                  <w:vAlign w:val="center"/>
                </w:tcPr>
                <w:p>
                  <w:pPr>
                    <w:widowControl/>
                    <w:jc w:val="center"/>
                    <w:rPr>
                      <w:rFonts w:ascii="Times New Roman" w:hAnsi="Times New Roman" w:eastAsia="宋体"/>
                      <w:b/>
                      <w:color w:val="000000" w:themeColor="text1"/>
                      <w:szCs w:val="21"/>
                      <w:u w:val="single"/>
                    </w:rPr>
                  </w:pPr>
                  <w:r>
                    <w:rPr>
                      <w:rFonts w:hint="eastAsia" w:ascii="Times New Roman" w:hAnsi="Times New Roman" w:eastAsia="宋体"/>
                      <w:b/>
                      <w:color w:val="000000" w:themeColor="text1"/>
                      <w:szCs w:val="21"/>
                      <w:u w:val="single"/>
                    </w:rPr>
                    <w:t>塑料布</w:t>
                  </w:r>
                </w:p>
              </w:tc>
              <w:tc>
                <w:tcPr>
                  <w:tcW w:w="548" w:type="pct"/>
                  <w:tcBorders>
                    <w:top w:val="single" w:color="auto" w:sz="4" w:space="0"/>
                    <w:bottom w:val="single" w:color="auto" w:sz="4" w:space="0"/>
                  </w:tcBorders>
                  <w:vAlign w:val="center"/>
                </w:tcPr>
                <w:p>
                  <w:pPr>
                    <w:widowControl/>
                    <w:jc w:val="center"/>
                    <w:rPr>
                      <w:rFonts w:ascii="Times New Roman" w:hAnsi="Times New Roman" w:eastAsia="宋体"/>
                      <w:b/>
                      <w:color w:val="000000" w:themeColor="text1"/>
                      <w:szCs w:val="21"/>
                      <w:u w:val="single"/>
                    </w:rPr>
                  </w:pPr>
                  <w:r>
                    <w:rPr>
                      <w:rFonts w:hint="eastAsia" w:ascii="Times New Roman" w:hAnsi="Times New Roman" w:eastAsia="宋体"/>
                      <w:b/>
                      <w:color w:val="000000" w:themeColor="text1"/>
                      <w:szCs w:val="21"/>
                      <w:u w:val="single"/>
                    </w:rPr>
                    <w:t>100t/a</w:t>
                  </w:r>
                </w:p>
              </w:tc>
              <w:tc>
                <w:tcPr>
                  <w:tcW w:w="860" w:type="pct"/>
                  <w:tcBorders>
                    <w:top w:val="single" w:color="auto" w:sz="4" w:space="0"/>
                    <w:bottom w:val="single" w:color="auto" w:sz="4" w:space="0"/>
                  </w:tcBorders>
                  <w:vAlign w:val="center"/>
                </w:tcPr>
                <w:p>
                  <w:pPr>
                    <w:widowControl/>
                    <w:jc w:val="center"/>
                    <w:rPr>
                      <w:rFonts w:ascii="Times New Roman" w:hAnsi="Times New Roman" w:eastAsia="宋体"/>
                      <w:b/>
                      <w:color w:val="000000" w:themeColor="text1"/>
                      <w:szCs w:val="21"/>
                      <w:u w:val="single"/>
                    </w:rPr>
                  </w:pPr>
                  <w:r>
                    <w:rPr>
                      <w:rFonts w:hint="eastAsia" w:ascii="Times New Roman" w:hAnsi="Times New Roman" w:eastAsia="宋体"/>
                      <w:b/>
                      <w:color w:val="000000" w:themeColor="text1"/>
                      <w:szCs w:val="21"/>
                      <w:u w:val="single"/>
                    </w:rPr>
                    <w:t>/</w:t>
                  </w:r>
                </w:p>
              </w:tc>
              <w:tc>
                <w:tcPr>
                  <w:tcW w:w="548" w:type="pct"/>
                  <w:tcBorders>
                    <w:top w:val="single" w:color="auto" w:sz="4" w:space="0"/>
                    <w:bottom w:val="single" w:color="auto" w:sz="4" w:space="0"/>
                  </w:tcBorders>
                  <w:vAlign w:val="center"/>
                </w:tcPr>
                <w:p>
                  <w:pPr>
                    <w:widowControl/>
                    <w:jc w:val="center"/>
                    <w:rPr>
                      <w:rFonts w:ascii="Times New Roman" w:hAnsi="Times New Roman" w:eastAsia="宋体"/>
                      <w:b/>
                      <w:color w:val="000000" w:themeColor="text1"/>
                      <w:szCs w:val="21"/>
                      <w:u w:val="single"/>
                    </w:rPr>
                  </w:pPr>
                  <w:r>
                    <w:rPr>
                      <w:rFonts w:hint="eastAsia" w:ascii="Times New Roman" w:hAnsi="Times New Roman" w:eastAsia="宋体"/>
                      <w:b/>
                      <w:color w:val="000000" w:themeColor="text1"/>
                      <w:szCs w:val="21"/>
                      <w:u w:val="single"/>
                    </w:rPr>
                    <w:t>/</w:t>
                  </w:r>
                </w:p>
              </w:tc>
              <w:tc>
                <w:tcPr>
                  <w:tcW w:w="1034" w:type="pct"/>
                  <w:tcBorders>
                    <w:top w:val="single" w:color="auto" w:sz="4" w:space="0"/>
                    <w:bottom w:val="single" w:color="auto" w:sz="4" w:space="0"/>
                  </w:tcBorders>
                  <w:vAlign w:val="center"/>
                </w:tcPr>
                <w:p>
                  <w:pPr>
                    <w:widowControl/>
                    <w:jc w:val="center"/>
                    <w:rPr>
                      <w:rFonts w:ascii="Times New Roman" w:hAnsi="Times New Roman" w:eastAsia="宋体"/>
                      <w:b/>
                      <w:color w:val="000000" w:themeColor="text1"/>
                      <w:szCs w:val="21"/>
                      <w:u w:val="single"/>
                    </w:rPr>
                  </w:pPr>
                  <w:r>
                    <w:rPr>
                      <w:rFonts w:hint="eastAsia" w:ascii="Times New Roman" w:hAnsi="Times New Roman" w:eastAsia="宋体"/>
                      <w:b/>
                      <w:color w:val="000000" w:themeColor="text1"/>
                      <w:szCs w:val="21"/>
                      <w:u w:val="single"/>
                    </w:rPr>
                    <w:t>塑料布</w:t>
                  </w:r>
                </w:p>
              </w:tc>
              <w:tc>
                <w:tcPr>
                  <w:tcW w:w="604" w:type="pct"/>
                  <w:tcBorders>
                    <w:top w:val="single" w:color="auto" w:sz="4" w:space="0"/>
                    <w:bottom w:val="single" w:color="auto" w:sz="4" w:space="0"/>
                  </w:tcBorders>
                  <w:vAlign w:val="center"/>
                </w:tcPr>
                <w:p>
                  <w:pPr>
                    <w:widowControl/>
                    <w:jc w:val="center"/>
                    <w:rPr>
                      <w:rFonts w:ascii="Times New Roman" w:hAnsi="Times New Roman" w:eastAsia="宋体"/>
                      <w:b/>
                      <w:color w:val="000000" w:themeColor="text1"/>
                      <w:szCs w:val="21"/>
                      <w:u w:val="single"/>
                    </w:rPr>
                  </w:pPr>
                  <w:r>
                    <w:rPr>
                      <w:rFonts w:hint="eastAsia" w:ascii="Times New Roman" w:hAnsi="Times New Roman" w:eastAsia="宋体"/>
                      <w:b/>
                      <w:color w:val="000000" w:themeColor="text1"/>
                      <w:szCs w:val="21"/>
                      <w:u w:val="single"/>
                    </w:rPr>
                    <w:t>100t/a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6" w:type="pct"/>
                  <w:vMerge w:val="continue"/>
                  <w:tcBorders>
                    <w:bottom w:val="single" w:color="auto" w:sz="4" w:space="0"/>
                  </w:tcBorders>
                  <w:vAlign w:val="center"/>
                </w:tcPr>
                <w:p>
                  <w:pPr>
                    <w:widowControl/>
                    <w:jc w:val="center"/>
                    <w:rPr>
                      <w:rFonts w:ascii="Times New Roman" w:hAnsi="Times New Roman" w:eastAsia="宋体"/>
                      <w:color w:val="000000" w:themeColor="text1"/>
                      <w:szCs w:val="21"/>
                    </w:rPr>
                  </w:pPr>
                </w:p>
              </w:tc>
              <w:tc>
                <w:tcPr>
                  <w:tcW w:w="437" w:type="pct"/>
                  <w:vMerge w:val="continue"/>
                  <w:tcBorders>
                    <w:bottom w:val="single" w:color="auto" w:sz="4" w:space="0"/>
                  </w:tcBorders>
                  <w:vAlign w:val="center"/>
                </w:tcPr>
                <w:p>
                  <w:pPr>
                    <w:widowControl/>
                    <w:jc w:val="center"/>
                    <w:rPr>
                      <w:rFonts w:ascii="Times New Roman" w:hAnsi="Times New Roman" w:eastAsia="宋体"/>
                      <w:b/>
                      <w:color w:val="000000" w:themeColor="text1"/>
                      <w:szCs w:val="21"/>
                      <w:u w:val="single"/>
                    </w:rPr>
                  </w:pPr>
                </w:p>
              </w:tc>
              <w:tc>
                <w:tcPr>
                  <w:tcW w:w="703" w:type="pct"/>
                  <w:tcBorders>
                    <w:top w:val="single" w:color="auto" w:sz="4" w:space="0"/>
                    <w:bottom w:val="single" w:color="auto" w:sz="4" w:space="0"/>
                  </w:tcBorders>
                  <w:vAlign w:val="center"/>
                </w:tcPr>
                <w:p>
                  <w:pPr>
                    <w:widowControl/>
                    <w:jc w:val="center"/>
                    <w:rPr>
                      <w:rFonts w:ascii="Times New Roman" w:hAnsi="Times New Roman" w:eastAsia="宋体"/>
                      <w:b/>
                      <w:color w:val="000000" w:themeColor="text1"/>
                      <w:szCs w:val="21"/>
                      <w:u w:val="single"/>
                    </w:rPr>
                  </w:pPr>
                  <w:r>
                    <w:rPr>
                      <w:rFonts w:hint="eastAsia" w:ascii="Times New Roman" w:hAnsi="Times New Roman" w:eastAsia="宋体"/>
                      <w:b/>
                      <w:color w:val="000000" w:themeColor="text1"/>
                      <w:szCs w:val="21"/>
                      <w:u w:val="single"/>
                    </w:rPr>
                    <w:t>塑料皮帘*</w:t>
                  </w:r>
                </w:p>
              </w:tc>
              <w:tc>
                <w:tcPr>
                  <w:tcW w:w="548" w:type="pct"/>
                  <w:tcBorders>
                    <w:top w:val="single" w:color="auto" w:sz="4" w:space="0"/>
                    <w:bottom w:val="single" w:color="auto" w:sz="4" w:space="0"/>
                  </w:tcBorders>
                  <w:vAlign w:val="center"/>
                </w:tcPr>
                <w:p>
                  <w:pPr>
                    <w:widowControl/>
                    <w:jc w:val="center"/>
                    <w:rPr>
                      <w:rFonts w:ascii="Times New Roman" w:hAnsi="Times New Roman" w:eastAsia="宋体"/>
                      <w:b/>
                      <w:color w:val="000000" w:themeColor="text1"/>
                      <w:szCs w:val="21"/>
                      <w:u w:val="single"/>
                    </w:rPr>
                  </w:pPr>
                  <w:r>
                    <w:rPr>
                      <w:rFonts w:hint="eastAsia" w:ascii="Times New Roman" w:hAnsi="Times New Roman" w:eastAsia="宋体"/>
                      <w:b/>
                      <w:color w:val="000000" w:themeColor="text1"/>
                      <w:szCs w:val="21"/>
                      <w:u w:val="single"/>
                    </w:rPr>
                    <w:t>900t/a</w:t>
                  </w:r>
                </w:p>
              </w:tc>
              <w:tc>
                <w:tcPr>
                  <w:tcW w:w="860" w:type="pct"/>
                  <w:tcBorders>
                    <w:top w:val="single" w:color="auto" w:sz="4" w:space="0"/>
                    <w:bottom w:val="single" w:color="auto" w:sz="4" w:space="0"/>
                  </w:tcBorders>
                  <w:vAlign w:val="center"/>
                </w:tcPr>
                <w:p>
                  <w:pPr>
                    <w:widowControl/>
                    <w:jc w:val="center"/>
                    <w:rPr>
                      <w:rFonts w:ascii="Times New Roman" w:hAnsi="Times New Roman" w:eastAsia="宋体"/>
                      <w:b/>
                      <w:color w:val="000000" w:themeColor="text1"/>
                      <w:szCs w:val="21"/>
                      <w:u w:val="single"/>
                    </w:rPr>
                  </w:pPr>
                </w:p>
              </w:tc>
              <w:tc>
                <w:tcPr>
                  <w:tcW w:w="548" w:type="pct"/>
                  <w:tcBorders>
                    <w:top w:val="single" w:color="auto" w:sz="4" w:space="0"/>
                    <w:bottom w:val="single" w:color="auto" w:sz="4" w:space="0"/>
                  </w:tcBorders>
                  <w:vAlign w:val="center"/>
                </w:tcPr>
                <w:p>
                  <w:pPr>
                    <w:widowControl/>
                    <w:jc w:val="center"/>
                    <w:rPr>
                      <w:rFonts w:ascii="Times New Roman" w:hAnsi="Times New Roman" w:eastAsia="宋体"/>
                      <w:b/>
                      <w:color w:val="000000" w:themeColor="text1"/>
                      <w:szCs w:val="21"/>
                      <w:u w:val="single"/>
                    </w:rPr>
                  </w:pPr>
                </w:p>
              </w:tc>
              <w:tc>
                <w:tcPr>
                  <w:tcW w:w="1034" w:type="pct"/>
                  <w:tcBorders>
                    <w:top w:val="single" w:color="auto" w:sz="4" w:space="0"/>
                    <w:bottom w:val="single" w:color="auto" w:sz="4" w:space="0"/>
                  </w:tcBorders>
                  <w:vAlign w:val="center"/>
                </w:tcPr>
                <w:p>
                  <w:pPr>
                    <w:widowControl/>
                    <w:jc w:val="center"/>
                    <w:rPr>
                      <w:rFonts w:ascii="Times New Roman" w:hAnsi="Times New Roman" w:eastAsia="宋体"/>
                      <w:b/>
                      <w:color w:val="000000" w:themeColor="text1"/>
                      <w:szCs w:val="21"/>
                      <w:u w:val="single"/>
                    </w:rPr>
                  </w:pPr>
                  <w:r>
                    <w:rPr>
                      <w:rFonts w:hint="eastAsia" w:ascii="Times New Roman" w:hAnsi="Times New Roman" w:eastAsia="宋体"/>
                      <w:b/>
                      <w:color w:val="000000" w:themeColor="text1"/>
                      <w:szCs w:val="21"/>
                      <w:u w:val="single"/>
                    </w:rPr>
                    <w:t>塑料皮帘*</w:t>
                  </w:r>
                </w:p>
              </w:tc>
              <w:tc>
                <w:tcPr>
                  <w:tcW w:w="604" w:type="pct"/>
                  <w:tcBorders>
                    <w:top w:val="single" w:color="auto" w:sz="4" w:space="0"/>
                    <w:bottom w:val="single" w:color="auto" w:sz="4" w:space="0"/>
                  </w:tcBorders>
                  <w:vAlign w:val="center"/>
                </w:tcPr>
                <w:p>
                  <w:pPr>
                    <w:widowControl/>
                    <w:jc w:val="center"/>
                    <w:rPr>
                      <w:rFonts w:ascii="Times New Roman" w:hAnsi="Times New Roman" w:eastAsia="宋体"/>
                      <w:b/>
                      <w:color w:val="000000" w:themeColor="text1"/>
                      <w:szCs w:val="21"/>
                      <w:u w:val="single"/>
                    </w:rPr>
                  </w:pPr>
                  <w:r>
                    <w:rPr>
                      <w:rFonts w:hint="eastAsia" w:ascii="Times New Roman" w:hAnsi="Times New Roman" w:eastAsia="宋体"/>
                      <w:b/>
                      <w:color w:val="000000" w:themeColor="text1"/>
                      <w:szCs w:val="21"/>
                      <w:u w:val="single"/>
                    </w:rPr>
                    <w:t>84t/a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6" w:type="pct"/>
                  <w:tcBorders>
                    <w:top w:val="single" w:color="auto" w:sz="4" w:space="0"/>
                    <w:bottom w:val="single" w:color="auto" w:sz="8" w:space="0"/>
                  </w:tcBorders>
                  <w:vAlign w:val="center"/>
                </w:tcPr>
                <w:p>
                  <w:pPr>
                    <w:widowControl/>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3</w:t>
                  </w:r>
                </w:p>
              </w:tc>
              <w:tc>
                <w:tcPr>
                  <w:tcW w:w="437" w:type="pct"/>
                  <w:tcBorders>
                    <w:top w:val="single" w:color="auto" w:sz="4" w:space="0"/>
                    <w:bottom w:val="single" w:color="auto" w:sz="8" w:space="0"/>
                  </w:tcBorders>
                  <w:vAlign w:val="center"/>
                </w:tcPr>
                <w:p>
                  <w:pPr>
                    <w:widowControl/>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w:t>
                  </w:r>
                </w:p>
              </w:tc>
              <w:tc>
                <w:tcPr>
                  <w:tcW w:w="703" w:type="pct"/>
                  <w:tcBorders>
                    <w:top w:val="single" w:color="auto" w:sz="4" w:space="0"/>
                    <w:bottom w:val="single" w:color="auto" w:sz="8" w:space="0"/>
                  </w:tcBorders>
                  <w:vAlign w:val="center"/>
                </w:tcPr>
                <w:p>
                  <w:pPr>
                    <w:widowControl/>
                    <w:jc w:val="center"/>
                    <w:rPr>
                      <w:rFonts w:ascii="Times New Roman" w:hAnsi="Times New Roman" w:eastAsia="宋体"/>
                      <w:color w:val="000000" w:themeColor="text1"/>
                      <w:szCs w:val="21"/>
                    </w:rPr>
                  </w:pPr>
                </w:p>
              </w:tc>
              <w:tc>
                <w:tcPr>
                  <w:tcW w:w="548" w:type="pct"/>
                  <w:tcBorders>
                    <w:top w:val="single" w:color="auto" w:sz="4" w:space="0"/>
                    <w:bottom w:val="single" w:color="auto" w:sz="8" w:space="0"/>
                  </w:tcBorders>
                  <w:vAlign w:val="center"/>
                </w:tcPr>
                <w:p>
                  <w:pPr>
                    <w:widowControl/>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w:t>
                  </w:r>
                </w:p>
              </w:tc>
              <w:tc>
                <w:tcPr>
                  <w:tcW w:w="860" w:type="pct"/>
                  <w:tcBorders>
                    <w:top w:val="single" w:color="auto" w:sz="4" w:space="0"/>
                    <w:bottom w:val="single" w:color="auto" w:sz="8" w:space="0"/>
                  </w:tcBorders>
                  <w:vAlign w:val="center"/>
                </w:tcPr>
                <w:p>
                  <w:pPr>
                    <w:widowControl/>
                    <w:jc w:val="center"/>
                    <w:rPr>
                      <w:rFonts w:ascii="Times New Roman" w:hAnsi="Times New Roman" w:eastAsia="宋体"/>
                      <w:color w:val="000000" w:themeColor="text1"/>
                      <w:szCs w:val="21"/>
                    </w:rPr>
                  </w:pPr>
                  <w:r>
                    <w:rPr>
                      <w:rFonts w:ascii="Times New Roman" w:hAnsi="Times New Roman" w:eastAsia="宋体"/>
                      <w:color w:val="000000" w:themeColor="text1"/>
                      <w:szCs w:val="21"/>
                    </w:rPr>
                    <w:t>塑料磁吸门帘</w:t>
                  </w:r>
                </w:p>
              </w:tc>
              <w:tc>
                <w:tcPr>
                  <w:tcW w:w="548" w:type="pct"/>
                  <w:tcBorders>
                    <w:top w:val="single" w:color="auto" w:sz="4" w:space="0"/>
                    <w:bottom w:val="single" w:color="auto" w:sz="8" w:space="0"/>
                  </w:tcBorders>
                  <w:vAlign w:val="center"/>
                </w:tcPr>
                <w:p>
                  <w:pPr>
                    <w:widowControl/>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1200t/a</w:t>
                  </w:r>
                </w:p>
              </w:tc>
              <w:tc>
                <w:tcPr>
                  <w:tcW w:w="1034" w:type="pct"/>
                  <w:tcBorders>
                    <w:top w:val="single" w:color="auto" w:sz="4" w:space="0"/>
                    <w:bottom w:val="single" w:color="auto" w:sz="8" w:space="0"/>
                  </w:tcBorders>
                  <w:vAlign w:val="center"/>
                </w:tcPr>
                <w:p>
                  <w:pPr>
                    <w:widowControl/>
                    <w:jc w:val="center"/>
                    <w:rPr>
                      <w:rFonts w:ascii="Times New Roman" w:hAnsi="Times New Roman" w:eastAsia="宋体"/>
                      <w:color w:val="000000" w:themeColor="text1"/>
                      <w:szCs w:val="21"/>
                    </w:rPr>
                  </w:pPr>
                  <w:r>
                    <w:rPr>
                      <w:rFonts w:ascii="Times New Roman" w:hAnsi="Times New Roman" w:eastAsia="宋体"/>
                      <w:color w:val="000000" w:themeColor="text1"/>
                      <w:szCs w:val="21"/>
                    </w:rPr>
                    <w:t>塑料磁吸门帘</w:t>
                  </w:r>
                </w:p>
              </w:tc>
              <w:tc>
                <w:tcPr>
                  <w:tcW w:w="604" w:type="pct"/>
                  <w:tcBorders>
                    <w:top w:val="single" w:color="auto" w:sz="4" w:space="0"/>
                    <w:bottom w:val="single" w:color="auto" w:sz="8" w:space="0"/>
                  </w:tcBorders>
                  <w:vAlign w:val="center"/>
                </w:tcPr>
                <w:p>
                  <w:pPr>
                    <w:widowControl/>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1200t/a</w:t>
                  </w:r>
                </w:p>
              </w:tc>
            </w:tr>
          </w:tbl>
          <w:p>
            <w:pPr>
              <w:adjustRightInd w:val="0"/>
              <w:snapToGrid w:val="0"/>
              <w:ind w:firstLine="420" w:firstLineChars="200"/>
              <w:textAlignment w:val="baseline"/>
              <w:rPr>
                <w:rFonts w:ascii="Times New Roman" w:hAnsi="Times New Roman" w:eastAsia="宋体"/>
                <w:color w:val="000000" w:themeColor="text1"/>
                <w:szCs w:val="21"/>
              </w:rPr>
            </w:pPr>
            <w:r>
              <w:rPr>
                <w:rFonts w:hint="eastAsia" w:ascii="Times New Roman" w:hAnsi="Times New Roman" w:eastAsia="宋体"/>
                <w:color w:val="000000" w:themeColor="text1"/>
                <w:szCs w:val="21"/>
              </w:rPr>
              <w:t>*注：原有工程的</w:t>
            </w:r>
            <w:r>
              <w:rPr>
                <w:rFonts w:hint="eastAsia" w:ascii="Times New Roman" w:hAnsi="Times New Roman" w:eastAsia="宋体"/>
                <w:b/>
                <w:color w:val="000000" w:themeColor="text1"/>
                <w:szCs w:val="21"/>
                <w:u w:val="single"/>
              </w:rPr>
              <w:t>塑料皮帘</w:t>
            </w:r>
            <w:r>
              <w:rPr>
                <w:rFonts w:hint="eastAsia" w:ascii="Times New Roman" w:hAnsi="Times New Roman" w:eastAsia="宋体"/>
                <w:color w:val="000000" w:themeColor="text1"/>
                <w:szCs w:val="21"/>
              </w:rPr>
              <w:t>中有816吨是用于本项目生产</w:t>
            </w:r>
            <w:r>
              <w:rPr>
                <w:rFonts w:hint="eastAsia" w:ascii="Times New Roman" w:hAnsi="Times New Roman" w:eastAsia="宋体"/>
                <w:bCs/>
                <w:color w:val="000000" w:themeColor="text1"/>
                <w:szCs w:val="21"/>
              </w:rPr>
              <w:t>塑料磁吸门帘</w:t>
            </w:r>
            <w:r>
              <w:rPr>
                <w:rFonts w:hint="eastAsia" w:ascii="Times New Roman" w:hAnsi="Times New Roman" w:eastAsia="宋体"/>
                <w:color w:val="000000" w:themeColor="text1"/>
                <w:szCs w:val="21"/>
              </w:rPr>
              <w:t>的原材料。</w:t>
            </w:r>
            <w:r>
              <w:rPr>
                <w:rFonts w:hint="eastAsia" w:ascii="Times New Roman" w:hAnsi="Times New Roman" w:eastAsia="宋体"/>
                <w:b/>
                <w:color w:val="000000" w:themeColor="text1"/>
                <w:szCs w:val="21"/>
                <w:u w:val="single"/>
              </w:rPr>
              <w:t>塑料皮帘的规格：长为1m-4m，宽为140mm-1200mm，厚为1.5mm-5mm，具体根据客户的需要定制。</w:t>
            </w:r>
          </w:p>
          <w:p>
            <w:pPr>
              <w:adjustRightInd w:val="0"/>
              <w:snapToGrid w:val="0"/>
              <w:spacing w:line="440" w:lineRule="exact"/>
              <w:ind w:firstLine="482" w:firstLineChars="200"/>
              <w:textAlignment w:val="baseline"/>
              <w:rPr>
                <w:rFonts w:ascii="Times New Roman" w:hAnsi="Times New Roman" w:eastAsia="宋体"/>
                <w:b/>
                <w:color w:val="000000" w:themeColor="text1"/>
                <w:sz w:val="24"/>
              </w:rPr>
            </w:pPr>
            <w:r>
              <w:rPr>
                <w:rFonts w:ascii="Times New Roman" w:hAnsi="Times New Roman" w:eastAsia="宋体"/>
                <w:b/>
                <w:color w:val="000000" w:themeColor="text1"/>
                <w:sz w:val="24"/>
              </w:rPr>
              <w:t>4、主要原辅材料消耗量</w:t>
            </w:r>
          </w:p>
          <w:p>
            <w:pPr>
              <w:adjustRightInd w:val="0"/>
              <w:snapToGrid w:val="0"/>
              <w:spacing w:line="440" w:lineRule="exact"/>
              <w:jc w:val="center"/>
              <w:rPr>
                <w:rFonts w:ascii="Times New Roman" w:hAnsi="Times New Roman" w:eastAsia="宋体"/>
                <w:b/>
                <w:color w:val="000000" w:themeColor="text1"/>
                <w:sz w:val="24"/>
              </w:rPr>
            </w:pPr>
            <w:r>
              <w:rPr>
                <w:rFonts w:ascii="Times New Roman" w:hAnsi="Times New Roman" w:eastAsia="宋体"/>
                <w:b/>
                <w:color w:val="000000" w:themeColor="text1"/>
                <w:sz w:val="24"/>
              </w:rPr>
              <w:t>表4    本项目原辅材料及动力消耗情况一览表</w:t>
            </w:r>
          </w:p>
          <w:tbl>
            <w:tblPr>
              <w:tblStyle w:val="24"/>
              <w:tblW w:w="9072"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45"/>
              <w:gridCol w:w="1549"/>
              <w:gridCol w:w="1702"/>
              <w:gridCol w:w="467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1" w:type="pct"/>
                  <w:tcBorders>
                    <w:top w:val="single" w:color="auto" w:sz="8" w:space="0"/>
                    <w:bottom w:val="single" w:color="auto" w:sz="8" w:space="0"/>
                  </w:tcBorders>
                  <w:vAlign w:val="center"/>
                </w:tcPr>
                <w:p>
                  <w:pPr>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序号</w:t>
                  </w:r>
                </w:p>
              </w:tc>
              <w:tc>
                <w:tcPr>
                  <w:tcW w:w="854" w:type="pct"/>
                  <w:tcBorders>
                    <w:top w:val="single" w:color="auto" w:sz="8" w:space="0"/>
                    <w:bottom w:val="single" w:color="auto" w:sz="8" w:space="0"/>
                  </w:tcBorders>
                  <w:vAlign w:val="center"/>
                </w:tcPr>
                <w:p>
                  <w:pPr>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原材料名称</w:t>
                  </w:r>
                </w:p>
              </w:tc>
              <w:tc>
                <w:tcPr>
                  <w:tcW w:w="938" w:type="pct"/>
                  <w:tcBorders>
                    <w:top w:val="single" w:color="auto" w:sz="8" w:space="0"/>
                    <w:bottom w:val="single" w:color="auto" w:sz="8" w:space="0"/>
                  </w:tcBorders>
                  <w:vAlign w:val="center"/>
                </w:tcPr>
                <w:p>
                  <w:pPr>
                    <w:widowControl/>
                    <w:jc w:val="center"/>
                    <w:textAlignment w:val="center"/>
                    <w:rPr>
                      <w:rFonts w:ascii="Times New Roman" w:hAnsi="Times New Roman" w:eastAsia="宋体"/>
                      <w:b/>
                      <w:bCs/>
                      <w:color w:val="000000" w:themeColor="text1"/>
                      <w:szCs w:val="21"/>
                    </w:rPr>
                  </w:pPr>
                  <w:r>
                    <w:rPr>
                      <w:rFonts w:ascii="Times New Roman" w:hAnsi="Times New Roman" w:eastAsia="宋体"/>
                      <w:b/>
                      <w:bCs/>
                      <w:color w:val="000000" w:themeColor="text1"/>
                      <w:kern w:val="0"/>
                      <w:sz w:val="22"/>
                      <w:szCs w:val="22"/>
                    </w:rPr>
                    <w:t>年用量</w:t>
                  </w:r>
                </w:p>
              </w:tc>
              <w:tc>
                <w:tcPr>
                  <w:tcW w:w="2578" w:type="pct"/>
                  <w:tcBorders>
                    <w:top w:val="single" w:color="auto" w:sz="8" w:space="0"/>
                    <w:bottom w:val="single" w:color="auto" w:sz="8" w:space="0"/>
                  </w:tcBorders>
                  <w:vAlign w:val="center"/>
                </w:tcPr>
                <w:p>
                  <w:pPr>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备注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1" w:type="pct"/>
                  <w:vMerge w:val="restart"/>
                  <w:tcBorders>
                    <w:top w:val="single" w:color="auto" w:sz="8" w:space="0"/>
                  </w:tcBorders>
                  <w:vAlign w:val="center"/>
                </w:tcPr>
                <w:p>
                  <w:pPr>
                    <w:adjustRightInd w:val="0"/>
                    <w:snapToGrid w:val="0"/>
                    <w:spacing w:line="360" w:lineRule="exact"/>
                    <w:jc w:val="center"/>
                    <w:rPr>
                      <w:rFonts w:ascii="Times New Roman" w:hAnsi="Times New Roman" w:eastAsia="宋体"/>
                      <w:color w:val="000000" w:themeColor="text1"/>
                      <w:szCs w:val="21"/>
                    </w:rPr>
                  </w:pPr>
                  <w:r>
                    <w:rPr>
                      <w:rFonts w:ascii="Times New Roman" w:hAnsi="Times New Roman" w:eastAsia="宋体"/>
                      <w:color w:val="000000" w:themeColor="text1"/>
                      <w:szCs w:val="21"/>
                    </w:rPr>
                    <w:t>原、辅材料</w:t>
                  </w:r>
                </w:p>
              </w:tc>
              <w:tc>
                <w:tcPr>
                  <w:tcW w:w="854" w:type="pct"/>
                  <w:tcBorders>
                    <w:top w:val="single" w:color="auto" w:sz="8" w:space="0"/>
                    <w:bottom w:val="single" w:color="auto" w:sz="4" w:space="0"/>
                  </w:tcBorders>
                  <w:vAlign w:val="center"/>
                </w:tcPr>
                <w:p>
                  <w:pPr>
                    <w:adjustRightInd w:val="0"/>
                    <w:snapToGrid w:val="0"/>
                    <w:spacing w:line="360" w:lineRule="exact"/>
                    <w:jc w:val="center"/>
                    <w:rPr>
                      <w:rFonts w:ascii="Times New Roman" w:hAnsi="Times New Roman" w:eastAsia="宋体"/>
                      <w:b/>
                      <w:color w:val="000000" w:themeColor="text1"/>
                      <w:szCs w:val="21"/>
                      <w:u w:val="single"/>
                    </w:rPr>
                  </w:pPr>
                  <w:r>
                    <w:rPr>
                      <w:rFonts w:hint="eastAsia" w:ascii="Times New Roman" w:hAnsi="Times New Roman" w:eastAsia="宋体"/>
                      <w:b/>
                      <w:color w:val="000000" w:themeColor="text1"/>
                      <w:u w:val="single"/>
                    </w:rPr>
                    <w:t>塑料皮帘</w:t>
                  </w:r>
                </w:p>
              </w:tc>
              <w:tc>
                <w:tcPr>
                  <w:tcW w:w="938" w:type="pct"/>
                  <w:tcBorders>
                    <w:top w:val="single" w:color="auto" w:sz="8" w:space="0"/>
                    <w:bottom w:val="single" w:color="auto" w:sz="4" w:space="0"/>
                  </w:tcBorders>
                  <w:vAlign w:val="center"/>
                </w:tcPr>
                <w:p>
                  <w:pPr>
                    <w:adjustRightInd w:val="0"/>
                    <w:snapToGrid w:val="0"/>
                    <w:spacing w:line="360" w:lineRule="exact"/>
                    <w:jc w:val="center"/>
                    <w:rPr>
                      <w:rFonts w:ascii="Times New Roman" w:hAnsi="Times New Roman" w:eastAsia="宋体"/>
                      <w:b/>
                      <w:color w:val="000000" w:themeColor="text1"/>
                      <w:szCs w:val="21"/>
                      <w:u w:val="single"/>
                    </w:rPr>
                  </w:pPr>
                  <w:r>
                    <w:rPr>
                      <w:rFonts w:hint="eastAsia" w:ascii="Times New Roman" w:hAnsi="Times New Roman" w:eastAsia="宋体"/>
                      <w:b/>
                      <w:color w:val="000000" w:themeColor="text1"/>
                      <w:szCs w:val="21"/>
                      <w:u w:val="single"/>
                    </w:rPr>
                    <w:t>816</w:t>
                  </w:r>
                  <w:r>
                    <w:rPr>
                      <w:rFonts w:ascii="Times New Roman" w:hAnsi="Times New Roman" w:eastAsia="宋体"/>
                      <w:b/>
                      <w:color w:val="000000" w:themeColor="text1"/>
                      <w:szCs w:val="21"/>
                      <w:u w:val="single"/>
                    </w:rPr>
                    <w:t>吨</w:t>
                  </w:r>
                </w:p>
              </w:tc>
              <w:tc>
                <w:tcPr>
                  <w:tcW w:w="2578" w:type="pct"/>
                  <w:tcBorders>
                    <w:top w:val="single" w:color="auto" w:sz="8" w:space="0"/>
                    <w:bottom w:val="single" w:color="auto" w:sz="4" w:space="0"/>
                  </w:tcBorders>
                  <w:vAlign w:val="center"/>
                </w:tcPr>
                <w:p>
                  <w:pPr>
                    <w:adjustRightInd w:val="0"/>
                    <w:snapToGrid w:val="0"/>
                    <w:spacing w:line="360" w:lineRule="exact"/>
                    <w:jc w:val="center"/>
                    <w:rPr>
                      <w:rFonts w:ascii="Times New Roman" w:hAnsi="Times New Roman" w:eastAsia="宋体"/>
                      <w:b/>
                      <w:color w:val="000000" w:themeColor="text1"/>
                      <w:szCs w:val="21"/>
                      <w:u w:val="single"/>
                    </w:rPr>
                  </w:pPr>
                  <w:r>
                    <w:rPr>
                      <w:rFonts w:ascii="Times New Roman" w:hAnsi="Times New Roman" w:eastAsia="宋体"/>
                      <w:b/>
                      <w:color w:val="000000" w:themeColor="text1"/>
                      <w:szCs w:val="21"/>
                      <w:u w:val="single"/>
                    </w:rPr>
                    <w:t>厂区内原有工程生产</w:t>
                  </w:r>
                  <w:r>
                    <w:rPr>
                      <w:rFonts w:hint="eastAsia" w:ascii="Times New Roman" w:hAnsi="Times New Roman" w:eastAsia="宋体"/>
                      <w:b/>
                      <w:color w:val="000000" w:themeColor="text1"/>
                      <w:szCs w:val="21"/>
                      <w:u w:val="single"/>
                    </w:rPr>
                    <w:t>，规格：长为1m-4m，宽为140mm-1200mm，厚为1.5mm-5mm</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1" w:type="pct"/>
                  <w:vMerge w:val="continue"/>
                  <w:vAlign w:val="center"/>
                </w:tcPr>
                <w:p>
                  <w:pPr>
                    <w:pStyle w:val="2"/>
                    <w:rPr>
                      <w:rFonts w:ascii="Times New Roman" w:hAnsi="Times New Roman" w:eastAsia="宋体"/>
                      <w:color w:val="000000" w:themeColor="text1"/>
                      <w:szCs w:val="21"/>
                    </w:rPr>
                  </w:pPr>
                </w:p>
              </w:tc>
              <w:tc>
                <w:tcPr>
                  <w:tcW w:w="854" w:type="pct"/>
                  <w:tcBorders>
                    <w:top w:val="single" w:color="auto" w:sz="4" w:space="0"/>
                    <w:bottom w:val="single" w:color="auto" w:sz="4" w:space="0"/>
                  </w:tcBorders>
                  <w:vAlign w:val="center"/>
                </w:tcPr>
                <w:p>
                  <w:pPr>
                    <w:adjustRightInd w:val="0"/>
                    <w:snapToGrid w:val="0"/>
                    <w:spacing w:line="360" w:lineRule="exact"/>
                    <w:jc w:val="center"/>
                    <w:rPr>
                      <w:rFonts w:ascii="Times New Roman" w:hAnsi="Times New Roman" w:eastAsia="宋体"/>
                      <w:color w:val="000000" w:themeColor="text1"/>
                      <w:szCs w:val="21"/>
                    </w:rPr>
                  </w:pPr>
                  <w:r>
                    <w:rPr>
                      <w:rFonts w:ascii="Times New Roman" w:hAnsi="Times New Roman" w:eastAsia="宋体"/>
                      <w:color w:val="000000" w:themeColor="text1"/>
                      <w:szCs w:val="21"/>
                    </w:rPr>
                    <w:t>磁条</w:t>
                  </w:r>
                </w:p>
              </w:tc>
              <w:tc>
                <w:tcPr>
                  <w:tcW w:w="938" w:type="pct"/>
                  <w:tcBorders>
                    <w:top w:val="single" w:color="auto" w:sz="4" w:space="0"/>
                    <w:bottom w:val="single" w:color="auto" w:sz="4" w:space="0"/>
                  </w:tcBorders>
                  <w:vAlign w:val="center"/>
                </w:tcPr>
                <w:p>
                  <w:pPr>
                    <w:adjustRightInd w:val="0"/>
                    <w:snapToGrid w:val="0"/>
                    <w:spacing w:line="360" w:lineRule="exact"/>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2160000米</w:t>
                  </w:r>
                </w:p>
              </w:tc>
              <w:tc>
                <w:tcPr>
                  <w:tcW w:w="2578" w:type="pct"/>
                  <w:tcBorders>
                    <w:top w:val="single" w:color="auto" w:sz="4" w:space="0"/>
                    <w:bottom w:val="single" w:color="auto" w:sz="4" w:space="0"/>
                  </w:tcBorders>
                  <w:vAlign w:val="center"/>
                </w:tcPr>
                <w:p>
                  <w:pPr>
                    <w:adjustRightInd w:val="0"/>
                    <w:snapToGrid w:val="0"/>
                    <w:spacing w:line="360" w:lineRule="exact"/>
                    <w:jc w:val="center"/>
                    <w:rPr>
                      <w:rFonts w:ascii="Times New Roman" w:hAnsi="Times New Roman" w:eastAsia="宋体"/>
                      <w:color w:val="000000" w:themeColor="text1"/>
                      <w:szCs w:val="21"/>
                    </w:rPr>
                  </w:pPr>
                  <w:r>
                    <w:rPr>
                      <w:rFonts w:ascii="Times New Roman" w:hAnsi="Times New Roman" w:eastAsia="宋体"/>
                      <w:color w:val="000000" w:themeColor="text1"/>
                      <w:szCs w:val="21"/>
                    </w:rPr>
                    <w:t>外购</w:t>
                  </w:r>
                  <w:r>
                    <w:rPr>
                      <w:rFonts w:hint="eastAsia" w:ascii="Times New Roman" w:hAnsi="Times New Roman" w:eastAsia="宋体"/>
                      <w:color w:val="000000" w:themeColor="text1"/>
                      <w:szCs w:val="21"/>
                    </w:rPr>
                    <w:t>，</w:t>
                  </w:r>
                  <w:r>
                    <w:rPr>
                      <w:rFonts w:ascii="Times New Roman" w:hAnsi="Times New Roman" w:eastAsia="宋体"/>
                      <w:color w:val="000000" w:themeColor="text1"/>
                      <w:szCs w:val="21"/>
                    </w:rPr>
                    <w:t>散装</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1" w:type="pct"/>
                  <w:vMerge w:val="continue"/>
                  <w:vAlign w:val="center"/>
                </w:tcPr>
                <w:p>
                  <w:pPr>
                    <w:pStyle w:val="2"/>
                    <w:rPr>
                      <w:rFonts w:ascii="Times New Roman" w:hAnsi="Times New Roman" w:eastAsia="宋体"/>
                      <w:color w:val="000000" w:themeColor="text1"/>
                      <w:szCs w:val="21"/>
                    </w:rPr>
                  </w:pPr>
                </w:p>
              </w:tc>
              <w:tc>
                <w:tcPr>
                  <w:tcW w:w="854" w:type="pct"/>
                  <w:tcBorders>
                    <w:top w:val="single" w:color="auto" w:sz="4" w:space="0"/>
                    <w:bottom w:val="single" w:color="auto" w:sz="4" w:space="0"/>
                  </w:tcBorders>
                  <w:vAlign w:val="center"/>
                </w:tcPr>
                <w:p>
                  <w:pPr>
                    <w:adjustRightInd w:val="0"/>
                    <w:snapToGrid w:val="0"/>
                    <w:spacing w:line="360" w:lineRule="exact"/>
                    <w:jc w:val="center"/>
                    <w:rPr>
                      <w:rFonts w:ascii="Times New Roman" w:hAnsi="Times New Roman" w:eastAsia="宋体"/>
                      <w:color w:val="000000" w:themeColor="text1"/>
                      <w:szCs w:val="21"/>
                    </w:rPr>
                  </w:pPr>
                  <w:r>
                    <w:rPr>
                      <w:rFonts w:ascii="Times New Roman" w:hAnsi="Times New Roman" w:eastAsia="宋体"/>
                      <w:color w:val="000000" w:themeColor="text1"/>
                    </w:rPr>
                    <w:t>边条</w:t>
                  </w:r>
                </w:p>
              </w:tc>
              <w:tc>
                <w:tcPr>
                  <w:tcW w:w="938" w:type="pct"/>
                  <w:tcBorders>
                    <w:top w:val="single" w:color="auto" w:sz="4" w:space="0"/>
                    <w:bottom w:val="single" w:color="auto" w:sz="4" w:space="0"/>
                  </w:tcBorders>
                  <w:vAlign w:val="center"/>
                </w:tcPr>
                <w:p>
                  <w:pPr>
                    <w:adjustRightInd w:val="0"/>
                    <w:snapToGrid w:val="0"/>
                    <w:spacing w:line="360" w:lineRule="exact"/>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120</w:t>
                  </w:r>
                  <w:r>
                    <w:rPr>
                      <w:rFonts w:ascii="Times New Roman" w:hAnsi="Times New Roman" w:eastAsia="宋体"/>
                      <w:color w:val="000000" w:themeColor="text1"/>
                      <w:szCs w:val="21"/>
                    </w:rPr>
                    <w:t>吨</w:t>
                  </w:r>
                </w:p>
              </w:tc>
              <w:tc>
                <w:tcPr>
                  <w:tcW w:w="2578" w:type="pct"/>
                  <w:tcBorders>
                    <w:top w:val="single" w:color="auto" w:sz="4" w:space="0"/>
                    <w:bottom w:val="single" w:color="auto" w:sz="4" w:space="0"/>
                  </w:tcBorders>
                  <w:vAlign w:val="center"/>
                </w:tcPr>
                <w:p>
                  <w:pPr>
                    <w:adjustRightInd w:val="0"/>
                    <w:snapToGrid w:val="0"/>
                    <w:spacing w:line="360" w:lineRule="exact"/>
                    <w:jc w:val="center"/>
                    <w:rPr>
                      <w:rFonts w:ascii="Times New Roman" w:hAnsi="Times New Roman" w:eastAsia="宋体"/>
                      <w:color w:val="000000" w:themeColor="text1"/>
                      <w:szCs w:val="21"/>
                    </w:rPr>
                  </w:pPr>
                  <w:r>
                    <w:rPr>
                      <w:rFonts w:ascii="Times New Roman" w:hAnsi="Times New Roman" w:eastAsia="宋体"/>
                      <w:color w:val="000000" w:themeColor="text1"/>
                      <w:szCs w:val="21"/>
                    </w:rPr>
                    <w:t>外购</w:t>
                  </w:r>
                  <w:r>
                    <w:rPr>
                      <w:rFonts w:hint="eastAsia" w:ascii="Times New Roman" w:hAnsi="Times New Roman" w:eastAsia="宋体"/>
                      <w:color w:val="000000" w:themeColor="text1"/>
                      <w:szCs w:val="21"/>
                    </w:rPr>
                    <w:t>，</w:t>
                  </w:r>
                  <w:r>
                    <w:rPr>
                      <w:rFonts w:ascii="Times New Roman" w:hAnsi="Times New Roman" w:eastAsia="宋体"/>
                      <w:color w:val="000000" w:themeColor="text1"/>
                      <w:szCs w:val="21"/>
                    </w:rPr>
                    <w:t>散装</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1" w:type="pct"/>
                  <w:vMerge w:val="continue"/>
                  <w:vAlign w:val="center"/>
                </w:tcPr>
                <w:p>
                  <w:pPr>
                    <w:adjustRightInd w:val="0"/>
                    <w:snapToGrid w:val="0"/>
                    <w:spacing w:line="360" w:lineRule="exact"/>
                    <w:jc w:val="center"/>
                    <w:rPr>
                      <w:rFonts w:ascii="Times New Roman" w:hAnsi="Times New Roman" w:eastAsia="宋体"/>
                      <w:color w:val="000000" w:themeColor="text1"/>
                    </w:rPr>
                  </w:pPr>
                </w:p>
              </w:tc>
              <w:tc>
                <w:tcPr>
                  <w:tcW w:w="854" w:type="pct"/>
                  <w:tcBorders>
                    <w:top w:val="single" w:color="auto" w:sz="4" w:space="0"/>
                    <w:bottom w:val="single" w:color="auto" w:sz="4" w:space="0"/>
                  </w:tcBorders>
                  <w:vAlign w:val="center"/>
                </w:tcPr>
                <w:p>
                  <w:pPr>
                    <w:spacing w:line="320" w:lineRule="exact"/>
                    <w:jc w:val="center"/>
                    <w:rPr>
                      <w:rFonts w:ascii="Times New Roman" w:hAnsi="Times New Roman" w:eastAsia="宋体"/>
                      <w:color w:val="000000" w:themeColor="text1"/>
                    </w:rPr>
                  </w:pPr>
                  <w:r>
                    <w:rPr>
                      <w:rFonts w:ascii="Times New Roman" w:hAnsi="Times New Roman" w:eastAsia="宋体"/>
                      <w:color w:val="000000" w:themeColor="text1"/>
                    </w:rPr>
                    <w:t>纸箱</w:t>
                  </w:r>
                </w:p>
              </w:tc>
              <w:tc>
                <w:tcPr>
                  <w:tcW w:w="938" w:type="pct"/>
                  <w:tcBorders>
                    <w:top w:val="single" w:color="auto" w:sz="4" w:space="0"/>
                    <w:bottom w:val="single" w:color="auto" w:sz="4" w:space="0"/>
                  </w:tcBorders>
                  <w:vAlign w:val="center"/>
                </w:tcPr>
                <w:p>
                  <w:pPr>
                    <w:adjustRightInd w:val="0"/>
                    <w:snapToGrid w:val="0"/>
                    <w:spacing w:line="360" w:lineRule="exact"/>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4800个</w:t>
                  </w:r>
                </w:p>
              </w:tc>
              <w:tc>
                <w:tcPr>
                  <w:tcW w:w="2578" w:type="pct"/>
                  <w:tcBorders>
                    <w:top w:val="single" w:color="auto" w:sz="4" w:space="0"/>
                    <w:bottom w:val="single" w:color="auto" w:sz="4" w:space="0"/>
                  </w:tcBorders>
                  <w:vAlign w:val="center"/>
                </w:tcPr>
                <w:p>
                  <w:pPr>
                    <w:adjustRightInd w:val="0"/>
                    <w:snapToGrid w:val="0"/>
                    <w:spacing w:line="360" w:lineRule="exact"/>
                    <w:jc w:val="center"/>
                    <w:rPr>
                      <w:rFonts w:ascii="Times New Roman" w:hAnsi="Times New Roman" w:eastAsia="宋体"/>
                      <w:color w:val="000000" w:themeColor="text1"/>
                      <w:szCs w:val="21"/>
                    </w:rPr>
                  </w:pPr>
                  <w:r>
                    <w:rPr>
                      <w:rFonts w:ascii="Times New Roman" w:hAnsi="Times New Roman" w:eastAsia="宋体"/>
                      <w:color w:val="000000" w:themeColor="text1"/>
                      <w:szCs w:val="21"/>
                    </w:rPr>
                    <w:t>外购</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1" w:type="pct"/>
                  <w:vMerge w:val="restar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能耗</w:t>
                  </w:r>
                </w:p>
              </w:tc>
              <w:tc>
                <w:tcPr>
                  <w:tcW w:w="854" w:type="pct"/>
                  <w:vAlign w:val="center"/>
                </w:tcPr>
                <w:p>
                  <w:pPr>
                    <w:adjustRightInd w:val="0"/>
                    <w:snapToGrid w:val="0"/>
                    <w:spacing w:line="360" w:lineRule="exact"/>
                    <w:jc w:val="center"/>
                    <w:rPr>
                      <w:rFonts w:ascii="Times New Roman" w:hAnsi="Times New Roman" w:eastAsia="宋体"/>
                      <w:color w:val="000000" w:themeColor="text1"/>
                      <w:szCs w:val="21"/>
                    </w:rPr>
                  </w:pPr>
                  <w:r>
                    <w:rPr>
                      <w:rFonts w:ascii="Times New Roman" w:hAnsi="Times New Roman" w:eastAsia="宋体"/>
                      <w:color w:val="000000" w:themeColor="text1"/>
                      <w:szCs w:val="21"/>
                    </w:rPr>
                    <w:t>水</w:t>
                  </w:r>
                </w:p>
              </w:tc>
              <w:tc>
                <w:tcPr>
                  <w:tcW w:w="938" w:type="pct"/>
                  <w:vAlign w:val="center"/>
                </w:tcPr>
                <w:p>
                  <w:pPr>
                    <w:adjustRightInd w:val="0"/>
                    <w:snapToGrid w:val="0"/>
                    <w:spacing w:line="360" w:lineRule="exact"/>
                    <w:jc w:val="center"/>
                    <w:rPr>
                      <w:rFonts w:ascii="Times New Roman" w:hAnsi="Times New Roman" w:eastAsia="宋体"/>
                      <w:color w:val="000000" w:themeColor="text1"/>
                      <w:szCs w:val="21"/>
                      <w:highlight w:val="yellow"/>
                    </w:rPr>
                  </w:pPr>
                  <w:r>
                    <w:rPr>
                      <w:rFonts w:hint="eastAsia" w:ascii="Times New Roman" w:hAnsi="Times New Roman" w:eastAsia="宋体"/>
                      <w:color w:val="000000" w:themeColor="text1"/>
                      <w:szCs w:val="21"/>
                    </w:rPr>
                    <w:t>6</w:t>
                  </w:r>
                  <w:r>
                    <w:rPr>
                      <w:rFonts w:ascii="Times New Roman" w:hAnsi="Times New Roman" w:eastAsia="宋体"/>
                      <w:color w:val="000000" w:themeColor="text1"/>
                      <w:szCs w:val="21"/>
                    </w:rPr>
                    <w:t>m</w:t>
                  </w:r>
                  <w:r>
                    <w:rPr>
                      <w:rFonts w:ascii="Times New Roman" w:hAnsi="Times New Roman" w:eastAsia="宋体"/>
                      <w:color w:val="000000" w:themeColor="text1"/>
                      <w:szCs w:val="21"/>
                      <w:vertAlign w:val="superscript"/>
                    </w:rPr>
                    <w:t>3</w:t>
                  </w:r>
                  <w:r>
                    <w:rPr>
                      <w:rFonts w:ascii="Times New Roman" w:hAnsi="Times New Roman" w:eastAsia="宋体"/>
                      <w:color w:val="000000" w:themeColor="text1"/>
                      <w:szCs w:val="21"/>
                    </w:rPr>
                    <w:t>/a</w:t>
                  </w:r>
                </w:p>
              </w:tc>
              <w:tc>
                <w:tcPr>
                  <w:tcW w:w="2578" w:type="pct"/>
                  <w:vAlign w:val="center"/>
                </w:tcPr>
                <w:p>
                  <w:pPr>
                    <w:adjustRightInd w:val="0"/>
                    <w:snapToGrid w:val="0"/>
                    <w:spacing w:line="360" w:lineRule="exact"/>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市政供水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1" w:type="pct"/>
                  <w:vMerge w:val="continue"/>
                  <w:tcBorders>
                    <w:bottom w:val="single" w:color="auto" w:sz="8" w:space="0"/>
                  </w:tcBorders>
                  <w:vAlign w:val="center"/>
                </w:tcPr>
                <w:p>
                  <w:pPr>
                    <w:jc w:val="center"/>
                    <w:rPr>
                      <w:rFonts w:ascii="Times New Roman" w:hAnsi="Times New Roman" w:eastAsia="宋体"/>
                      <w:color w:val="000000" w:themeColor="text1"/>
                      <w:szCs w:val="21"/>
                    </w:rPr>
                  </w:pPr>
                </w:p>
              </w:tc>
              <w:tc>
                <w:tcPr>
                  <w:tcW w:w="854" w:type="pct"/>
                  <w:tcBorders>
                    <w:bottom w:val="single" w:color="auto" w:sz="8" w:space="0"/>
                  </w:tcBorders>
                  <w:vAlign w:val="center"/>
                </w:tcPr>
                <w:p>
                  <w:pPr>
                    <w:adjustRightInd w:val="0"/>
                    <w:snapToGrid w:val="0"/>
                    <w:spacing w:line="360" w:lineRule="exact"/>
                    <w:jc w:val="center"/>
                    <w:rPr>
                      <w:rFonts w:ascii="Times New Roman" w:hAnsi="Times New Roman" w:eastAsia="宋体"/>
                      <w:color w:val="000000" w:themeColor="text1"/>
                      <w:szCs w:val="21"/>
                    </w:rPr>
                  </w:pPr>
                  <w:r>
                    <w:rPr>
                      <w:rFonts w:ascii="Times New Roman" w:hAnsi="Times New Roman" w:eastAsia="宋体"/>
                      <w:color w:val="000000" w:themeColor="text1"/>
                      <w:szCs w:val="21"/>
                    </w:rPr>
                    <w:t>电</w:t>
                  </w:r>
                </w:p>
              </w:tc>
              <w:tc>
                <w:tcPr>
                  <w:tcW w:w="938" w:type="pct"/>
                  <w:tcBorders>
                    <w:bottom w:val="single" w:color="auto" w:sz="8" w:space="0"/>
                  </w:tcBorders>
                  <w:vAlign w:val="center"/>
                </w:tcPr>
                <w:p>
                  <w:pPr>
                    <w:adjustRightInd w:val="0"/>
                    <w:snapToGrid w:val="0"/>
                    <w:spacing w:line="360" w:lineRule="exact"/>
                    <w:jc w:val="center"/>
                    <w:rPr>
                      <w:rFonts w:ascii="Times New Roman" w:hAnsi="Times New Roman" w:eastAsia="宋体"/>
                      <w:color w:val="000000" w:themeColor="text1"/>
                      <w:szCs w:val="21"/>
                      <w:highlight w:val="yellow"/>
                    </w:rPr>
                  </w:pPr>
                  <w:r>
                    <w:rPr>
                      <w:rFonts w:hint="eastAsia" w:ascii="Times New Roman" w:hAnsi="Times New Roman" w:eastAsia="宋体"/>
                      <w:color w:val="000000" w:themeColor="text1"/>
                      <w:szCs w:val="21"/>
                    </w:rPr>
                    <w:t>21.6</w:t>
                  </w:r>
                  <w:r>
                    <w:rPr>
                      <w:rFonts w:ascii="Times New Roman" w:hAnsi="Times New Roman" w:eastAsia="宋体"/>
                      <w:color w:val="000000" w:themeColor="text1"/>
                      <w:szCs w:val="21"/>
                    </w:rPr>
                    <w:t>万kW·h/a</w:t>
                  </w:r>
                </w:p>
              </w:tc>
              <w:tc>
                <w:tcPr>
                  <w:tcW w:w="2578" w:type="pct"/>
                  <w:tcBorders>
                    <w:bottom w:val="single" w:color="auto" w:sz="8" w:space="0"/>
                  </w:tcBorders>
                  <w:vAlign w:val="center"/>
                </w:tcPr>
                <w:p>
                  <w:pPr>
                    <w:adjustRightInd w:val="0"/>
                    <w:snapToGrid w:val="0"/>
                    <w:spacing w:line="360" w:lineRule="exact"/>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园区</w:t>
                  </w:r>
                  <w:r>
                    <w:rPr>
                      <w:rFonts w:ascii="Times New Roman" w:hAnsi="Times New Roman" w:eastAsia="宋体"/>
                      <w:color w:val="000000" w:themeColor="text1"/>
                      <w:szCs w:val="21"/>
                    </w:rPr>
                    <w:t>统一供给</w:t>
                  </w:r>
                </w:p>
              </w:tc>
            </w:tr>
          </w:tbl>
          <w:p>
            <w:pPr>
              <w:adjustRightInd w:val="0"/>
              <w:snapToGrid w:val="0"/>
              <w:spacing w:line="440" w:lineRule="exact"/>
              <w:ind w:firstLine="482" w:firstLineChars="200"/>
              <w:textAlignment w:val="baseline"/>
              <w:rPr>
                <w:rFonts w:ascii="Times New Roman" w:hAnsi="Times New Roman" w:eastAsia="宋体"/>
                <w:b/>
                <w:color w:val="000000" w:themeColor="text1"/>
                <w:sz w:val="24"/>
              </w:rPr>
            </w:pPr>
            <w:r>
              <w:rPr>
                <w:rFonts w:ascii="Times New Roman" w:hAnsi="Times New Roman" w:eastAsia="宋体"/>
                <w:b/>
                <w:color w:val="000000" w:themeColor="text1"/>
                <w:sz w:val="24"/>
              </w:rPr>
              <w:t>5、主要生产设备</w:t>
            </w:r>
          </w:p>
          <w:p>
            <w:pPr>
              <w:autoSpaceDE w:val="0"/>
              <w:autoSpaceDN w:val="0"/>
              <w:adjustRightInd w:val="0"/>
              <w:spacing w:line="440" w:lineRule="exact"/>
              <w:ind w:firstLine="480" w:firstLineChars="200"/>
              <w:jc w:val="left"/>
              <w:rPr>
                <w:rFonts w:ascii="Times New Roman" w:hAnsi="Times New Roman" w:eastAsia="宋体"/>
                <w:color w:val="000000" w:themeColor="text1"/>
                <w:kern w:val="0"/>
                <w:sz w:val="24"/>
              </w:rPr>
            </w:pPr>
            <w:r>
              <w:rPr>
                <w:rFonts w:ascii="Times New Roman" w:hAnsi="Times New Roman" w:eastAsia="宋体"/>
                <w:color w:val="000000" w:themeColor="text1"/>
                <w:sz w:val="24"/>
              </w:rPr>
              <w:t>本项目为</w:t>
            </w:r>
            <w:r>
              <w:rPr>
                <w:rFonts w:hint="eastAsia" w:ascii="Times New Roman" w:hAnsi="Times New Roman" w:eastAsia="宋体"/>
                <w:bCs/>
                <w:color w:val="000000" w:themeColor="text1"/>
                <w:sz w:val="24"/>
              </w:rPr>
              <w:t>新乡市顺风船科技有限公司年产1200吨塑料磁吸门帘</w:t>
            </w:r>
            <w:r>
              <w:rPr>
                <w:rFonts w:ascii="Times New Roman" w:hAnsi="Times New Roman" w:eastAsia="宋体"/>
                <w:bCs/>
                <w:color w:val="000000" w:themeColor="text1"/>
                <w:sz w:val="24"/>
              </w:rPr>
              <w:t>项目</w:t>
            </w:r>
            <w:r>
              <w:rPr>
                <w:rFonts w:ascii="Times New Roman" w:hAnsi="Times New Roman" w:eastAsia="宋体"/>
                <w:color w:val="000000" w:themeColor="text1"/>
                <w:sz w:val="24"/>
              </w:rPr>
              <w:t>，</w:t>
            </w:r>
            <w:r>
              <w:rPr>
                <w:rFonts w:ascii="Times New Roman" w:hAnsi="Times New Roman" w:eastAsia="宋体"/>
                <w:bCs/>
                <w:color w:val="000000" w:themeColor="text1"/>
                <w:sz w:val="24"/>
              </w:rPr>
              <w:t>本项目主要设备见表5</w:t>
            </w:r>
            <w:r>
              <w:rPr>
                <w:rFonts w:ascii="Times New Roman" w:hAnsi="Times New Roman" w:eastAsia="宋体"/>
                <w:color w:val="000000" w:themeColor="text1"/>
                <w:sz w:val="24"/>
              </w:rPr>
              <w:t>。</w:t>
            </w:r>
          </w:p>
          <w:p>
            <w:pPr>
              <w:adjustRightInd w:val="0"/>
              <w:snapToGrid w:val="0"/>
              <w:spacing w:line="440" w:lineRule="exact"/>
              <w:jc w:val="center"/>
              <w:textAlignment w:val="baseline"/>
              <w:rPr>
                <w:rFonts w:ascii="Times New Roman" w:hAnsi="Times New Roman" w:eastAsia="宋体"/>
                <w:b/>
                <w:color w:val="000000" w:themeColor="text1"/>
                <w:sz w:val="24"/>
              </w:rPr>
            </w:pPr>
            <w:r>
              <w:rPr>
                <w:rFonts w:ascii="Times New Roman" w:hAnsi="Times New Roman" w:eastAsia="宋体"/>
                <w:b/>
                <w:color w:val="000000" w:themeColor="text1"/>
                <w:sz w:val="24"/>
              </w:rPr>
              <w:t>表5    本项目主要生产设备一览表</w:t>
            </w:r>
          </w:p>
          <w:tbl>
            <w:tblPr>
              <w:tblStyle w:val="24"/>
              <w:tblW w:w="9072"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559"/>
              <w:gridCol w:w="1701"/>
              <w:gridCol w:w="1276"/>
              <w:gridCol w:w="382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tcBorders>
                    <w:top w:val="single" w:color="auto" w:sz="8" w:space="0"/>
                    <w:bottom w:val="single" w:color="auto" w:sz="8" w:space="0"/>
                  </w:tcBorders>
                  <w:vAlign w:val="center"/>
                </w:tcPr>
                <w:p>
                  <w:pPr>
                    <w:adjustRightInd w:val="0"/>
                    <w:snapToGrid w:val="0"/>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序号</w:t>
                  </w:r>
                </w:p>
              </w:tc>
              <w:tc>
                <w:tcPr>
                  <w:tcW w:w="1559" w:type="dxa"/>
                  <w:tcBorders>
                    <w:top w:val="single" w:color="auto" w:sz="8" w:space="0"/>
                    <w:bottom w:val="single" w:color="auto" w:sz="8" w:space="0"/>
                  </w:tcBorders>
                  <w:vAlign w:val="center"/>
                </w:tcPr>
                <w:p>
                  <w:pPr>
                    <w:adjustRightInd w:val="0"/>
                    <w:snapToGrid w:val="0"/>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设备名称</w:t>
                  </w:r>
                </w:p>
              </w:tc>
              <w:tc>
                <w:tcPr>
                  <w:tcW w:w="1701" w:type="dxa"/>
                  <w:tcBorders>
                    <w:top w:val="single" w:color="auto" w:sz="8" w:space="0"/>
                    <w:bottom w:val="single" w:color="auto" w:sz="8" w:space="0"/>
                  </w:tcBorders>
                  <w:vAlign w:val="center"/>
                </w:tcPr>
                <w:p>
                  <w:pPr>
                    <w:adjustRightInd w:val="0"/>
                    <w:snapToGrid w:val="0"/>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规格/型号</w:t>
                  </w:r>
                </w:p>
              </w:tc>
              <w:tc>
                <w:tcPr>
                  <w:tcW w:w="1276" w:type="dxa"/>
                  <w:tcBorders>
                    <w:top w:val="single" w:color="auto" w:sz="8" w:space="0"/>
                    <w:bottom w:val="single" w:color="auto" w:sz="8" w:space="0"/>
                  </w:tcBorders>
                  <w:vAlign w:val="center"/>
                </w:tcPr>
                <w:p>
                  <w:pPr>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数量</w:t>
                  </w:r>
                </w:p>
              </w:tc>
              <w:tc>
                <w:tcPr>
                  <w:tcW w:w="3827" w:type="dxa"/>
                  <w:tcBorders>
                    <w:top w:val="single" w:color="auto" w:sz="8" w:space="0"/>
                    <w:bottom w:val="single" w:color="auto" w:sz="8" w:space="0"/>
                  </w:tcBorders>
                  <w:vAlign w:val="center"/>
                </w:tcPr>
                <w:p>
                  <w:pPr>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备注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tcBorders>
                    <w:top w:val="single" w:color="auto" w:sz="8" w:space="0"/>
                    <w:bottom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1</w:t>
                  </w:r>
                </w:p>
              </w:tc>
              <w:tc>
                <w:tcPr>
                  <w:tcW w:w="1559" w:type="dxa"/>
                  <w:tcBorders>
                    <w:top w:val="single" w:color="auto" w:sz="8" w:space="0"/>
                    <w:bottom w:val="single" w:color="auto" w:sz="4" w:space="0"/>
                  </w:tcBorders>
                  <w:vAlign w:val="center"/>
                </w:tcPr>
                <w:p>
                  <w:pPr>
                    <w:jc w:val="center"/>
                    <w:rPr>
                      <w:rFonts w:ascii="Times New Roman" w:hAnsi="Times New Roman" w:eastAsia="宋体"/>
                      <w:color w:val="000000" w:themeColor="text1"/>
                      <w:szCs w:val="21"/>
                    </w:rPr>
                  </w:pPr>
                  <w:r>
                    <w:rPr>
                      <w:rFonts w:hint="eastAsia" w:ascii="Times New Roman" w:hAnsi="宋体" w:eastAsia="宋体"/>
                      <w:bCs/>
                      <w:color w:val="000000" w:themeColor="text1"/>
                      <w:szCs w:val="21"/>
                    </w:rPr>
                    <w:t>高周波塑熔机</w:t>
                  </w:r>
                </w:p>
              </w:tc>
              <w:tc>
                <w:tcPr>
                  <w:tcW w:w="1701" w:type="dxa"/>
                  <w:tcBorders>
                    <w:top w:val="single" w:color="auto" w:sz="8" w:space="0"/>
                    <w:bottom w:val="single" w:color="auto" w:sz="4" w:space="0"/>
                  </w:tcBorders>
                  <w:vAlign w:val="center"/>
                </w:tcPr>
                <w:p>
                  <w:pPr>
                    <w:jc w:val="center"/>
                    <w:rPr>
                      <w:rFonts w:ascii="Times New Roman" w:hAnsi="Times New Roman" w:eastAsia="宋体"/>
                      <w:color w:val="000000" w:themeColor="text1"/>
                      <w:szCs w:val="21"/>
                    </w:rPr>
                  </w:pPr>
                  <w:r>
                    <w:rPr>
                      <w:rFonts w:hint="eastAsia" w:ascii="Times New Roman" w:hAnsi="Times New Roman" w:eastAsia="宋体"/>
                      <w:bCs/>
                      <w:color w:val="000000" w:themeColor="text1"/>
                      <w:szCs w:val="21"/>
                    </w:rPr>
                    <w:t>JD-12KW/ML</w:t>
                  </w:r>
                </w:p>
              </w:tc>
              <w:tc>
                <w:tcPr>
                  <w:tcW w:w="1276" w:type="dxa"/>
                  <w:tcBorders>
                    <w:top w:val="single" w:color="auto" w:sz="8" w:space="0"/>
                    <w:bottom w:val="single" w:color="auto" w:sz="4" w:space="0"/>
                  </w:tcBorders>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6台</w:t>
                  </w:r>
                </w:p>
              </w:tc>
              <w:tc>
                <w:tcPr>
                  <w:tcW w:w="3827" w:type="dxa"/>
                  <w:tcBorders>
                    <w:top w:val="single" w:color="auto" w:sz="8" w:space="0"/>
                    <w:bottom w:val="single" w:color="auto" w:sz="4" w:space="0"/>
                  </w:tcBorders>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用于压合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tcBorders>
                    <w:top w:val="single" w:color="auto" w:sz="4" w:space="0"/>
                    <w:bottom w:val="single" w:color="auto" w:sz="8"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2</w:t>
                  </w:r>
                </w:p>
              </w:tc>
              <w:tc>
                <w:tcPr>
                  <w:tcW w:w="1559" w:type="dxa"/>
                  <w:tcBorders>
                    <w:top w:val="single" w:color="auto" w:sz="4" w:space="0"/>
                    <w:bottom w:val="single" w:color="auto" w:sz="8" w:space="0"/>
                  </w:tcBorders>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空压机</w:t>
                  </w:r>
                </w:p>
              </w:tc>
              <w:tc>
                <w:tcPr>
                  <w:tcW w:w="1701" w:type="dxa"/>
                  <w:tcBorders>
                    <w:top w:val="single" w:color="auto" w:sz="4" w:space="0"/>
                    <w:bottom w:val="single" w:color="auto" w:sz="8" w:space="0"/>
                  </w:tcBorders>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TY-30PM</w:t>
                  </w:r>
                </w:p>
              </w:tc>
              <w:tc>
                <w:tcPr>
                  <w:tcW w:w="1276" w:type="dxa"/>
                  <w:tcBorders>
                    <w:top w:val="single" w:color="auto" w:sz="4" w:space="0"/>
                    <w:bottom w:val="single" w:color="auto" w:sz="8" w:space="0"/>
                  </w:tcBorders>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1台</w:t>
                  </w:r>
                </w:p>
              </w:tc>
              <w:tc>
                <w:tcPr>
                  <w:tcW w:w="3827" w:type="dxa"/>
                  <w:tcBorders>
                    <w:top w:val="single" w:color="auto" w:sz="4" w:space="0"/>
                    <w:bottom w:val="single" w:color="auto" w:sz="8" w:space="0"/>
                  </w:tcBorders>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w:t>
                  </w:r>
                </w:p>
              </w:tc>
            </w:tr>
          </w:tbl>
          <w:p>
            <w:pPr>
              <w:pStyle w:val="5"/>
              <w:spacing w:line="440" w:lineRule="exact"/>
              <w:ind w:firstLine="482" w:firstLineChars="200"/>
              <w:rPr>
                <w:rFonts w:ascii="Times New Roman" w:hAnsi="Times New Roman"/>
                <w:b/>
                <w:color w:val="000000" w:themeColor="text1"/>
                <w:szCs w:val="24"/>
              </w:rPr>
            </w:pPr>
            <w:r>
              <w:rPr>
                <w:rFonts w:ascii="Times New Roman" w:hAnsi="Times New Roman"/>
                <w:b/>
                <w:color w:val="000000" w:themeColor="text1"/>
              </w:rPr>
              <w:t>6、</w:t>
            </w:r>
            <w:r>
              <w:rPr>
                <w:rFonts w:ascii="Times New Roman" w:hAnsi="Times New Roman"/>
                <w:b/>
                <w:color w:val="000000" w:themeColor="text1"/>
                <w:szCs w:val="24"/>
              </w:rPr>
              <w:t>政策相符性分析</w:t>
            </w:r>
          </w:p>
          <w:p>
            <w:pPr>
              <w:pStyle w:val="131"/>
              <w:snapToGrid w:val="0"/>
              <w:spacing w:line="440" w:lineRule="exact"/>
              <w:ind w:firstLine="480" w:firstLineChars="200"/>
              <w:jc w:val="both"/>
              <w:rPr>
                <w:rFonts w:ascii="Times New Roman" w:hAnsi="Times New Roman" w:eastAsia="宋体" w:cs="Times New Roman"/>
                <w:color w:val="000000" w:themeColor="text1"/>
              </w:rPr>
            </w:pPr>
            <w:r>
              <w:rPr>
                <w:rFonts w:ascii="Times New Roman" w:hAnsi="Times New Roman" w:eastAsia="宋体" w:cs="Times New Roman"/>
                <w:color w:val="000000" w:themeColor="text1"/>
              </w:rPr>
              <w:t>本项目为</w:t>
            </w:r>
            <w:r>
              <w:rPr>
                <w:rFonts w:hint="eastAsia" w:ascii="Times New Roman" w:hAnsi="Times New Roman" w:eastAsia="宋体"/>
                <w:bCs/>
                <w:color w:val="000000" w:themeColor="text1"/>
              </w:rPr>
              <w:t>新乡市顺风船科技有限公司年产1200吨塑料磁吸门帘</w:t>
            </w:r>
            <w:r>
              <w:rPr>
                <w:rFonts w:ascii="Times New Roman" w:hAnsi="Times New Roman" w:eastAsia="宋体"/>
                <w:bCs/>
                <w:color w:val="000000" w:themeColor="text1"/>
              </w:rPr>
              <w:t>项目</w:t>
            </w:r>
            <w:r>
              <w:rPr>
                <w:rFonts w:ascii="Times New Roman" w:hAnsi="Times New Roman" w:eastAsia="宋体" w:cs="Times New Roman"/>
                <w:color w:val="000000" w:themeColor="text1"/>
              </w:rPr>
              <w:t>，对比《产业结构调整指导目录》（发改委令（2019）第29号），本项目的产业政策相符性分析见下表6。</w:t>
            </w:r>
          </w:p>
          <w:p>
            <w:pPr>
              <w:adjustRightInd w:val="0"/>
              <w:snapToGrid w:val="0"/>
              <w:spacing w:line="440" w:lineRule="exact"/>
              <w:jc w:val="center"/>
              <w:rPr>
                <w:rFonts w:ascii="Times New Roman" w:hAnsi="Times New Roman" w:eastAsia="宋体"/>
                <w:b/>
                <w:color w:val="000000" w:themeColor="text1"/>
                <w:sz w:val="24"/>
              </w:rPr>
            </w:pPr>
            <w:r>
              <w:rPr>
                <w:rFonts w:ascii="Times New Roman" w:hAnsi="Times New Roman" w:eastAsia="宋体"/>
                <w:b/>
                <w:color w:val="000000" w:themeColor="text1"/>
                <w:sz w:val="24"/>
              </w:rPr>
              <w:t>表6    产业政策相符性分析</w:t>
            </w:r>
          </w:p>
          <w:tbl>
            <w:tblPr>
              <w:tblStyle w:val="24"/>
              <w:tblW w:w="9072"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2128"/>
              <w:gridCol w:w="2834"/>
              <w:gridCol w:w="1702"/>
              <w:gridCol w:w="170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3" w:type="pct"/>
                  <w:gridSpan w:val="2"/>
                  <w:tcBorders>
                    <w:top w:val="single" w:color="auto" w:sz="8" w:space="0"/>
                    <w:bottom w:val="single" w:color="auto" w:sz="8" w:space="0"/>
                  </w:tcBorders>
                  <w:vAlign w:val="center"/>
                </w:tcPr>
                <w:p>
                  <w:pPr>
                    <w:pStyle w:val="5"/>
                    <w:jc w:val="center"/>
                    <w:rPr>
                      <w:rFonts w:ascii="Times New Roman" w:hAnsi="Times New Roman"/>
                      <w:b/>
                      <w:bCs/>
                      <w:color w:val="000000" w:themeColor="text1"/>
                      <w:sz w:val="21"/>
                      <w:szCs w:val="21"/>
                    </w:rPr>
                  </w:pPr>
                  <w:r>
                    <w:rPr>
                      <w:rFonts w:ascii="Times New Roman" w:hAnsi="Times New Roman"/>
                      <w:b/>
                      <w:bCs/>
                      <w:color w:val="000000" w:themeColor="text1"/>
                      <w:sz w:val="21"/>
                      <w:szCs w:val="21"/>
                    </w:rPr>
                    <w:t>类别</w:t>
                  </w:r>
                </w:p>
              </w:tc>
              <w:tc>
                <w:tcPr>
                  <w:tcW w:w="1562" w:type="pct"/>
                  <w:tcBorders>
                    <w:top w:val="single" w:color="auto" w:sz="8" w:space="0"/>
                    <w:bottom w:val="single" w:color="auto" w:sz="8" w:space="0"/>
                  </w:tcBorders>
                  <w:vAlign w:val="center"/>
                </w:tcPr>
                <w:p>
                  <w:pPr>
                    <w:pStyle w:val="5"/>
                    <w:jc w:val="center"/>
                    <w:rPr>
                      <w:rFonts w:ascii="Times New Roman" w:hAnsi="Times New Roman"/>
                      <w:b/>
                      <w:bCs/>
                      <w:color w:val="000000" w:themeColor="text1"/>
                      <w:sz w:val="21"/>
                      <w:szCs w:val="21"/>
                    </w:rPr>
                  </w:pPr>
                  <w:r>
                    <w:rPr>
                      <w:rFonts w:ascii="Times New Roman" w:hAnsi="Times New Roman"/>
                      <w:b/>
                      <w:bCs/>
                      <w:color w:val="000000" w:themeColor="text1"/>
                      <w:sz w:val="21"/>
                      <w:szCs w:val="21"/>
                    </w:rPr>
                    <w:t>内容</w:t>
                  </w:r>
                </w:p>
              </w:tc>
              <w:tc>
                <w:tcPr>
                  <w:tcW w:w="938" w:type="pct"/>
                  <w:tcBorders>
                    <w:top w:val="single" w:color="auto" w:sz="8" w:space="0"/>
                    <w:bottom w:val="single" w:color="auto" w:sz="8" w:space="0"/>
                  </w:tcBorders>
                  <w:vAlign w:val="center"/>
                </w:tcPr>
                <w:p>
                  <w:pPr>
                    <w:pStyle w:val="5"/>
                    <w:jc w:val="center"/>
                    <w:rPr>
                      <w:rFonts w:ascii="Times New Roman" w:hAnsi="Times New Roman"/>
                      <w:b/>
                      <w:bCs/>
                      <w:color w:val="000000" w:themeColor="text1"/>
                      <w:sz w:val="21"/>
                      <w:szCs w:val="21"/>
                    </w:rPr>
                  </w:pPr>
                  <w:r>
                    <w:rPr>
                      <w:rFonts w:ascii="Times New Roman" w:hAnsi="Times New Roman"/>
                      <w:b/>
                      <w:bCs/>
                      <w:color w:val="000000" w:themeColor="text1"/>
                      <w:sz w:val="21"/>
                      <w:szCs w:val="21"/>
                    </w:rPr>
                    <w:t>本项目情况</w:t>
                  </w:r>
                </w:p>
              </w:tc>
              <w:tc>
                <w:tcPr>
                  <w:tcW w:w="938" w:type="pct"/>
                  <w:tcBorders>
                    <w:top w:val="single" w:color="auto" w:sz="8" w:space="0"/>
                    <w:bottom w:val="single" w:color="auto" w:sz="8" w:space="0"/>
                  </w:tcBorders>
                  <w:vAlign w:val="center"/>
                </w:tcPr>
                <w:p>
                  <w:pPr>
                    <w:pStyle w:val="5"/>
                    <w:jc w:val="center"/>
                    <w:rPr>
                      <w:rFonts w:ascii="Times New Roman" w:hAnsi="Times New Roman"/>
                      <w:b/>
                      <w:bCs/>
                      <w:color w:val="000000" w:themeColor="text1"/>
                      <w:sz w:val="21"/>
                      <w:szCs w:val="21"/>
                    </w:rPr>
                  </w:pPr>
                  <w:r>
                    <w:rPr>
                      <w:rFonts w:ascii="Times New Roman" w:hAnsi="Times New Roman"/>
                      <w:b/>
                      <w:bCs/>
                      <w:color w:val="000000" w:themeColor="text1"/>
                      <w:sz w:val="21"/>
                      <w:szCs w:val="21"/>
                    </w:rPr>
                    <w:t>相符性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3" w:type="pct"/>
                  <w:gridSpan w:val="2"/>
                  <w:tcBorders>
                    <w:top w:val="single" w:color="auto" w:sz="8" w:space="0"/>
                  </w:tcBorders>
                  <w:vAlign w:val="center"/>
                </w:tcPr>
                <w:p>
                  <w:pPr>
                    <w:pStyle w:val="5"/>
                    <w:jc w:val="center"/>
                    <w:rPr>
                      <w:rFonts w:ascii="Times New Roman" w:hAnsi="Times New Roman"/>
                      <w:color w:val="000000" w:themeColor="text1"/>
                      <w:sz w:val="21"/>
                      <w:szCs w:val="21"/>
                    </w:rPr>
                  </w:pPr>
                  <w:r>
                    <w:rPr>
                      <w:rFonts w:ascii="Times New Roman" w:hAnsi="Times New Roman"/>
                      <w:color w:val="000000" w:themeColor="text1"/>
                      <w:sz w:val="21"/>
                      <w:szCs w:val="21"/>
                    </w:rPr>
                    <w:t>鼓励类</w:t>
                  </w:r>
                </w:p>
              </w:tc>
              <w:tc>
                <w:tcPr>
                  <w:tcW w:w="1562" w:type="pct"/>
                  <w:tcBorders>
                    <w:top w:val="single" w:color="auto" w:sz="8" w:space="0"/>
                  </w:tcBorders>
                  <w:vAlign w:val="center"/>
                </w:tcPr>
                <w:p>
                  <w:pPr>
                    <w:pStyle w:val="5"/>
                    <w:jc w:val="center"/>
                    <w:rPr>
                      <w:rFonts w:ascii="Times New Roman" w:hAnsi="Times New Roman"/>
                      <w:color w:val="000000" w:themeColor="text1"/>
                      <w:sz w:val="21"/>
                      <w:szCs w:val="21"/>
                    </w:rPr>
                  </w:pPr>
                  <w:r>
                    <w:rPr>
                      <w:rFonts w:ascii="Times New Roman" w:hAnsi="Times New Roman"/>
                      <w:color w:val="000000" w:themeColor="text1"/>
                      <w:sz w:val="21"/>
                      <w:szCs w:val="21"/>
                    </w:rPr>
                    <w:t>查无相关内容</w:t>
                  </w:r>
                </w:p>
              </w:tc>
              <w:tc>
                <w:tcPr>
                  <w:tcW w:w="938" w:type="pct"/>
                  <w:tcBorders>
                    <w:top w:val="single" w:color="auto" w:sz="8" w:space="0"/>
                  </w:tcBorders>
                  <w:vAlign w:val="center"/>
                </w:tcPr>
                <w:p>
                  <w:pPr>
                    <w:pStyle w:val="5"/>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w:t>
                  </w:r>
                </w:p>
              </w:tc>
              <w:tc>
                <w:tcPr>
                  <w:tcW w:w="938" w:type="pct"/>
                  <w:tcBorders>
                    <w:top w:val="single" w:color="auto" w:sz="8" w:space="0"/>
                  </w:tcBorders>
                  <w:vAlign w:val="center"/>
                </w:tcPr>
                <w:p>
                  <w:pPr>
                    <w:pStyle w:val="5"/>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不</w:t>
                  </w:r>
                  <w:r>
                    <w:rPr>
                      <w:rFonts w:ascii="Times New Roman" w:hAnsi="Times New Roman"/>
                      <w:color w:val="000000" w:themeColor="text1"/>
                      <w:sz w:val="21"/>
                      <w:szCs w:val="21"/>
                    </w:rPr>
                    <w:t>属于鼓励类</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3" w:type="pct"/>
                  <w:gridSpan w:val="2"/>
                  <w:vAlign w:val="center"/>
                </w:tcPr>
                <w:p>
                  <w:pPr>
                    <w:pStyle w:val="5"/>
                    <w:jc w:val="center"/>
                    <w:rPr>
                      <w:rFonts w:ascii="Times New Roman" w:hAnsi="Times New Roman"/>
                      <w:color w:val="000000" w:themeColor="text1"/>
                      <w:sz w:val="21"/>
                      <w:szCs w:val="21"/>
                    </w:rPr>
                  </w:pPr>
                  <w:r>
                    <w:rPr>
                      <w:rFonts w:ascii="Times New Roman" w:hAnsi="Times New Roman"/>
                      <w:color w:val="000000" w:themeColor="text1"/>
                      <w:sz w:val="21"/>
                      <w:szCs w:val="21"/>
                    </w:rPr>
                    <w:t>限制类</w:t>
                  </w:r>
                </w:p>
              </w:tc>
              <w:tc>
                <w:tcPr>
                  <w:tcW w:w="1562" w:type="pct"/>
                  <w:vAlign w:val="center"/>
                </w:tcPr>
                <w:p>
                  <w:pPr>
                    <w:pStyle w:val="106"/>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查无相关内容</w:t>
                  </w:r>
                </w:p>
              </w:tc>
              <w:tc>
                <w:tcPr>
                  <w:tcW w:w="938" w:type="pct"/>
                  <w:vAlign w:val="center"/>
                </w:tcPr>
                <w:p>
                  <w:pPr>
                    <w:pStyle w:val="106"/>
                    <w:jc w:val="center"/>
                    <w:rPr>
                      <w:rFonts w:ascii="Times New Roman" w:hAnsi="Times New Roman" w:eastAsia="宋体"/>
                      <w:color w:val="000000" w:themeColor="text1"/>
                      <w:sz w:val="21"/>
                      <w:szCs w:val="21"/>
                    </w:rPr>
                  </w:pPr>
                  <w:r>
                    <w:rPr>
                      <w:rFonts w:ascii="Times New Roman" w:hAnsi="Times New Roman" w:eastAsia="宋体"/>
                      <w:color w:val="000000" w:themeColor="text1"/>
                      <w:w w:val="99"/>
                      <w:sz w:val="21"/>
                      <w:szCs w:val="21"/>
                    </w:rPr>
                    <w:t>/</w:t>
                  </w:r>
                </w:p>
              </w:tc>
              <w:tc>
                <w:tcPr>
                  <w:tcW w:w="938" w:type="pct"/>
                  <w:vAlign w:val="center"/>
                </w:tcPr>
                <w:p>
                  <w:pPr>
                    <w:pStyle w:val="106"/>
                    <w:jc w:val="center"/>
                    <w:rPr>
                      <w:rFonts w:ascii="Times New Roman" w:hAnsi="Times New Roman" w:eastAsia="宋体"/>
                      <w:color w:val="000000" w:themeColor="text1"/>
                      <w:kern w:val="2"/>
                      <w:sz w:val="21"/>
                      <w:szCs w:val="21"/>
                    </w:rPr>
                  </w:pPr>
                  <w:r>
                    <w:rPr>
                      <w:rFonts w:ascii="Times New Roman" w:hAnsi="Times New Roman" w:eastAsia="宋体"/>
                      <w:color w:val="000000" w:themeColor="text1"/>
                      <w:kern w:val="2"/>
                      <w:sz w:val="21"/>
                      <w:szCs w:val="21"/>
                    </w:rPr>
                    <w:t>不属于限制类</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vMerge w:val="restart"/>
                  <w:vAlign w:val="center"/>
                </w:tcPr>
                <w:p>
                  <w:pPr>
                    <w:pStyle w:val="5"/>
                    <w:jc w:val="center"/>
                    <w:rPr>
                      <w:rFonts w:ascii="Times New Roman" w:hAnsi="Times New Roman"/>
                      <w:color w:val="000000" w:themeColor="text1"/>
                      <w:sz w:val="21"/>
                      <w:szCs w:val="21"/>
                    </w:rPr>
                  </w:pPr>
                  <w:r>
                    <w:rPr>
                      <w:rFonts w:ascii="Times New Roman" w:hAnsi="Times New Roman"/>
                      <w:color w:val="000000" w:themeColor="text1"/>
                      <w:sz w:val="21"/>
                      <w:szCs w:val="21"/>
                    </w:rPr>
                    <w:t>淘汰类</w:t>
                  </w:r>
                </w:p>
              </w:tc>
              <w:tc>
                <w:tcPr>
                  <w:tcW w:w="1173" w:type="pct"/>
                  <w:vAlign w:val="center"/>
                </w:tcPr>
                <w:p>
                  <w:pPr>
                    <w:pStyle w:val="106"/>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落后生产工艺装备</w:t>
                  </w:r>
                </w:p>
              </w:tc>
              <w:tc>
                <w:tcPr>
                  <w:tcW w:w="1562" w:type="pct"/>
                  <w:vAlign w:val="center"/>
                </w:tcPr>
                <w:p>
                  <w:pPr>
                    <w:pStyle w:val="106"/>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查无相关内容</w:t>
                  </w:r>
                </w:p>
              </w:tc>
              <w:tc>
                <w:tcPr>
                  <w:tcW w:w="938" w:type="pct"/>
                  <w:vAlign w:val="center"/>
                </w:tcPr>
                <w:p>
                  <w:pPr>
                    <w:pStyle w:val="106"/>
                    <w:jc w:val="center"/>
                    <w:rPr>
                      <w:rFonts w:ascii="Times New Roman" w:hAnsi="Times New Roman" w:eastAsia="宋体"/>
                      <w:color w:val="000000" w:themeColor="text1"/>
                      <w:sz w:val="21"/>
                      <w:szCs w:val="21"/>
                    </w:rPr>
                  </w:pPr>
                  <w:r>
                    <w:rPr>
                      <w:rFonts w:ascii="Times New Roman" w:hAnsi="Times New Roman" w:eastAsia="宋体"/>
                      <w:color w:val="000000" w:themeColor="text1"/>
                      <w:w w:val="99"/>
                      <w:sz w:val="21"/>
                      <w:szCs w:val="21"/>
                    </w:rPr>
                    <w:t>/</w:t>
                  </w:r>
                </w:p>
              </w:tc>
              <w:tc>
                <w:tcPr>
                  <w:tcW w:w="938" w:type="pct"/>
                  <w:vMerge w:val="restart"/>
                  <w:vAlign w:val="center"/>
                </w:tcPr>
                <w:p>
                  <w:pPr>
                    <w:pStyle w:val="5"/>
                    <w:jc w:val="center"/>
                    <w:rPr>
                      <w:rFonts w:ascii="Times New Roman" w:hAnsi="Times New Roman"/>
                      <w:color w:val="000000" w:themeColor="text1"/>
                      <w:sz w:val="21"/>
                      <w:szCs w:val="21"/>
                    </w:rPr>
                  </w:pPr>
                  <w:r>
                    <w:rPr>
                      <w:rFonts w:ascii="Times New Roman" w:hAnsi="Times New Roman"/>
                      <w:color w:val="000000" w:themeColor="text1"/>
                      <w:sz w:val="21"/>
                      <w:szCs w:val="21"/>
                    </w:rPr>
                    <w:t>不属于淘汰类</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vMerge w:val="continue"/>
                  <w:tcBorders>
                    <w:bottom w:val="single" w:color="auto" w:sz="8" w:space="0"/>
                  </w:tcBorders>
                  <w:vAlign w:val="center"/>
                </w:tcPr>
                <w:p>
                  <w:pPr>
                    <w:pStyle w:val="5"/>
                    <w:jc w:val="center"/>
                    <w:rPr>
                      <w:rFonts w:ascii="Times New Roman" w:hAnsi="Times New Roman"/>
                      <w:color w:val="000000" w:themeColor="text1"/>
                      <w:sz w:val="21"/>
                      <w:szCs w:val="21"/>
                    </w:rPr>
                  </w:pPr>
                </w:p>
              </w:tc>
              <w:tc>
                <w:tcPr>
                  <w:tcW w:w="1173" w:type="pct"/>
                  <w:tcBorders>
                    <w:bottom w:val="single" w:color="auto" w:sz="8" w:space="0"/>
                  </w:tcBorders>
                  <w:vAlign w:val="center"/>
                </w:tcPr>
                <w:p>
                  <w:pPr>
                    <w:pStyle w:val="106"/>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落后产品</w:t>
                  </w:r>
                </w:p>
              </w:tc>
              <w:tc>
                <w:tcPr>
                  <w:tcW w:w="1562" w:type="pct"/>
                  <w:tcBorders>
                    <w:bottom w:val="single" w:color="auto" w:sz="8" w:space="0"/>
                  </w:tcBorders>
                  <w:vAlign w:val="center"/>
                </w:tcPr>
                <w:p>
                  <w:pPr>
                    <w:pStyle w:val="106"/>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（七）机械</w:t>
                  </w:r>
                </w:p>
                <w:p>
                  <w:pPr>
                    <w:pStyle w:val="106"/>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32、3W-0.9/7（环状阀）空气压缩机</w:t>
                  </w:r>
                </w:p>
              </w:tc>
              <w:tc>
                <w:tcPr>
                  <w:tcW w:w="938" w:type="pct"/>
                  <w:tcBorders>
                    <w:bottom w:val="single" w:color="auto" w:sz="8" w:space="0"/>
                  </w:tcBorders>
                  <w:vAlign w:val="center"/>
                </w:tcPr>
                <w:p>
                  <w:pPr>
                    <w:pStyle w:val="106"/>
                    <w:jc w:val="center"/>
                    <w:rPr>
                      <w:rFonts w:ascii="宋体" w:hAnsi="宋体" w:eastAsia="宋体"/>
                      <w:color w:val="000000" w:themeColor="text1"/>
                      <w:sz w:val="21"/>
                      <w:szCs w:val="21"/>
                    </w:rPr>
                  </w:pPr>
                  <w:r>
                    <w:rPr>
                      <w:rFonts w:ascii="宋体" w:hAnsi="宋体" w:eastAsia="宋体"/>
                      <w:color w:val="000000" w:themeColor="text1"/>
                      <w:w w:val="99"/>
                      <w:sz w:val="21"/>
                      <w:szCs w:val="21"/>
                    </w:rPr>
                    <w:t>不涉及</w:t>
                  </w:r>
                </w:p>
              </w:tc>
              <w:tc>
                <w:tcPr>
                  <w:tcW w:w="938" w:type="pct"/>
                  <w:vMerge w:val="continue"/>
                  <w:tcBorders>
                    <w:bottom w:val="single" w:color="auto" w:sz="8" w:space="0"/>
                  </w:tcBorders>
                  <w:vAlign w:val="center"/>
                </w:tcPr>
                <w:p>
                  <w:pPr>
                    <w:pStyle w:val="5"/>
                    <w:jc w:val="center"/>
                    <w:rPr>
                      <w:rFonts w:ascii="Times New Roman" w:hAnsi="Times New Roman"/>
                      <w:color w:val="000000" w:themeColor="text1"/>
                      <w:sz w:val="21"/>
                      <w:szCs w:val="21"/>
                    </w:rPr>
                  </w:pPr>
                </w:p>
              </w:tc>
            </w:tr>
          </w:tbl>
          <w:p>
            <w:pPr>
              <w:spacing w:line="440" w:lineRule="exact"/>
              <w:ind w:firstLine="480" w:firstLineChars="200"/>
              <w:rPr>
                <w:rFonts w:ascii="Times New Roman" w:hAnsi="Times New Roman" w:eastAsia="宋体"/>
                <w:bCs/>
                <w:color w:val="000000" w:themeColor="text1"/>
                <w:sz w:val="24"/>
              </w:rPr>
            </w:pPr>
            <w:r>
              <w:rPr>
                <w:rFonts w:ascii="Times New Roman" w:hAnsi="Times New Roman" w:eastAsia="宋体"/>
                <w:color w:val="000000" w:themeColor="text1"/>
                <w:sz w:val="24"/>
              </w:rPr>
              <w:t>经以上对比分析，</w:t>
            </w:r>
            <w:r>
              <w:rPr>
                <w:rFonts w:hint="eastAsia" w:ascii="Times New Roman" w:hAnsi="Times New Roman" w:eastAsia="宋体"/>
                <w:color w:val="000000" w:themeColor="text1"/>
                <w:sz w:val="24"/>
              </w:rPr>
              <w:t>本项目及项目生产工艺、设备、产品均不在限制类、淘汰类之列，属于允许类，符合国家产业政策</w:t>
            </w:r>
            <w:r>
              <w:rPr>
                <w:rFonts w:ascii="Times New Roman" w:hAnsi="Times New Roman" w:eastAsia="宋体"/>
                <w:color w:val="000000" w:themeColor="text1"/>
                <w:sz w:val="24"/>
              </w:rPr>
              <w:t>。本项目已在河南新乡经济技术集聚区管理委员会备案（见附件</w:t>
            </w:r>
            <w:r>
              <w:rPr>
                <w:rFonts w:hint="eastAsia" w:ascii="Times New Roman" w:hAnsi="Times New Roman" w:eastAsia="宋体"/>
                <w:color w:val="000000" w:themeColor="text1"/>
                <w:sz w:val="24"/>
              </w:rPr>
              <w:t>2</w:t>
            </w:r>
            <w:r>
              <w:rPr>
                <w:rFonts w:ascii="Times New Roman" w:hAnsi="Times New Roman" w:eastAsia="宋体"/>
                <w:color w:val="000000" w:themeColor="text1"/>
                <w:sz w:val="24"/>
              </w:rPr>
              <w:t>），</w:t>
            </w:r>
            <w:r>
              <w:rPr>
                <w:rFonts w:ascii="Times New Roman" w:hAnsi="Times New Roman" w:eastAsia="宋体"/>
                <w:bCs/>
                <w:color w:val="000000" w:themeColor="text1"/>
                <w:sz w:val="24"/>
              </w:rPr>
              <w:t>项目代码：</w:t>
            </w:r>
            <w:r>
              <w:rPr>
                <w:rFonts w:ascii="Times New Roman" w:hAnsi="Times New Roman" w:eastAsia="宋体"/>
                <w:color w:val="000000" w:themeColor="text1"/>
                <w:sz w:val="24"/>
              </w:rPr>
              <w:t>2020-4107</w:t>
            </w:r>
            <w:r>
              <w:rPr>
                <w:rFonts w:hint="eastAsia" w:ascii="Times New Roman" w:hAnsi="Times New Roman" w:eastAsia="宋体"/>
                <w:color w:val="000000" w:themeColor="text1"/>
                <w:sz w:val="24"/>
              </w:rPr>
              <w:t>21</w:t>
            </w:r>
            <w:r>
              <w:rPr>
                <w:rFonts w:ascii="Times New Roman" w:hAnsi="Times New Roman" w:eastAsia="宋体"/>
                <w:color w:val="000000" w:themeColor="text1"/>
                <w:sz w:val="24"/>
              </w:rPr>
              <w:t>-</w:t>
            </w:r>
            <w:r>
              <w:rPr>
                <w:rFonts w:hint="eastAsia" w:ascii="Times New Roman" w:hAnsi="Times New Roman" w:eastAsia="宋体"/>
                <w:color w:val="000000" w:themeColor="text1"/>
                <w:sz w:val="24"/>
              </w:rPr>
              <w:t>29</w:t>
            </w:r>
            <w:r>
              <w:rPr>
                <w:rFonts w:ascii="Times New Roman" w:hAnsi="Times New Roman" w:eastAsia="宋体"/>
                <w:color w:val="000000" w:themeColor="text1"/>
                <w:sz w:val="24"/>
              </w:rPr>
              <w:t>-03-0</w:t>
            </w:r>
            <w:r>
              <w:rPr>
                <w:rFonts w:hint="eastAsia" w:ascii="Times New Roman" w:hAnsi="Times New Roman" w:eastAsia="宋体"/>
                <w:color w:val="000000" w:themeColor="text1"/>
                <w:sz w:val="24"/>
              </w:rPr>
              <w:t>64043</w:t>
            </w:r>
            <w:r>
              <w:rPr>
                <w:rFonts w:ascii="Times New Roman" w:hAnsi="Times New Roman" w:eastAsia="宋体"/>
                <w:color w:val="000000" w:themeColor="text1"/>
                <w:sz w:val="24"/>
              </w:rPr>
              <w:t>。</w:t>
            </w:r>
          </w:p>
          <w:p>
            <w:pPr>
              <w:pStyle w:val="5"/>
              <w:spacing w:line="440" w:lineRule="exact"/>
              <w:ind w:firstLine="482" w:firstLineChars="200"/>
              <w:rPr>
                <w:rFonts w:ascii="Times New Roman" w:hAnsi="Times New Roman"/>
                <w:b/>
                <w:color w:val="000000" w:themeColor="text1"/>
                <w:szCs w:val="24"/>
              </w:rPr>
            </w:pPr>
            <w:r>
              <w:rPr>
                <w:rFonts w:ascii="Times New Roman" w:hAnsi="Times New Roman"/>
                <w:b/>
                <w:color w:val="000000" w:themeColor="text1"/>
                <w:szCs w:val="24"/>
              </w:rPr>
              <w:t>7、项目建设内容与备案相符性分析</w:t>
            </w:r>
          </w:p>
          <w:p>
            <w:pPr>
              <w:spacing w:line="440" w:lineRule="exact"/>
              <w:ind w:firstLine="480" w:firstLineChars="200"/>
              <w:rPr>
                <w:rFonts w:ascii="Times New Roman" w:hAnsi="Times New Roman" w:eastAsia="宋体"/>
                <w:color w:val="000000" w:themeColor="text1"/>
                <w:sz w:val="24"/>
              </w:rPr>
            </w:pPr>
            <w:r>
              <w:rPr>
                <w:rFonts w:ascii="Times New Roman" w:hAnsi="Times New Roman" w:eastAsia="宋体"/>
                <w:color w:val="000000" w:themeColor="text1"/>
                <w:sz w:val="24"/>
              </w:rPr>
              <w:t>项目建设与备案相符性分析见下表</w:t>
            </w:r>
            <w:r>
              <w:rPr>
                <w:rFonts w:ascii="Times New Roman" w:hAnsi="Times New Roman" w:eastAsia="宋体"/>
                <w:bCs/>
                <w:color w:val="000000" w:themeColor="text1"/>
                <w:sz w:val="24"/>
              </w:rPr>
              <w:t>7</w:t>
            </w:r>
            <w:r>
              <w:rPr>
                <w:rFonts w:ascii="Times New Roman" w:hAnsi="Times New Roman" w:eastAsia="宋体"/>
                <w:color w:val="000000" w:themeColor="text1"/>
                <w:sz w:val="24"/>
              </w:rPr>
              <w:t>。</w:t>
            </w:r>
          </w:p>
          <w:p>
            <w:pPr>
              <w:pStyle w:val="117"/>
              <w:adjustRightInd w:val="0"/>
              <w:snapToGrid w:val="0"/>
              <w:spacing w:line="440" w:lineRule="exact"/>
              <w:ind w:firstLine="0" w:firstLineChars="0"/>
              <w:jc w:val="center"/>
              <w:rPr>
                <w:rFonts w:ascii="Times New Roman" w:hAnsi="Times New Roman" w:eastAsia="宋体"/>
                <w:b/>
                <w:color w:val="000000" w:themeColor="text1"/>
                <w:sz w:val="24"/>
              </w:rPr>
            </w:pPr>
            <w:r>
              <w:rPr>
                <w:rFonts w:ascii="Times New Roman" w:hAnsi="Times New Roman" w:eastAsia="宋体"/>
                <w:b/>
                <w:color w:val="000000" w:themeColor="text1"/>
                <w:sz w:val="24"/>
              </w:rPr>
              <w:t>表7    备案相符性分析</w:t>
            </w:r>
          </w:p>
          <w:tbl>
            <w:tblPr>
              <w:tblStyle w:val="24"/>
              <w:tblW w:w="9072"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1070"/>
              <w:gridCol w:w="3163"/>
              <w:gridCol w:w="3212"/>
              <w:gridCol w:w="95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3" w:type="dxa"/>
                  <w:tcBorders>
                    <w:top w:val="single" w:color="auto" w:sz="8" w:space="0"/>
                    <w:bottom w:val="single" w:color="auto" w:sz="8" w:space="0"/>
                  </w:tcBorders>
                  <w:vAlign w:val="center"/>
                </w:tcPr>
                <w:p>
                  <w:pPr>
                    <w:adjustRightInd w:val="0"/>
                    <w:snapToGrid w:val="0"/>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序号</w:t>
                  </w:r>
                </w:p>
              </w:tc>
              <w:tc>
                <w:tcPr>
                  <w:tcW w:w="1070" w:type="dxa"/>
                  <w:tcBorders>
                    <w:top w:val="single" w:color="auto" w:sz="8" w:space="0"/>
                    <w:bottom w:val="single" w:color="auto" w:sz="8" w:space="0"/>
                  </w:tcBorders>
                  <w:vAlign w:val="center"/>
                </w:tcPr>
                <w:p>
                  <w:pPr>
                    <w:adjustRightInd w:val="0"/>
                    <w:snapToGrid w:val="0"/>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内容</w:t>
                  </w:r>
                </w:p>
              </w:tc>
              <w:tc>
                <w:tcPr>
                  <w:tcW w:w="3163" w:type="dxa"/>
                  <w:tcBorders>
                    <w:top w:val="single" w:color="auto" w:sz="8" w:space="0"/>
                    <w:bottom w:val="single" w:color="auto" w:sz="8" w:space="0"/>
                  </w:tcBorders>
                  <w:vAlign w:val="center"/>
                </w:tcPr>
                <w:p>
                  <w:pPr>
                    <w:adjustRightInd w:val="0"/>
                    <w:snapToGrid w:val="0"/>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备案</w:t>
                  </w:r>
                </w:p>
              </w:tc>
              <w:tc>
                <w:tcPr>
                  <w:tcW w:w="3212" w:type="dxa"/>
                  <w:tcBorders>
                    <w:top w:val="single" w:color="auto" w:sz="8" w:space="0"/>
                    <w:bottom w:val="single" w:color="auto" w:sz="8" w:space="0"/>
                  </w:tcBorders>
                  <w:vAlign w:val="center"/>
                </w:tcPr>
                <w:p>
                  <w:pPr>
                    <w:adjustRightInd w:val="0"/>
                    <w:snapToGrid w:val="0"/>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拟建设情况</w:t>
                  </w:r>
                </w:p>
              </w:tc>
              <w:tc>
                <w:tcPr>
                  <w:tcW w:w="954" w:type="dxa"/>
                  <w:tcBorders>
                    <w:top w:val="single" w:color="auto" w:sz="8" w:space="0"/>
                    <w:bottom w:val="single" w:color="auto" w:sz="8" w:space="0"/>
                  </w:tcBorders>
                  <w:vAlign w:val="center"/>
                </w:tcPr>
                <w:p>
                  <w:pPr>
                    <w:adjustRightInd w:val="0"/>
                    <w:snapToGrid w:val="0"/>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相符性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3" w:type="dxa"/>
                  <w:tcBorders>
                    <w:top w:val="single" w:color="auto" w:sz="8" w:space="0"/>
                  </w:tcBorders>
                  <w:vAlign w:val="center"/>
                </w:tcPr>
                <w:p>
                  <w:pPr>
                    <w:adjustRightInd w:val="0"/>
                    <w:snapToGrid w:val="0"/>
                    <w:jc w:val="center"/>
                    <w:rPr>
                      <w:rFonts w:ascii="Times New Roman" w:hAnsi="Times New Roman" w:eastAsia="宋体"/>
                      <w:color w:val="000000" w:themeColor="text1"/>
                      <w:kern w:val="0"/>
                      <w:szCs w:val="21"/>
                    </w:rPr>
                  </w:pPr>
                  <w:r>
                    <w:rPr>
                      <w:rFonts w:ascii="Times New Roman" w:hAnsi="Times New Roman" w:eastAsia="宋体"/>
                      <w:color w:val="000000" w:themeColor="text1"/>
                      <w:kern w:val="0"/>
                      <w:szCs w:val="21"/>
                    </w:rPr>
                    <w:t>1</w:t>
                  </w:r>
                </w:p>
              </w:tc>
              <w:tc>
                <w:tcPr>
                  <w:tcW w:w="1070" w:type="dxa"/>
                  <w:tcBorders>
                    <w:top w:val="single" w:color="auto" w:sz="8" w:space="0"/>
                  </w:tcBorders>
                  <w:vAlign w:val="center"/>
                </w:tcPr>
                <w:p>
                  <w:pPr>
                    <w:adjustRightInd w:val="0"/>
                    <w:snapToGrid w:val="0"/>
                    <w:jc w:val="center"/>
                    <w:rPr>
                      <w:rFonts w:ascii="Times New Roman" w:hAnsi="Times New Roman" w:eastAsia="宋体"/>
                      <w:color w:val="000000" w:themeColor="text1"/>
                      <w:kern w:val="0"/>
                      <w:szCs w:val="21"/>
                    </w:rPr>
                  </w:pPr>
                  <w:r>
                    <w:rPr>
                      <w:rFonts w:ascii="Times New Roman" w:hAnsi="Times New Roman" w:eastAsia="宋体"/>
                      <w:color w:val="000000" w:themeColor="text1"/>
                      <w:kern w:val="0"/>
                      <w:szCs w:val="21"/>
                    </w:rPr>
                    <w:t>建设地点</w:t>
                  </w:r>
                </w:p>
              </w:tc>
              <w:tc>
                <w:tcPr>
                  <w:tcW w:w="3163" w:type="dxa"/>
                  <w:tcBorders>
                    <w:top w:val="single" w:color="auto" w:sz="8"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bCs/>
                      <w:color w:val="000000" w:themeColor="text1"/>
                      <w:szCs w:val="21"/>
                    </w:rPr>
                    <w:t>新乡市新乡县七里营镇</w:t>
                  </w:r>
                  <w:r>
                    <w:rPr>
                      <w:rFonts w:hint="eastAsia" w:ascii="Times New Roman" w:hAnsi="Times New Roman" w:eastAsia="宋体"/>
                      <w:bCs/>
                      <w:color w:val="000000" w:themeColor="text1"/>
                      <w:szCs w:val="21"/>
                    </w:rPr>
                    <w:t>107国道与胡韦线交叉口中原兴业产业园</w:t>
                  </w:r>
                </w:p>
              </w:tc>
              <w:tc>
                <w:tcPr>
                  <w:tcW w:w="3212" w:type="dxa"/>
                  <w:tcBorders>
                    <w:top w:val="single" w:color="auto" w:sz="8"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bCs/>
                      <w:color w:val="000000" w:themeColor="text1"/>
                      <w:szCs w:val="21"/>
                    </w:rPr>
                    <w:t>新乡市新乡县七里营镇</w:t>
                  </w:r>
                  <w:r>
                    <w:rPr>
                      <w:rFonts w:hint="eastAsia" w:ascii="Times New Roman" w:hAnsi="Times New Roman" w:eastAsia="宋体"/>
                      <w:bCs/>
                      <w:color w:val="000000" w:themeColor="text1"/>
                      <w:szCs w:val="21"/>
                    </w:rPr>
                    <w:t>107国道与胡韦线交叉口中原兴业产业园</w:t>
                  </w:r>
                </w:p>
              </w:tc>
              <w:tc>
                <w:tcPr>
                  <w:tcW w:w="954" w:type="dxa"/>
                  <w:tcBorders>
                    <w:top w:val="single" w:color="auto" w:sz="8"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一致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3" w:type="dxa"/>
                  <w:vAlign w:val="center"/>
                </w:tcPr>
                <w:p>
                  <w:pPr>
                    <w:adjustRightInd w:val="0"/>
                    <w:snapToGrid w:val="0"/>
                    <w:jc w:val="center"/>
                    <w:rPr>
                      <w:rFonts w:ascii="Times New Roman" w:hAnsi="Times New Roman" w:eastAsia="宋体"/>
                      <w:color w:val="000000" w:themeColor="text1"/>
                      <w:kern w:val="0"/>
                      <w:szCs w:val="21"/>
                    </w:rPr>
                  </w:pPr>
                  <w:r>
                    <w:rPr>
                      <w:rFonts w:ascii="Times New Roman" w:hAnsi="Times New Roman" w:eastAsia="宋体"/>
                      <w:color w:val="000000" w:themeColor="text1"/>
                      <w:kern w:val="0"/>
                      <w:szCs w:val="21"/>
                    </w:rPr>
                    <w:t>2</w:t>
                  </w:r>
                </w:p>
              </w:tc>
              <w:tc>
                <w:tcPr>
                  <w:tcW w:w="1070" w:type="dxa"/>
                  <w:vAlign w:val="center"/>
                </w:tcPr>
                <w:p>
                  <w:pPr>
                    <w:adjustRightInd w:val="0"/>
                    <w:snapToGrid w:val="0"/>
                    <w:jc w:val="center"/>
                    <w:rPr>
                      <w:rFonts w:ascii="Times New Roman" w:hAnsi="Times New Roman" w:eastAsia="宋体"/>
                      <w:color w:val="000000" w:themeColor="text1"/>
                      <w:kern w:val="0"/>
                      <w:szCs w:val="21"/>
                    </w:rPr>
                  </w:pPr>
                  <w:r>
                    <w:rPr>
                      <w:rFonts w:ascii="Times New Roman" w:hAnsi="Times New Roman" w:eastAsia="宋体"/>
                      <w:color w:val="000000" w:themeColor="text1"/>
                      <w:kern w:val="0"/>
                      <w:szCs w:val="21"/>
                    </w:rPr>
                    <w:t>投资</w:t>
                  </w:r>
                </w:p>
              </w:tc>
              <w:tc>
                <w:tcPr>
                  <w:tcW w:w="3163" w:type="dxa"/>
                  <w:vAlign w:val="center"/>
                </w:tcPr>
                <w:p>
                  <w:pPr>
                    <w:adjustRightInd w:val="0"/>
                    <w:snapToGrid w:val="0"/>
                    <w:jc w:val="center"/>
                    <w:rPr>
                      <w:rFonts w:ascii="Times New Roman" w:hAnsi="Times New Roman" w:eastAsia="宋体"/>
                      <w:color w:val="000000" w:themeColor="text1"/>
                      <w:kern w:val="0"/>
                      <w:szCs w:val="21"/>
                    </w:rPr>
                  </w:pPr>
                  <w:r>
                    <w:rPr>
                      <w:rFonts w:hint="eastAsia" w:ascii="Times New Roman" w:hAnsi="Times New Roman" w:eastAsia="宋体"/>
                      <w:color w:val="000000" w:themeColor="text1"/>
                      <w:kern w:val="0"/>
                      <w:szCs w:val="21"/>
                    </w:rPr>
                    <w:t>5</w:t>
                  </w:r>
                  <w:r>
                    <w:rPr>
                      <w:rFonts w:ascii="Times New Roman" w:hAnsi="Times New Roman" w:eastAsia="宋体"/>
                      <w:color w:val="000000" w:themeColor="text1"/>
                      <w:kern w:val="0"/>
                      <w:szCs w:val="21"/>
                    </w:rPr>
                    <w:t>0万元</w:t>
                  </w:r>
                </w:p>
              </w:tc>
              <w:tc>
                <w:tcPr>
                  <w:tcW w:w="3212" w:type="dxa"/>
                  <w:vAlign w:val="center"/>
                </w:tcPr>
                <w:p>
                  <w:pPr>
                    <w:adjustRightInd w:val="0"/>
                    <w:snapToGrid w:val="0"/>
                    <w:jc w:val="center"/>
                    <w:rPr>
                      <w:rFonts w:ascii="Times New Roman" w:hAnsi="Times New Roman" w:eastAsia="宋体"/>
                      <w:color w:val="000000" w:themeColor="text1"/>
                      <w:kern w:val="0"/>
                      <w:szCs w:val="21"/>
                    </w:rPr>
                  </w:pPr>
                  <w:r>
                    <w:rPr>
                      <w:rFonts w:hint="eastAsia" w:ascii="Times New Roman" w:hAnsi="Times New Roman" w:eastAsia="宋体"/>
                      <w:color w:val="000000" w:themeColor="text1"/>
                      <w:kern w:val="0"/>
                      <w:szCs w:val="21"/>
                    </w:rPr>
                    <w:t>5</w:t>
                  </w:r>
                  <w:r>
                    <w:rPr>
                      <w:rFonts w:ascii="Times New Roman" w:hAnsi="Times New Roman" w:eastAsia="宋体"/>
                      <w:color w:val="000000" w:themeColor="text1"/>
                      <w:kern w:val="0"/>
                      <w:szCs w:val="21"/>
                    </w:rPr>
                    <w:t>0万元</w:t>
                  </w:r>
                </w:p>
              </w:tc>
              <w:tc>
                <w:tcPr>
                  <w:tcW w:w="954" w:type="dxa"/>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一致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3" w:type="dxa"/>
                  <w:vAlign w:val="center"/>
                </w:tcPr>
                <w:p>
                  <w:pPr>
                    <w:adjustRightInd w:val="0"/>
                    <w:snapToGrid w:val="0"/>
                    <w:jc w:val="center"/>
                    <w:rPr>
                      <w:rFonts w:ascii="Times New Roman" w:hAnsi="Times New Roman" w:eastAsia="宋体"/>
                      <w:color w:val="000000" w:themeColor="text1"/>
                      <w:kern w:val="0"/>
                      <w:szCs w:val="21"/>
                    </w:rPr>
                  </w:pPr>
                  <w:r>
                    <w:rPr>
                      <w:rFonts w:ascii="Times New Roman" w:hAnsi="Times New Roman" w:eastAsia="宋体"/>
                      <w:color w:val="000000" w:themeColor="text1"/>
                      <w:kern w:val="0"/>
                      <w:szCs w:val="21"/>
                    </w:rPr>
                    <w:t>3</w:t>
                  </w:r>
                </w:p>
              </w:tc>
              <w:tc>
                <w:tcPr>
                  <w:tcW w:w="1070" w:type="dxa"/>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建设规模</w:t>
                  </w:r>
                </w:p>
              </w:tc>
              <w:tc>
                <w:tcPr>
                  <w:tcW w:w="3163" w:type="dxa"/>
                  <w:vAlign w:val="center"/>
                </w:tcPr>
                <w:p>
                  <w:pPr>
                    <w:jc w:val="center"/>
                    <w:rPr>
                      <w:color w:val="000000" w:themeColor="text1"/>
                      <w:szCs w:val="21"/>
                    </w:rPr>
                  </w:pPr>
                  <w:r>
                    <w:rPr>
                      <w:rFonts w:hint="eastAsia" w:ascii="Times New Roman" w:hAnsi="Times New Roman" w:eastAsia="宋体"/>
                      <w:bCs/>
                      <w:color w:val="000000" w:themeColor="text1"/>
                      <w:szCs w:val="21"/>
                    </w:rPr>
                    <w:t>年产1200吨塑料磁吸门帘</w:t>
                  </w:r>
                </w:p>
              </w:tc>
              <w:tc>
                <w:tcPr>
                  <w:tcW w:w="3212" w:type="dxa"/>
                  <w:vAlign w:val="center"/>
                </w:tcPr>
                <w:p>
                  <w:pPr>
                    <w:jc w:val="center"/>
                    <w:rPr>
                      <w:color w:val="000000" w:themeColor="text1"/>
                      <w:szCs w:val="21"/>
                    </w:rPr>
                  </w:pPr>
                  <w:r>
                    <w:rPr>
                      <w:rFonts w:hint="eastAsia" w:ascii="Times New Roman" w:hAnsi="Times New Roman" w:eastAsia="宋体"/>
                      <w:bCs/>
                      <w:color w:val="000000" w:themeColor="text1"/>
                      <w:szCs w:val="21"/>
                    </w:rPr>
                    <w:t>年产1200吨塑料磁吸门帘</w:t>
                  </w:r>
                </w:p>
              </w:tc>
              <w:tc>
                <w:tcPr>
                  <w:tcW w:w="954" w:type="dxa"/>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一致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3" w:type="dxa"/>
                  <w:vAlign w:val="center"/>
                </w:tcPr>
                <w:p>
                  <w:pPr>
                    <w:pStyle w:val="8"/>
                    <w:jc w:val="center"/>
                    <w:rPr>
                      <w:rFonts w:ascii="Times New Roman" w:hAnsi="Times New Roman" w:eastAsia="宋体"/>
                      <w:color w:val="000000" w:themeColor="text1"/>
                      <w:kern w:val="0"/>
                      <w:szCs w:val="21"/>
                    </w:rPr>
                  </w:pPr>
                  <w:r>
                    <w:rPr>
                      <w:rFonts w:ascii="Times New Roman" w:hAnsi="Times New Roman" w:eastAsia="宋体"/>
                      <w:bCs/>
                      <w:color w:val="000000" w:themeColor="text1"/>
                      <w:szCs w:val="21"/>
                    </w:rPr>
                    <w:t>4</w:t>
                  </w:r>
                </w:p>
              </w:tc>
              <w:tc>
                <w:tcPr>
                  <w:tcW w:w="1070" w:type="dxa"/>
                  <w:vAlign w:val="center"/>
                </w:tcPr>
                <w:p>
                  <w:pPr>
                    <w:pStyle w:val="8"/>
                    <w:jc w:val="center"/>
                    <w:rPr>
                      <w:rFonts w:ascii="Times New Roman" w:hAnsi="Times New Roman" w:eastAsia="宋体"/>
                      <w:color w:val="000000" w:themeColor="text1"/>
                      <w:szCs w:val="21"/>
                    </w:rPr>
                  </w:pPr>
                  <w:r>
                    <w:rPr>
                      <w:rFonts w:ascii="Times New Roman" w:hAnsi="Times New Roman" w:eastAsia="宋体"/>
                      <w:bCs/>
                      <w:color w:val="000000" w:themeColor="text1"/>
                      <w:szCs w:val="21"/>
                    </w:rPr>
                    <w:t>建设内容</w:t>
                  </w:r>
                </w:p>
              </w:tc>
              <w:tc>
                <w:tcPr>
                  <w:tcW w:w="3163" w:type="dxa"/>
                  <w:vAlign w:val="center"/>
                </w:tcPr>
                <w:p>
                  <w:pPr>
                    <w:adjustRightInd w:val="0"/>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利用原有厂房</w:t>
                  </w:r>
                </w:p>
              </w:tc>
              <w:tc>
                <w:tcPr>
                  <w:tcW w:w="3212" w:type="dxa"/>
                  <w:vAlign w:val="center"/>
                </w:tcPr>
                <w:p>
                  <w:pPr>
                    <w:adjustRightInd w:val="0"/>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利用原有厂房</w:t>
                  </w:r>
                </w:p>
              </w:tc>
              <w:tc>
                <w:tcPr>
                  <w:tcW w:w="954" w:type="dxa"/>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一致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3" w:type="dxa"/>
                  <w:vAlign w:val="center"/>
                </w:tcPr>
                <w:p>
                  <w:pPr>
                    <w:pStyle w:val="8"/>
                    <w:jc w:val="center"/>
                    <w:rPr>
                      <w:rFonts w:ascii="Times New Roman" w:hAnsi="Times New Roman" w:eastAsia="宋体"/>
                      <w:color w:val="000000" w:themeColor="text1"/>
                      <w:kern w:val="0"/>
                      <w:szCs w:val="21"/>
                    </w:rPr>
                  </w:pPr>
                  <w:r>
                    <w:rPr>
                      <w:rFonts w:ascii="Times New Roman" w:hAnsi="Times New Roman" w:eastAsia="宋体"/>
                      <w:bCs/>
                      <w:color w:val="000000" w:themeColor="text1"/>
                      <w:szCs w:val="21"/>
                    </w:rPr>
                    <w:t>5</w:t>
                  </w:r>
                </w:p>
              </w:tc>
              <w:tc>
                <w:tcPr>
                  <w:tcW w:w="1070" w:type="dxa"/>
                  <w:vAlign w:val="center"/>
                </w:tcPr>
                <w:p>
                  <w:pPr>
                    <w:pStyle w:val="8"/>
                    <w:jc w:val="center"/>
                    <w:rPr>
                      <w:rFonts w:ascii="Times New Roman" w:hAnsi="Times New Roman" w:eastAsia="宋体"/>
                      <w:bCs/>
                      <w:color w:val="000000" w:themeColor="text1"/>
                      <w:szCs w:val="21"/>
                    </w:rPr>
                  </w:pPr>
                  <w:r>
                    <w:rPr>
                      <w:rFonts w:ascii="Times New Roman" w:hAnsi="Times New Roman" w:eastAsia="宋体"/>
                      <w:bCs/>
                      <w:color w:val="000000" w:themeColor="text1"/>
                      <w:szCs w:val="21"/>
                    </w:rPr>
                    <w:t>主要</w:t>
                  </w:r>
                </w:p>
                <w:p>
                  <w:pPr>
                    <w:pStyle w:val="8"/>
                    <w:jc w:val="center"/>
                    <w:rPr>
                      <w:rFonts w:ascii="Times New Roman" w:hAnsi="Times New Roman" w:eastAsia="宋体"/>
                      <w:color w:val="000000" w:themeColor="text1"/>
                      <w:szCs w:val="21"/>
                    </w:rPr>
                  </w:pPr>
                  <w:r>
                    <w:rPr>
                      <w:rFonts w:ascii="Times New Roman" w:hAnsi="Times New Roman" w:eastAsia="宋体"/>
                      <w:bCs/>
                      <w:color w:val="000000" w:themeColor="text1"/>
                      <w:szCs w:val="21"/>
                    </w:rPr>
                    <w:t>生产设备</w:t>
                  </w:r>
                </w:p>
              </w:tc>
              <w:tc>
                <w:tcPr>
                  <w:tcW w:w="3163" w:type="dxa"/>
                  <w:vAlign w:val="center"/>
                </w:tcPr>
                <w:p>
                  <w:pPr>
                    <w:adjustRightInd w:val="0"/>
                    <w:snapToGrid w:val="0"/>
                    <w:jc w:val="center"/>
                    <w:rPr>
                      <w:rFonts w:ascii="Times New Roman" w:hAnsi="Times New Roman" w:eastAsia="宋体"/>
                      <w:color w:val="000000" w:themeColor="text1"/>
                      <w:szCs w:val="21"/>
                    </w:rPr>
                  </w:pPr>
                  <w:r>
                    <w:rPr>
                      <w:rFonts w:hint="eastAsia" w:ascii="Times New Roman" w:hAnsi="宋体" w:eastAsia="宋体"/>
                      <w:bCs/>
                      <w:color w:val="000000" w:themeColor="text1"/>
                      <w:szCs w:val="21"/>
                    </w:rPr>
                    <w:t>高周波塑熔机</w:t>
                  </w:r>
                  <w:r>
                    <w:rPr>
                      <w:rFonts w:hint="eastAsia" w:ascii="Times New Roman" w:hAnsi="Times New Roman" w:eastAsia="宋体"/>
                      <w:bCs/>
                      <w:color w:val="000000" w:themeColor="text1"/>
                      <w:szCs w:val="21"/>
                    </w:rPr>
                    <w:t>JD-12KW/ML 6台</w:t>
                  </w:r>
                  <w:r>
                    <w:rPr>
                      <w:rFonts w:hint="eastAsia" w:ascii="Times New Roman" w:hAnsi="宋体" w:eastAsia="宋体"/>
                      <w:bCs/>
                      <w:color w:val="000000" w:themeColor="text1"/>
                      <w:szCs w:val="21"/>
                    </w:rPr>
                    <w:t>、</w:t>
                  </w:r>
                  <w:r>
                    <w:rPr>
                      <w:rFonts w:hint="eastAsia" w:ascii="Times New Roman" w:hAnsi="Times New Roman" w:eastAsia="宋体"/>
                      <w:color w:val="000000" w:themeColor="text1"/>
                      <w:szCs w:val="21"/>
                    </w:rPr>
                    <w:t>空压机TY-30PM 1台</w:t>
                  </w:r>
                </w:p>
              </w:tc>
              <w:tc>
                <w:tcPr>
                  <w:tcW w:w="3212" w:type="dxa"/>
                  <w:vAlign w:val="center"/>
                </w:tcPr>
                <w:p>
                  <w:pPr>
                    <w:adjustRightInd w:val="0"/>
                    <w:snapToGrid w:val="0"/>
                    <w:jc w:val="center"/>
                    <w:rPr>
                      <w:rFonts w:ascii="Times New Roman" w:hAnsi="Times New Roman" w:eastAsia="宋体"/>
                      <w:color w:val="000000" w:themeColor="text1"/>
                      <w:szCs w:val="21"/>
                    </w:rPr>
                  </w:pPr>
                  <w:r>
                    <w:rPr>
                      <w:rFonts w:hint="eastAsia" w:ascii="Times New Roman" w:hAnsi="宋体" w:eastAsia="宋体"/>
                      <w:bCs/>
                      <w:color w:val="000000" w:themeColor="text1"/>
                      <w:szCs w:val="21"/>
                    </w:rPr>
                    <w:t>高周波塑熔机</w:t>
                  </w:r>
                  <w:r>
                    <w:rPr>
                      <w:rFonts w:hint="eastAsia" w:ascii="Times New Roman" w:hAnsi="Times New Roman" w:eastAsia="宋体"/>
                      <w:bCs/>
                      <w:color w:val="000000" w:themeColor="text1"/>
                      <w:szCs w:val="21"/>
                    </w:rPr>
                    <w:t>JD-12KW/ML 6台</w:t>
                  </w:r>
                  <w:r>
                    <w:rPr>
                      <w:rFonts w:hint="eastAsia" w:ascii="Times New Roman" w:hAnsi="宋体" w:eastAsia="宋体"/>
                      <w:bCs/>
                      <w:color w:val="000000" w:themeColor="text1"/>
                      <w:szCs w:val="21"/>
                    </w:rPr>
                    <w:t>、</w:t>
                  </w:r>
                  <w:r>
                    <w:rPr>
                      <w:rFonts w:hint="eastAsia" w:ascii="Times New Roman" w:hAnsi="Times New Roman" w:eastAsia="宋体"/>
                      <w:color w:val="000000" w:themeColor="text1"/>
                      <w:szCs w:val="21"/>
                    </w:rPr>
                    <w:t>空压机TY-30PM 1台</w:t>
                  </w:r>
                </w:p>
              </w:tc>
              <w:tc>
                <w:tcPr>
                  <w:tcW w:w="954" w:type="dxa"/>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一致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3" w:type="dxa"/>
                  <w:tcBorders>
                    <w:bottom w:val="single" w:color="auto" w:sz="8" w:space="0"/>
                  </w:tcBorders>
                  <w:vAlign w:val="center"/>
                </w:tcPr>
                <w:p>
                  <w:pPr>
                    <w:pStyle w:val="8"/>
                    <w:jc w:val="center"/>
                    <w:rPr>
                      <w:rFonts w:ascii="Times New Roman" w:hAnsi="Times New Roman" w:eastAsia="宋体"/>
                      <w:color w:val="000000" w:themeColor="text1"/>
                      <w:kern w:val="0"/>
                      <w:szCs w:val="21"/>
                    </w:rPr>
                  </w:pPr>
                  <w:r>
                    <w:rPr>
                      <w:rFonts w:ascii="Times New Roman" w:hAnsi="Times New Roman" w:eastAsia="宋体"/>
                      <w:bCs/>
                      <w:color w:val="000000" w:themeColor="text1"/>
                      <w:szCs w:val="21"/>
                    </w:rPr>
                    <w:t>6</w:t>
                  </w:r>
                </w:p>
              </w:tc>
              <w:tc>
                <w:tcPr>
                  <w:tcW w:w="1070" w:type="dxa"/>
                  <w:tcBorders>
                    <w:bottom w:val="single" w:color="auto" w:sz="8" w:space="0"/>
                  </w:tcBorders>
                  <w:vAlign w:val="center"/>
                </w:tcPr>
                <w:p>
                  <w:pPr>
                    <w:pStyle w:val="8"/>
                    <w:jc w:val="center"/>
                    <w:rPr>
                      <w:rFonts w:ascii="Times New Roman" w:hAnsi="Times New Roman" w:eastAsia="宋体"/>
                      <w:color w:val="000000" w:themeColor="text1"/>
                      <w:szCs w:val="21"/>
                    </w:rPr>
                  </w:pPr>
                  <w:r>
                    <w:rPr>
                      <w:rFonts w:ascii="Times New Roman" w:hAnsi="Times New Roman" w:eastAsia="宋体"/>
                      <w:bCs/>
                      <w:color w:val="000000" w:themeColor="text1"/>
                      <w:szCs w:val="21"/>
                    </w:rPr>
                    <w:t>工艺流程</w:t>
                  </w:r>
                </w:p>
              </w:tc>
              <w:tc>
                <w:tcPr>
                  <w:tcW w:w="3163" w:type="dxa"/>
                  <w:tcBorders>
                    <w:bottom w:val="single" w:color="auto" w:sz="8" w:space="0"/>
                  </w:tcBorders>
                  <w:vAlign w:val="center"/>
                </w:tcPr>
                <w:p>
                  <w:pPr>
                    <w:adjustRightInd w:val="0"/>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放料</w:t>
                  </w:r>
                  <w:r>
                    <w:rPr>
                      <w:rFonts w:ascii="Times New Roman" w:hAnsi="Times New Roman" w:eastAsia="宋体"/>
                      <w:color w:val="000000" w:themeColor="text1"/>
                      <w:szCs w:val="21"/>
                    </w:rPr>
                    <w:t>—</w:t>
                  </w:r>
                  <w:r>
                    <w:rPr>
                      <w:rFonts w:hint="eastAsia" w:ascii="Times New Roman" w:hAnsi="Times New Roman" w:eastAsia="宋体"/>
                      <w:color w:val="000000" w:themeColor="text1"/>
                      <w:szCs w:val="21"/>
                    </w:rPr>
                    <w:t>压合</w:t>
                  </w:r>
                  <w:r>
                    <w:rPr>
                      <w:rFonts w:ascii="Times New Roman" w:hAnsi="Times New Roman" w:eastAsia="宋体"/>
                      <w:color w:val="000000" w:themeColor="text1"/>
                      <w:szCs w:val="21"/>
                    </w:rPr>
                    <w:t>—</w:t>
                  </w:r>
                  <w:r>
                    <w:rPr>
                      <w:rFonts w:hint="eastAsia" w:ascii="Times New Roman" w:hAnsi="Times New Roman" w:eastAsia="宋体"/>
                      <w:color w:val="000000" w:themeColor="text1"/>
                      <w:szCs w:val="21"/>
                    </w:rPr>
                    <w:t>质检</w:t>
                  </w:r>
                  <w:r>
                    <w:rPr>
                      <w:rFonts w:ascii="Times New Roman" w:hAnsi="Times New Roman" w:eastAsia="宋体"/>
                      <w:color w:val="000000" w:themeColor="text1"/>
                      <w:szCs w:val="21"/>
                    </w:rPr>
                    <w:t>—</w:t>
                  </w:r>
                  <w:r>
                    <w:rPr>
                      <w:rFonts w:hint="eastAsia" w:ascii="Times New Roman" w:hAnsi="Times New Roman" w:eastAsia="宋体"/>
                      <w:color w:val="000000" w:themeColor="text1"/>
                      <w:szCs w:val="21"/>
                    </w:rPr>
                    <w:t>收卷</w:t>
                  </w:r>
                  <w:r>
                    <w:rPr>
                      <w:rFonts w:ascii="Times New Roman" w:hAnsi="Times New Roman" w:eastAsia="宋体"/>
                      <w:color w:val="000000" w:themeColor="text1"/>
                      <w:szCs w:val="21"/>
                    </w:rPr>
                    <w:t>—</w:t>
                  </w:r>
                  <w:r>
                    <w:rPr>
                      <w:rFonts w:hint="eastAsia" w:ascii="Times New Roman" w:hAnsi="Times New Roman" w:eastAsia="宋体"/>
                      <w:color w:val="000000" w:themeColor="text1"/>
                      <w:szCs w:val="21"/>
                    </w:rPr>
                    <w:t>包装</w:t>
                  </w:r>
                </w:p>
              </w:tc>
              <w:tc>
                <w:tcPr>
                  <w:tcW w:w="3212" w:type="dxa"/>
                  <w:tcBorders>
                    <w:bottom w:val="single" w:color="auto" w:sz="8" w:space="0"/>
                  </w:tcBorders>
                  <w:vAlign w:val="center"/>
                </w:tcPr>
                <w:p>
                  <w:pPr>
                    <w:adjustRightInd w:val="0"/>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原材料</w:t>
                  </w:r>
                  <w:r>
                    <w:rPr>
                      <w:rFonts w:ascii="Times New Roman" w:hAnsi="Times New Roman" w:eastAsia="宋体"/>
                      <w:color w:val="000000" w:themeColor="text1"/>
                      <w:szCs w:val="21"/>
                    </w:rPr>
                    <w:t>—</w:t>
                  </w:r>
                  <w:r>
                    <w:rPr>
                      <w:rFonts w:hint="eastAsia" w:ascii="Times New Roman" w:hAnsi="Times New Roman" w:eastAsia="宋体"/>
                      <w:color w:val="000000" w:themeColor="text1"/>
                      <w:szCs w:val="21"/>
                    </w:rPr>
                    <w:t>放料</w:t>
                  </w:r>
                  <w:r>
                    <w:rPr>
                      <w:rFonts w:ascii="Times New Roman" w:hAnsi="Times New Roman" w:eastAsia="宋体"/>
                      <w:color w:val="000000" w:themeColor="text1"/>
                      <w:szCs w:val="21"/>
                    </w:rPr>
                    <w:t>—</w:t>
                  </w:r>
                  <w:r>
                    <w:rPr>
                      <w:rFonts w:hint="eastAsia" w:ascii="Times New Roman" w:hAnsi="Times New Roman" w:eastAsia="宋体"/>
                      <w:color w:val="000000" w:themeColor="text1"/>
                      <w:szCs w:val="21"/>
                    </w:rPr>
                    <w:t>压合</w:t>
                  </w:r>
                  <w:r>
                    <w:rPr>
                      <w:rFonts w:ascii="Times New Roman" w:hAnsi="Times New Roman" w:eastAsia="宋体"/>
                      <w:color w:val="000000" w:themeColor="text1"/>
                      <w:szCs w:val="21"/>
                    </w:rPr>
                    <w:t>—</w:t>
                  </w:r>
                  <w:r>
                    <w:rPr>
                      <w:rFonts w:hint="eastAsia" w:ascii="Times New Roman" w:hAnsi="Times New Roman" w:eastAsia="宋体"/>
                      <w:color w:val="000000" w:themeColor="text1"/>
                      <w:szCs w:val="21"/>
                    </w:rPr>
                    <w:t>质检</w:t>
                  </w:r>
                  <w:r>
                    <w:rPr>
                      <w:rFonts w:ascii="Times New Roman" w:hAnsi="Times New Roman" w:eastAsia="宋体"/>
                      <w:color w:val="000000" w:themeColor="text1"/>
                      <w:szCs w:val="21"/>
                    </w:rPr>
                    <w:t>—</w:t>
                  </w:r>
                  <w:r>
                    <w:rPr>
                      <w:rFonts w:hint="eastAsia" w:ascii="Times New Roman" w:hAnsi="Times New Roman" w:eastAsia="宋体"/>
                      <w:color w:val="000000" w:themeColor="text1"/>
                      <w:szCs w:val="21"/>
                    </w:rPr>
                    <w:t>收卷</w:t>
                  </w:r>
                  <w:r>
                    <w:rPr>
                      <w:rFonts w:ascii="Times New Roman" w:hAnsi="Times New Roman" w:eastAsia="宋体"/>
                      <w:color w:val="000000" w:themeColor="text1"/>
                      <w:szCs w:val="21"/>
                    </w:rPr>
                    <w:t>—</w:t>
                  </w:r>
                  <w:r>
                    <w:rPr>
                      <w:rFonts w:hint="eastAsia" w:ascii="Times New Roman" w:hAnsi="Times New Roman" w:eastAsia="宋体"/>
                      <w:color w:val="000000" w:themeColor="text1"/>
                      <w:szCs w:val="21"/>
                    </w:rPr>
                    <w:t>包装</w:t>
                  </w:r>
                  <w:r>
                    <w:rPr>
                      <w:rFonts w:ascii="Times New Roman" w:hAnsi="Times New Roman" w:eastAsia="宋体"/>
                      <w:color w:val="000000" w:themeColor="text1"/>
                      <w:szCs w:val="21"/>
                    </w:rPr>
                    <w:t>—</w:t>
                  </w:r>
                  <w:r>
                    <w:rPr>
                      <w:rFonts w:hint="eastAsia" w:ascii="Times New Roman" w:hAnsi="Times New Roman" w:eastAsia="宋体"/>
                      <w:color w:val="000000" w:themeColor="text1"/>
                      <w:szCs w:val="21"/>
                    </w:rPr>
                    <w:t>成品</w:t>
                  </w:r>
                </w:p>
              </w:tc>
              <w:tc>
                <w:tcPr>
                  <w:tcW w:w="954" w:type="dxa"/>
                  <w:tcBorders>
                    <w:bottom w:val="single" w:color="auto" w:sz="8"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一致</w:t>
                  </w:r>
                </w:p>
              </w:tc>
            </w:tr>
          </w:tbl>
          <w:p>
            <w:pPr>
              <w:pStyle w:val="127"/>
              <w:adjustRightInd w:val="0"/>
              <w:snapToGrid w:val="0"/>
              <w:spacing w:line="440" w:lineRule="exact"/>
              <w:ind w:firstLine="482" w:firstLineChars="200"/>
              <w:rPr>
                <w:rFonts w:ascii="Times New Roman" w:hAnsi="Times New Roman" w:eastAsia="宋体"/>
                <w:b/>
                <w:bCs/>
                <w:color w:val="000000" w:themeColor="text1"/>
                <w:sz w:val="24"/>
              </w:rPr>
            </w:pPr>
            <w:r>
              <w:rPr>
                <w:rFonts w:ascii="Times New Roman" w:hAnsi="Times New Roman" w:eastAsia="宋体"/>
                <w:b/>
                <w:color w:val="000000" w:themeColor="text1"/>
                <w:sz w:val="24"/>
              </w:rPr>
              <w:t>8、</w:t>
            </w:r>
            <w:r>
              <w:rPr>
                <w:rFonts w:ascii="Times New Roman" w:hAnsi="Times New Roman" w:eastAsia="宋体"/>
                <w:b/>
                <w:bCs/>
                <w:color w:val="000000" w:themeColor="text1"/>
                <w:sz w:val="24"/>
              </w:rPr>
              <w:t>与新环[2015]342号文的对照分析</w:t>
            </w:r>
          </w:p>
          <w:p>
            <w:pPr>
              <w:spacing w:line="440" w:lineRule="exact"/>
              <w:ind w:firstLine="480" w:firstLineChars="200"/>
              <w:rPr>
                <w:rFonts w:ascii="Times New Roman" w:hAnsi="Times New Roman" w:eastAsia="宋体"/>
                <w:bCs/>
                <w:color w:val="000000" w:themeColor="text1"/>
                <w:sz w:val="24"/>
              </w:rPr>
            </w:pPr>
            <w:r>
              <w:rPr>
                <w:rFonts w:ascii="Times New Roman" w:hAnsi="Times New Roman" w:eastAsia="宋体"/>
                <w:color w:val="000000" w:themeColor="text1"/>
                <w:sz w:val="24"/>
              </w:rPr>
              <w:t>本项目与《新乡市环境保护局关于印发深化建设项目环境影响评价审批制度改革实施细则的通知》新环［2015］342号（以下简称《通知》）对照分析见</w:t>
            </w:r>
            <w:r>
              <w:rPr>
                <w:rFonts w:ascii="Times New Roman" w:hAnsi="Times New Roman" w:eastAsia="宋体"/>
                <w:bCs/>
                <w:color w:val="000000" w:themeColor="text1"/>
                <w:sz w:val="24"/>
              </w:rPr>
              <w:t>表8。</w:t>
            </w:r>
          </w:p>
          <w:p>
            <w:pPr>
              <w:spacing w:line="440" w:lineRule="exact"/>
              <w:jc w:val="center"/>
              <w:rPr>
                <w:rFonts w:ascii="Times New Roman" w:hAnsi="Times New Roman" w:eastAsia="宋体"/>
                <w:b/>
                <w:color w:val="000000" w:themeColor="text1"/>
                <w:sz w:val="24"/>
              </w:rPr>
            </w:pPr>
            <w:r>
              <w:rPr>
                <w:rFonts w:ascii="Times New Roman" w:hAnsi="Times New Roman" w:eastAsia="宋体"/>
                <w:bCs/>
                <w:color w:val="000000" w:themeColor="text1"/>
                <w:sz w:val="24"/>
              </w:rPr>
              <w:t xml:space="preserve">  </w:t>
            </w:r>
            <w:r>
              <w:rPr>
                <w:rFonts w:ascii="Times New Roman" w:hAnsi="Times New Roman" w:eastAsia="宋体"/>
                <w:b/>
                <w:color w:val="000000" w:themeColor="text1"/>
                <w:sz w:val="24"/>
              </w:rPr>
              <w:t>表8    项目与《通知》对照分析一览表</w:t>
            </w:r>
          </w:p>
          <w:tbl>
            <w:tblPr>
              <w:tblStyle w:val="24"/>
              <w:tblW w:w="9072"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52"/>
              <w:gridCol w:w="1672"/>
              <w:gridCol w:w="2920"/>
              <w:gridCol w:w="1701"/>
              <w:gridCol w:w="152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2" w:type="dxa"/>
                  <w:tcBorders>
                    <w:top w:val="single" w:color="auto" w:sz="8" w:space="0"/>
                    <w:bottom w:val="single" w:color="auto" w:sz="8" w:space="0"/>
                  </w:tcBorders>
                  <w:vAlign w:val="center"/>
                </w:tcPr>
                <w:p>
                  <w:pPr>
                    <w:adjustRightInd w:val="0"/>
                    <w:snapToGrid w:val="0"/>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项目</w:t>
                  </w:r>
                </w:p>
              </w:tc>
              <w:tc>
                <w:tcPr>
                  <w:tcW w:w="4592" w:type="dxa"/>
                  <w:gridSpan w:val="2"/>
                  <w:tcBorders>
                    <w:top w:val="single" w:color="auto" w:sz="8" w:space="0"/>
                    <w:bottom w:val="single" w:color="auto" w:sz="8" w:space="0"/>
                  </w:tcBorders>
                  <w:vAlign w:val="center"/>
                </w:tcPr>
                <w:p>
                  <w:pPr>
                    <w:adjustRightInd w:val="0"/>
                    <w:snapToGrid w:val="0"/>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与本项目相关条文</w:t>
                  </w:r>
                </w:p>
              </w:tc>
              <w:tc>
                <w:tcPr>
                  <w:tcW w:w="1701" w:type="dxa"/>
                  <w:tcBorders>
                    <w:top w:val="single" w:color="auto" w:sz="8" w:space="0"/>
                    <w:bottom w:val="single" w:color="auto" w:sz="8" w:space="0"/>
                  </w:tcBorders>
                  <w:vAlign w:val="center"/>
                </w:tcPr>
                <w:p>
                  <w:pPr>
                    <w:adjustRightInd w:val="0"/>
                    <w:snapToGrid w:val="0"/>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本项目情况</w:t>
                  </w:r>
                </w:p>
              </w:tc>
              <w:tc>
                <w:tcPr>
                  <w:tcW w:w="1527" w:type="dxa"/>
                  <w:tcBorders>
                    <w:top w:val="single" w:color="auto" w:sz="8" w:space="0"/>
                    <w:bottom w:val="single" w:color="auto" w:sz="8" w:space="0"/>
                  </w:tcBorders>
                  <w:vAlign w:val="center"/>
                </w:tcPr>
                <w:p>
                  <w:pPr>
                    <w:adjustRightInd w:val="0"/>
                    <w:snapToGrid w:val="0"/>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对比结果</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2" w:type="dxa"/>
                  <w:vMerge w:val="restart"/>
                  <w:tcBorders>
                    <w:top w:val="single" w:color="auto" w:sz="8"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新乡市主体功能区</w:t>
                  </w:r>
                </w:p>
              </w:tc>
              <w:tc>
                <w:tcPr>
                  <w:tcW w:w="4592" w:type="dxa"/>
                  <w:gridSpan w:val="2"/>
                  <w:tcBorders>
                    <w:top w:val="single" w:color="auto" w:sz="8"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重点开发区域：1、新乡市市区（含平原城乡一体示范区）、新乡县、卫辉市；2、农产品主产区的县城关镇、少数建制镇以及产业集聚区</w:t>
                  </w:r>
                </w:p>
              </w:tc>
              <w:tc>
                <w:tcPr>
                  <w:tcW w:w="1701" w:type="dxa"/>
                  <w:vMerge w:val="restart"/>
                  <w:tcBorders>
                    <w:top w:val="single" w:color="auto" w:sz="8" w:space="0"/>
                  </w:tcBorders>
                  <w:vAlign w:val="center"/>
                </w:tcPr>
                <w:p>
                  <w:pPr>
                    <w:adjustRightInd w:val="0"/>
                    <w:snapToGrid w:val="0"/>
                    <w:jc w:val="center"/>
                    <w:rPr>
                      <w:rFonts w:ascii="Times New Roman" w:hAnsi="Times New Roman" w:eastAsia="宋体"/>
                      <w:color w:val="000000" w:themeColor="text1"/>
                      <w:kern w:val="0"/>
                      <w:szCs w:val="21"/>
                    </w:rPr>
                  </w:pPr>
                  <w:r>
                    <w:rPr>
                      <w:rFonts w:ascii="Times New Roman" w:hAnsi="Times New Roman" w:eastAsia="宋体"/>
                      <w:color w:val="000000" w:themeColor="text1"/>
                      <w:kern w:val="0"/>
                      <w:szCs w:val="21"/>
                    </w:rPr>
                    <w:t>本项目位于</w:t>
                  </w:r>
                  <w:r>
                    <w:rPr>
                      <w:rFonts w:ascii="Times New Roman" w:hAnsi="Times New Roman" w:eastAsia="宋体"/>
                      <w:bCs/>
                      <w:color w:val="000000" w:themeColor="text1"/>
                      <w:szCs w:val="21"/>
                    </w:rPr>
                    <w:t>新乡市新乡县七里营镇</w:t>
                  </w:r>
                  <w:r>
                    <w:rPr>
                      <w:rFonts w:hint="eastAsia" w:ascii="Times New Roman" w:hAnsi="Times New Roman" w:eastAsia="宋体"/>
                      <w:bCs/>
                      <w:color w:val="000000" w:themeColor="text1"/>
                      <w:szCs w:val="21"/>
                    </w:rPr>
                    <w:t>107国道与胡韦线交叉口中原兴业产业园</w:t>
                  </w:r>
                </w:p>
              </w:tc>
              <w:tc>
                <w:tcPr>
                  <w:tcW w:w="1527" w:type="dxa"/>
                  <w:tcBorders>
                    <w:top w:val="single" w:color="auto" w:sz="8"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2" w:type="dxa"/>
                  <w:vMerge w:val="continue"/>
                  <w:vAlign w:val="center"/>
                </w:tcPr>
                <w:p>
                  <w:pPr>
                    <w:adjustRightInd w:val="0"/>
                    <w:snapToGrid w:val="0"/>
                    <w:jc w:val="center"/>
                    <w:rPr>
                      <w:rFonts w:ascii="Times New Roman" w:hAnsi="Times New Roman" w:eastAsia="宋体"/>
                      <w:color w:val="000000" w:themeColor="text1"/>
                      <w:szCs w:val="21"/>
                    </w:rPr>
                  </w:pPr>
                </w:p>
              </w:tc>
              <w:tc>
                <w:tcPr>
                  <w:tcW w:w="4592" w:type="dxa"/>
                  <w:gridSpan w:val="2"/>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限制开发区、农产品主产区：辉县市、获嘉县、原阳县、延津县、封丘县。（不含产业集聚区、专业园区和县城建成区以及规划区中以居住、商贸、文教科研为主的区域）</w:t>
                  </w:r>
                </w:p>
              </w:tc>
              <w:tc>
                <w:tcPr>
                  <w:tcW w:w="1701" w:type="dxa"/>
                  <w:vMerge w:val="continue"/>
                  <w:vAlign w:val="center"/>
                </w:tcPr>
                <w:p>
                  <w:pPr>
                    <w:adjustRightInd w:val="0"/>
                    <w:snapToGrid w:val="0"/>
                    <w:jc w:val="center"/>
                    <w:rPr>
                      <w:rFonts w:ascii="Times New Roman" w:hAnsi="Times New Roman" w:eastAsia="宋体"/>
                      <w:color w:val="000000" w:themeColor="text1"/>
                      <w:kern w:val="0"/>
                      <w:szCs w:val="21"/>
                    </w:rPr>
                  </w:pPr>
                </w:p>
              </w:tc>
              <w:tc>
                <w:tcPr>
                  <w:tcW w:w="1527" w:type="dxa"/>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不属于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2" w:type="dxa"/>
                  <w:vMerge w:val="continue"/>
                  <w:vAlign w:val="center"/>
                </w:tcPr>
                <w:p>
                  <w:pPr>
                    <w:adjustRightInd w:val="0"/>
                    <w:snapToGrid w:val="0"/>
                    <w:jc w:val="center"/>
                    <w:rPr>
                      <w:rFonts w:ascii="Times New Roman" w:hAnsi="Times New Roman" w:eastAsia="宋体"/>
                      <w:color w:val="000000" w:themeColor="text1"/>
                      <w:szCs w:val="21"/>
                    </w:rPr>
                  </w:pPr>
                </w:p>
              </w:tc>
              <w:tc>
                <w:tcPr>
                  <w:tcW w:w="4592" w:type="dxa"/>
                  <w:gridSpan w:val="2"/>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禁止开发区：河南新乡黄河湿地鸟类国家级自然保护区、太行山猕猴自然保护区</w:t>
                  </w:r>
                </w:p>
              </w:tc>
              <w:tc>
                <w:tcPr>
                  <w:tcW w:w="1701" w:type="dxa"/>
                  <w:vMerge w:val="continue"/>
                  <w:vAlign w:val="center"/>
                </w:tcPr>
                <w:p>
                  <w:pPr>
                    <w:adjustRightInd w:val="0"/>
                    <w:snapToGrid w:val="0"/>
                    <w:jc w:val="center"/>
                    <w:rPr>
                      <w:rFonts w:ascii="Times New Roman" w:hAnsi="Times New Roman" w:eastAsia="宋体"/>
                      <w:color w:val="000000" w:themeColor="text1"/>
                      <w:kern w:val="0"/>
                      <w:szCs w:val="21"/>
                    </w:rPr>
                  </w:pPr>
                </w:p>
              </w:tc>
              <w:tc>
                <w:tcPr>
                  <w:tcW w:w="1527" w:type="dxa"/>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不属于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2" w:type="dxa"/>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新乡市集中水源地保护区名录</w:t>
                  </w:r>
                </w:p>
              </w:tc>
              <w:tc>
                <w:tcPr>
                  <w:tcW w:w="4592" w:type="dxa"/>
                  <w:gridSpan w:val="2"/>
                  <w:vAlign w:val="center"/>
                </w:tcPr>
                <w:p>
                  <w:pPr>
                    <w:widowControl/>
                    <w:shd w:val="clear" w:color="auto" w:fill="FFFFFF"/>
                    <w:spacing w:before="100" w:beforeAutospacing="1" w:after="100" w:afterAutospacing="1"/>
                    <w:jc w:val="center"/>
                    <w:rPr>
                      <w:rFonts w:ascii="Times New Roman" w:eastAsia="宋体"/>
                      <w:color w:val="000000" w:themeColor="text1"/>
                      <w:szCs w:val="21"/>
                    </w:rPr>
                  </w:pPr>
                  <w:r>
                    <w:rPr>
                      <w:rFonts w:hint="eastAsia" w:ascii="Times New Roman" w:eastAsia="宋体"/>
                      <w:color w:val="000000" w:themeColor="text1"/>
                      <w:szCs w:val="21"/>
                    </w:rPr>
                    <w:t>四水厂地下水饮用水源保护区</w:t>
                  </w:r>
                  <w:r>
                    <w:rPr>
                      <w:rFonts w:ascii="Times New Roman" w:hAnsi="Times New Roman" w:eastAsia="宋体"/>
                      <w:color w:val="000000" w:themeColor="text1"/>
                      <w:szCs w:val="21"/>
                    </w:rPr>
                    <w:t>(</w:t>
                  </w:r>
                  <w:r>
                    <w:rPr>
                      <w:rFonts w:hint="eastAsia" w:ascii="Times New Roman" w:eastAsia="宋体"/>
                      <w:color w:val="000000" w:themeColor="text1"/>
                      <w:szCs w:val="21"/>
                    </w:rPr>
                    <w:t>共</w:t>
                  </w:r>
                  <w:r>
                    <w:rPr>
                      <w:rFonts w:ascii="Times New Roman" w:hAnsi="Times New Roman" w:eastAsia="宋体"/>
                      <w:color w:val="000000" w:themeColor="text1"/>
                      <w:szCs w:val="21"/>
                    </w:rPr>
                    <w:t>32</w:t>
                  </w:r>
                  <w:r>
                    <w:rPr>
                      <w:rFonts w:hint="eastAsia" w:ascii="Times New Roman" w:eastAsia="宋体"/>
                      <w:color w:val="000000" w:themeColor="text1"/>
                      <w:szCs w:val="21"/>
                    </w:rPr>
                    <w:t>眼井</w:t>
                  </w:r>
                  <w:r>
                    <w:rPr>
                      <w:rFonts w:ascii="Times New Roman" w:hAnsi="Times New Roman" w:eastAsia="宋体"/>
                      <w:color w:val="000000" w:themeColor="text1"/>
                      <w:szCs w:val="21"/>
                    </w:rPr>
                    <w:t>)</w:t>
                  </w:r>
                  <w:r>
                    <w:rPr>
                      <w:rFonts w:hint="eastAsia" w:ascii="Times New Roman" w:eastAsia="宋体"/>
                      <w:color w:val="000000" w:themeColor="text1"/>
                      <w:szCs w:val="21"/>
                    </w:rPr>
                    <w:t>：一级保护区范围：西曹和东曹村北以北，</w:t>
                  </w:r>
                  <w:r>
                    <w:rPr>
                      <w:rFonts w:ascii="Times New Roman" w:hAnsi="Times New Roman" w:eastAsia="宋体"/>
                      <w:color w:val="000000" w:themeColor="text1"/>
                      <w:szCs w:val="21"/>
                    </w:rPr>
                    <w:t>2</w:t>
                  </w:r>
                  <w:r>
                    <w:rPr>
                      <w:rFonts w:hint="eastAsia" w:ascii="Times New Roman" w:eastAsia="宋体"/>
                      <w:color w:val="000000" w:themeColor="text1"/>
                      <w:szCs w:val="21"/>
                    </w:rPr>
                    <w:t>号井和</w:t>
                  </w:r>
                  <w:r>
                    <w:rPr>
                      <w:rFonts w:ascii="Times New Roman" w:hAnsi="Times New Roman" w:eastAsia="宋体"/>
                      <w:color w:val="000000" w:themeColor="text1"/>
                      <w:szCs w:val="21"/>
                    </w:rPr>
                    <w:t>11</w:t>
                  </w:r>
                  <w:r>
                    <w:rPr>
                      <w:rFonts w:hint="eastAsia" w:ascii="Times New Roman" w:eastAsia="宋体"/>
                      <w:color w:val="000000" w:themeColor="text1"/>
                      <w:szCs w:val="21"/>
                    </w:rPr>
                    <w:t>号井连线向北</w:t>
                  </w:r>
                  <w:r>
                    <w:rPr>
                      <w:rFonts w:ascii="Times New Roman" w:hAnsi="Times New Roman" w:eastAsia="宋体"/>
                      <w:color w:val="000000" w:themeColor="text1"/>
                      <w:szCs w:val="21"/>
                    </w:rPr>
                    <w:t>150</w:t>
                  </w:r>
                  <w:r>
                    <w:rPr>
                      <w:rFonts w:hint="eastAsia" w:ascii="Times New Roman" w:eastAsia="宋体"/>
                      <w:color w:val="000000" w:themeColor="text1"/>
                      <w:szCs w:val="21"/>
                    </w:rPr>
                    <w:t>米以南，</w:t>
                  </w:r>
                  <w:r>
                    <w:rPr>
                      <w:rFonts w:ascii="Times New Roman" w:hAnsi="Times New Roman" w:eastAsia="宋体"/>
                      <w:color w:val="000000" w:themeColor="text1"/>
                      <w:szCs w:val="21"/>
                    </w:rPr>
                    <w:t>22</w:t>
                  </w:r>
                  <w:r>
                    <w:rPr>
                      <w:rFonts w:hint="eastAsia" w:ascii="Times New Roman" w:eastAsia="宋体"/>
                      <w:color w:val="000000" w:themeColor="text1"/>
                      <w:szCs w:val="21"/>
                    </w:rPr>
                    <w:t>号井向东</w:t>
                  </w:r>
                  <w:r>
                    <w:rPr>
                      <w:rFonts w:ascii="Times New Roman" w:hAnsi="Times New Roman" w:eastAsia="宋体"/>
                      <w:color w:val="000000" w:themeColor="text1"/>
                      <w:szCs w:val="21"/>
                    </w:rPr>
                    <w:t>150</w:t>
                  </w:r>
                  <w:r>
                    <w:rPr>
                      <w:rFonts w:hint="eastAsia" w:ascii="Times New Roman" w:eastAsia="宋体"/>
                      <w:color w:val="000000" w:themeColor="text1"/>
                      <w:szCs w:val="21"/>
                    </w:rPr>
                    <w:t>米以西，</w:t>
                  </w:r>
                  <w:r>
                    <w:rPr>
                      <w:rFonts w:ascii="Times New Roman" w:hAnsi="Times New Roman" w:eastAsia="宋体"/>
                      <w:color w:val="000000" w:themeColor="text1"/>
                      <w:szCs w:val="21"/>
                    </w:rPr>
                    <w:t>12—1</w:t>
                  </w:r>
                  <w:r>
                    <w:rPr>
                      <w:rFonts w:hint="eastAsia" w:ascii="Times New Roman" w:eastAsia="宋体"/>
                      <w:color w:val="000000" w:themeColor="text1"/>
                      <w:szCs w:val="21"/>
                    </w:rPr>
                    <w:t>号井西</w:t>
                  </w:r>
                  <w:r>
                    <w:rPr>
                      <w:rFonts w:ascii="Times New Roman" w:hAnsi="Times New Roman" w:eastAsia="宋体"/>
                      <w:color w:val="000000" w:themeColor="text1"/>
                      <w:szCs w:val="21"/>
                    </w:rPr>
                    <w:t>150</w:t>
                  </w:r>
                  <w:r>
                    <w:rPr>
                      <w:rFonts w:hint="eastAsia" w:ascii="Times New Roman" w:eastAsia="宋体"/>
                      <w:color w:val="000000" w:themeColor="text1"/>
                      <w:szCs w:val="21"/>
                    </w:rPr>
                    <w:t>米以东以及输水管线两侧</w:t>
                  </w:r>
                  <w:r>
                    <w:rPr>
                      <w:rFonts w:ascii="Times New Roman" w:hAnsi="Times New Roman" w:eastAsia="宋体"/>
                      <w:color w:val="000000" w:themeColor="text1"/>
                      <w:szCs w:val="21"/>
                    </w:rPr>
                    <w:t>10</w:t>
                  </w:r>
                  <w:r>
                    <w:rPr>
                      <w:rFonts w:hint="eastAsia" w:ascii="Times New Roman" w:eastAsia="宋体"/>
                      <w:color w:val="000000" w:themeColor="text1"/>
                      <w:szCs w:val="21"/>
                    </w:rPr>
                    <w:t>米的区域。二级保护区范围：西曹、中曹村和余庄南及七里营村北以北，西石碑和东石碑村南及高村和西贾城村北以南，</w:t>
                  </w:r>
                  <w:r>
                    <w:rPr>
                      <w:rFonts w:ascii="Times New Roman" w:hAnsi="Times New Roman" w:eastAsia="宋体"/>
                      <w:color w:val="000000" w:themeColor="text1"/>
                      <w:szCs w:val="21"/>
                    </w:rPr>
                    <w:t>21</w:t>
                  </w:r>
                  <w:r>
                    <w:rPr>
                      <w:rFonts w:hint="eastAsia" w:ascii="Times New Roman" w:eastAsia="宋体"/>
                      <w:color w:val="000000" w:themeColor="text1"/>
                      <w:szCs w:val="21"/>
                    </w:rPr>
                    <w:t>号桥以西，敦留店村西以东的区域。</w:t>
                  </w:r>
                </w:p>
              </w:tc>
              <w:tc>
                <w:tcPr>
                  <w:tcW w:w="1701" w:type="dxa"/>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本项目位于</w:t>
                  </w:r>
                  <w:r>
                    <w:rPr>
                      <w:rFonts w:ascii="Times New Roman" w:hAnsi="Times New Roman" w:eastAsia="宋体"/>
                      <w:bCs/>
                      <w:color w:val="000000" w:themeColor="text1"/>
                      <w:szCs w:val="21"/>
                    </w:rPr>
                    <w:t>新乡市新乡县七里营镇</w:t>
                  </w:r>
                  <w:r>
                    <w:rPr>
                      <w:rFonts w:hint="eastAsia" w:ascii="Times New Roman" w:hAnsi="Times New Roman" w:eastAsia="宋体"/>
                      <w:bCs/>
                      <w:color w:val="000000" w:themeColor="text1"/>
                      <w:szCs w:val="21"/>
                    </w:rPr>
                    <w:t>107国道与胡韦线交叉口中原兴业产业园，距</w:t>
                  </w:r>
                  <w:r>
                    <w:rPr>
                      <w:rFonts w:hint="eastAsia" w:ascii="Times New Roman" w:eastAsia="宋体"/>
                      <w:color w:val="000000" w:themeColor="text1"/>
                      <w:szCs w:val="21"/>
                    </w:rPr>
                    <w:t>四水厂地下水饮用水源保护区的距离约为</w:t>
                  </w:r>
                  <w:r>
                    <w:rPr>
                      <w:rFonts w:hint="eastAsia" w:ascii="Times New Roman" w:hAnsi="Times New Roman" w:eastAsia="宋体"/>
                      <w:color w:val="000000" w:themeColor="text1"/>
                      <w:szCs w:val="21"/>
                    </w:rPr>
                    <w:t>7.8k</w:t>
                  </w:r>
                  <w:r>
                    <w:rPr>
                      <w:rFonts w:ascii="Times New Roman" w:hAnsi="Times New Roman" w:eastAsia="宋体"/>
                      <w:color w:val="000000" w:themeColor="text1"/>
                      <w:szCs w:val="21"/>
                    </w:rPr>
                    <w:t>m</w:t>
                  </w:r>
                  <w:r>
                    <w:rPr>
                      <w:rFonts w:hint="eastAsia" w:ascii="Times New Roman" w:eastAsia="宋体"/>
                      <w:color w:val="000000" w:themeColor="text1"/>
                      <w:szCs w:val="21"/>
                    </w:rPr>
                    <w:t>。</w:t>
                  </w:r>
                </w:p>
              </w:tc>
              <w:tc>
                <w:tcPr>
                  <w:tcW w:w="1527" w:type="dxa"/>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本项目不在水源地保护区范围内</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2" w:type="dxa"/>
                  <w:vMerge w:val="restart"/>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污染防治（控）重点单元</w:t>
                  </w:r>
                </w:p>
              </w:tc>
              <w:tc>
                <w:tcPr>
                  <w:tcW w:w="1672" w:type="dxa"/>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水污染</w:t>
                  </w:r>
                </w:p>
              </w:tc>
              <w:tc>
                <w:tcPr>
                  <w:tcW w:w="2920" w:type="dxa"/>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卫河流域：新乡市区、新乡县、卫辉市、辉县市、获嘉县</w:t>
                  </w:r>
                </w:p>
              </w:tc>
              <w:tc>
                <w:tcPr>
                  <w:tcW w:w="1701" w:type="dxa"/>
                  <w:vMerge w:val="restart"/>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kern w:val="0"/>
                      <w:szCs w:val="21"/>
                    </w:rPr>
                    <w:t>本项目位于</w:t>
                  </w:r>
                  <w:r>
                    <w:rPr>
                      <w:rFonts w:ascii="Times New Roman" w:hAnsi="Times New Roman" w:eastAsia="宋体"/>
                      <w:bCs/>
                      <w:color w:val="000000" w:themeColor="text1"/>
                      <w:szCs w:val="21"/>
                    </w:rPr>
                    <w:t>新乡市新乡县七里营镇</w:t>
                  </w:r>
                  <w:r>
                    <w:rPr>
                      <w:rFonts w:hint="eastAsia" w:ascii="Times New Roman" w:hAnsi="Times New Roman" w:eastAsia="宋体"/>
                      <w:bCs/>
                      <w:color w:val="000000" w:themeColor="text1"/>
                      <w:szCs w:val="21"/>
                    </w:rPr>
                    <w:t>107国道与胡韦线交叉口中原兴业产业园</w:t>
                  </w:r>
                </w:p>
              </w:tc>
              <w:tc>
                <w:tcPr>
                  <w:tcW w:w="1527" w:type="dxa"/>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2" w:type="dxa"/>
                  <w:vMerge w:val="continue"/>
                  <w:vAlign w:val="center"/>
                </w:tcPr>
                <w:p>
                  <w:pPr>
                    <w:adjustRightInd w:val="0"/>
                    <w:snapToGrid w:val="0"/>
                    <w:jc w:val="center"/>
                    <w:rPr>
                      <w:rFonts w:ascii="Times New Roman" w:hAnsi="Times New Roman" w:eastAsia="宋体"/>
                      <w:color w:val="000000" w:themeColor="text1"/>
                      <w:szCs w:val="21"/>
                    </w:rPr>
                  </w:pPr>
                </w:p>
              </w:tc>
              <w:tc>
                <w:tcPr>
                  <w:tcW w:w="1672" w:type="dxa"/>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大气污染</w:t>
                  </w:r>
                </w:p>
              </w:tc>
              <w:tc>
                <w:tcPr>
                  <w:tcW w:w="2920" w:type="dxa"/>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新乡市域全部</w:t>
                  </w:r>
                </w:p>
              </w:tc>
              <w:tc>
                <w:tcPr>
                  <w:tcW w:w="1701" w:type="dxa"/>
                  <w:vMerge w:val="continue"/>
                  <w:vAlign w:val="center"/>
                </w:tcPr>
                <w:p>
                  <w:pPr>
                    <w:adjustRightInd w:val="0"/>
                    <w:snapToGrid w:val="0"/>
                    <w:jc w:val="center"/>
                    <w:rPr>
                      <w:rFonts w:ascii="Times New Roman" w:hAnsi="Times New Roman" w:eastAsia="宋体"/>
                      <w:color w:val="000000" w:themeColor="text1"/>
                      <w:szCs w:val="21"/>
                    </w:rPr>
                  </w:pPr>
                </w:p>
              </w:tc>
              <w:tc>
                <w:tcPr>
                  <w:tcW w:w="1527" w:type="dxa"/>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2" w:type="dxa"/>
                  <w:vMerge w:val="continue"/>
                  <w:vAlign w:val="center"/>
                </w:tcPr>
                <w:p>
                  <w:pPr>
                    <w:adjustRightInd w:val="0"/>
                    <w:snapToGrid w:val="0"/>
                    <w:jc w:val="center"/>
                    <w:rPr>
                      <w:rFonts w:ascii="Times New Roman" w:hAnsi="Times New Roman" w:eastAsia="宋体"/>
                      <w:color w:val="000000" w:themeColor="text1"/>
                      <w:szCs w:val="21"/>
                    </w:rPr>
                  </w:pPr>
                </w:p>
              </w:tc>
              <w:tc>
                <w:tcPr>
                  <w:tcW w:w="1672" w:type="dxa"/>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重金属污染</w:t>
                  </w:r>
                </w:p>
              </w:tc>
              <w:tc>
                <w:tcPr>
                  <w:tcW w:w="2920" w:type="dxa"/>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新乡县、凤泉区（铅镉污染防控区）</w:t>
                  </w:r>
                </w:p>
              </w:tc>
              <w:tc>
                <w:tcPr>
                  <w:tcW w:w="1701" w:type="dxa"/>
                  <w:vMerge w:val="continue"/>
                  <w:vAlign w:val="center"/>
                </w:tcPr>
                <w:p>
                  <w:pPr>
                    <w:adjustRightInd w:val="0"/>
                    <w:snapToGrid w:val="0"/>
                    <w:jc w:val="center"/>
                    <w:rPr>
                      <w:rFonts w:ascii="Times New Roman" w:hAnsi="Times New Roman" w:eastAsia="宋体"/>
                      <w:color w:val="000000" w:themeColor="text1"/>
                      <w:szCs w:val="21"/>
                    </w:rPr>
                  </w:pPr>
                </w:p>
              </w:tc>
              <w:tc>
                <w:tcPr>
                  <w:tcW w:w="1527" w:type="dxa"/>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属于</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2" w:type="dxa"/>
                  <w:tcBorders>
                    <w:bottom w:val="single" w:color="auto" w:sz="8"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工业项目分类</w:t>
                  </w:r>
                </w:p>
              </w:tc>
              <w:tc>
                <w:tcPr>
                  <w:tcW w:w="4592" w:type="dxa"/>
                  <w:gridSpan w:val="2"/>
                  <w:tcBorders>
                    <w:bottom w:val="single" w:color="auto" w:sz="8" w:space="0"/>
                  </w:tcBorders>
                  <w:vAlign w:val="center"/>
                </w:tcPr>
                <w:p>
                  <w:pPr>
                    <w:pStyle w:val="127"/>
                    <w:adjustRightInd w:val="0"/>
                    <w:snapToGrid w:val="0"/>
                    <w:jc w:val="center"/>
                    <w:rPr>
                      <w:rFonts w:ascii="Times New Roman" w:hAnsi="Times New Roman" w:eastAsia="宋体"/>
                      <w:color w:val="000000" w:themeColor="text1"/>
                    </w:rPr>
                  </w:pPr>
                  <w:r>
                    <w:rPr>
                      <w:rFonts w:ascii="Times New Roman" w:hAnsi="Times New Roman" w:eastAsia="宋体"/>
                      <w:color w:val="000000" w:themeColor="text1"/>
                      <w:sz w:val="21"/>
                      <w:szCs w:val="21"/>
                    </w:rPr>
                    <w:t>查无相关条目</w:t>
                  </w:r>
                </w:p>
              </w:tc>
              <w:tc>
                <w:tcPr>
                  <w:tcW w:w="1701" w:type="dxa"/>
                  <w:tcBorders>
                    <w:bottom w:val="single" w:color="auto" w:sz="8" w:space="0"/>
                  </w:tcBorders>
                  <w:vAlign w:val="center"/>
                </w:tcPr>
                <w:p>
                  <w:pPr>
                    <w:pStyle w:val="127"/>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 w:val="21"/>
                      <w:szCs w:val="21"/>
                    </w:rPr>
                    <w:t>本项目属于塑料制品项目</w:t>
                  </w:r>
                </w:p>
              </w:tc>
              <w:tc>
                <w:tcPr>
                  <w:tcW w:w="1527" w:type="dxa"/>
                  <w:tcBorders>
                    <w:bottom w:val="single" w:color="auto" w:sz="8" w:space="0"/>
                  </w:tcBorders>
                  <w:vAlign w:val="center"/>
                </w:tcPr>
                <w:p>
                  <w:pPr>
                    <w:pStyle w:val="127"/>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 w:val="21"/>
                      <w:szCs w:val="21"/>
                    </w:rPr>
                    <w:t>本项目不在工业项目分类内</w:t>
                  </w:r>
                </w:p>
              </w:tc>
            </w:tr>
          </w:tbl>
          <w:p>
            <w:pPr>
              <w:adjustRightInd w:val="0"/>
              <w:snapToGrid w:val="0"/>
              <w:spacing w:line="440" w:lineRule="exact"/>
              <w:ind w:firstLine="480" w:firstLineChars="200"/>
              <w:rPr>
                <w:rFonts w:ascii="Times New Roman" w:hAnsi="Times New Roman" w:eastAsia="宋体"/>
                <w:bCs/>
                <w:color w:val="000000" w:themeColor="text1"/>
                <w:sz w:val="24"/>
              </w:rPr>
            </w:pPr>
            <w:r>
              <w:rPr>
                <w:rFonts w:ascii="Times New Roman" w:hAnsi="Times New Roman" w:eastAsia="宋体"/>
                <w:bCs/>
                <w:color w:val="000000" w:themeColor="text1"/>
                <w:sz w:val="24"/>
              </w:rPr>
              <w:t>由上表可知，本项目厂址位于新乡市新乡县七里营镇</w:t>
            </w:r>
            <w:r>
              <w:rPr>
                <w:rFonts w:hint="eastAsia" w:ascii="Times New Roman" w:hAnsi="Times New Roman" w:eastAsia="宋体"/>
                <w:bCs/>
                <w:color w:val="000000" w:themeColor="text1"/>
                <w:sz w:val="24"/>
              </w:rPr>
              <w:t>107国道与胡韦线交叉口中原兴业产业园</w:t>
            </w:r>
            <w:r>
              <w:rPr>
                <w:rFonts w:ascii="Times New Roman" w:hAnsi="Times New Roman" w:eastAsia="宋体"/>
                <w:bCs/>
                <w:color w:val="000000" w:themeColor="text1"/>
                <w:sz w:val="24"/>
              </w:rPr>
              <w:t>，属于</w:t>
            </w:r>
            <w:r>
              <w:rPr>
                <w:rFonts w:hint="eastAsia" w:ascii="Times New Roman" w:hAnsi="Times New Roman" w:eastAsia="宋体"/>
                <w:color w:val="000000" w:themeColor="text1"/>
                <w:sz w:val="24"/>
              </w:rPr>
              <w:t>新乡经济技术产业集聚区，</w:t>
            </w:r>
            <w:r>
              <w:rPr>
                <w:rFonts w:ascii="Times New Roman" w:hAnsi="Times New Roman" w:eastAsia="宋体"/>
                <w:bCs/>
                <w:color w:val="000000" w:themeColor="text1"/>
                <w:sz w:val="24"/>
              </w:rPr>
              <w:t>属于新乡市主体功能区的重点开发区域，属于分类准入政策中的工业准入优先区</w:t>
            </w:r>
            <w:r>
              <w:rPr>
                <w:rFonts w:hint="eastAsia" w:ascii="Times New Roman" w:hAnsi="Times New Roman" w:eastAsia="宋体"/>
                <w:bCs/>
                <w:color w:val="000000" w:themeColor="text1"/>
                <w:sz w:val="24"/>
              </w:rPr>
              <w:t>，应参照</w:t>
            </w:r>
            <w:r>
              <w:rPr>
                <w:rFonts w:ascii="Times New Roman" w:hAnsi="Times New Roman" w:eastAsia="宋体"/>
                <w:bCs/>
                <w:color w:val="000000" w:themeColor="text1"/>
                <w:sz w:val="24"/>
              </w:rPr>
              <w:t>工业准入优先区</w:t>
            </w:r>
            <w:r>
              <w:rPr>
                <w:rFonts w:hint="eastAsia" w:ascii="Times New Roman" w:hAnsi="Times New Roman" w:eastAsia="宋体"/>
                <w:bCs/>
                <w:color w:val="000000" w:themeColor="text1"/>
                <w:sz w:val="24"/>
              </w:rPr>
              <w:t>的环境准入政策执行</w:t>
            </w:r>
            <w:r>
              <w:rPr>
                <w:rFonts w:ascii="Times New Roman" w:hAnsi="Times New Roman" w:eastAsia="宋体"/>
                <w:bCs/>
                <w:color w:val="000000" w:themeColor="text1"/>
                <w:sz w:val="24"/>
              </w:rPr>
              <w:t>。</w:t>
            </w:r>
          </w:p>
          <w:p>
            <w:pPr>
              <w:adjustRightInd w:val="0"/>
              <w:snapToGrid w:val="0"/>
              <w:spacing w:line="440" w:lineRule="exact"/>
              <w:ind w:firstLine="480" w:firstLineChars="200"/>
              <w:rPr>
                <w:rFonts w:ascii="Times New Roman" w:hAnsi="Times New Roman" w:eastAsia="宋体"/>
                <w:bCs/>
                <w:color w:val="000000" w:themeColor="text1"/>
                <w:sz w:val="24"/>
              </w:rPr>
            </w:pPr>
            <w:r>
              <w:rPr>
                <w:rFonts w:ascii="Times New Roman" w:hAnsi="Times New Roman" w:eastAsia="宋体"/>
                <w:bCs/>
                <w:color w:val="000000" w:themeColor="text1"/>
                <w:sz w:val="24"/>
              </w:rPr>
              <w:t>本项目与工业准入优先区</w:t>
            </w:r>
            <w:r>
              <w:rPr>
                <w:rFonts w:hint="eastAsia" w:ascii="Times New Roman" w:hAnsi="Times New Roman" w:eastAsia="宋体"/>
                <w:bCs/>
                <w:color w:val="000000" w:themeColor="text1"/>
                <w:sz w:val="24"/>
              </w:rPr>
              <w:t>的环境准入政策执行</w:t>
            </w:r>
            <w:r>
              <w:rPr>
                <w:rFonts w:ascii="Times New Roman" w:hAnsi="Times New Roman" w:eastAsia="宋体"/>
                <w:bCs/>
                <w:color w:val="000000" w:themeColor="text1"/>
                <w:sz w:val="24"/>
              </w:rPr>
              <w:t>要求相符性分析见下表。</w:t>
            </w:r>
          </w:p>
          <w:p>
            <w:pPr>
              <w:adjustRightInd w:val="0"/>
              <w:snapToGrid w:val="0"/>
              <w:spacing w:line="440" w:lineRule="exact"/>
              <w:jc w:val="center"/>
              <w:rPr>
                <w:rFonts w:ascii="Times New Roman" w:hAnsi="Times New Roman" w:eastAsia="宋体"/>
                <w:bCs/>
                <w:color w:val="000000" w:themeColor="text1"/>
                <w:sz w:val="24"/>
              </w:rPr>
            </w:pPr>
            <w:r>
              <w:rPr>
                <w:rFonts w:ascii="Times New Roman" w:hAnsi="Times New Roman" w:eastAsia="宋体"/>
                <w:b/>
                <w:color w:val="000000" w:themeColor="text1"/>
                <w:sz w:val="24"/>
              </w:rPr>
              <w:t>表9    项目与</w:t>
            </w:r>
            <w:r>
              <w:rPr>
                <w:rFonts w:hint="eastAsia" w:ascii="Times New Roman" w:hAnsi="Times New Roman" w:eastAsia="宋体"/>
                <w:b/>
                <w:color w:val="000000" w:themeColor="text1"/>
                <w:sz w:val="24"/>
              </w:rPr>
              <w:t>工业准入优先区的</w:t>
            </w:r>
            <w:r>
              <w:rPr>
                <w:rFonts w:ascii="Times New Roman" w:hAnsi="Times New Roman" w:eastAsia="宋体"/>
                <w:b/>
                <w:color w:val="000000" w:themeColor="text1"/>
                <w:sz w:val="24"/>
              </w:rPr>
              <w:t>环境准入政策要求相符性分析</w:t>
            </w:r>
          </w:p>
          <w:tbl>
            <w:tblPr>
              <w:tblStyle w:val="24"/>
              <w:tblW w:w="907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2"/>
              <w:gridCol w:w="5158"/>
              <w:gridCol w:w="2063"/>
              <w:gridCol w:w="9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6" w:type="pct"/>
                  <w:tcBorders>
                    <w:top w:val="single" w:color="auto" w:sz="8" w:space="0"/>
                    <w:left w:val="nil"/>
                    <w:bottom w:val="single" w:color="auto" w:sz="8" w:space="0"/>
                    <w:right w:val="single" w:color="auto" w:sz="4" w:space="0"/>
                  </w:tcBorders>
                  <w:vAlign w:val="center"/>
                </w:tcPr>
                <w:p>
                  <w:pPr>
                    <w:adjustRightInd w:val="0"/>
                    <w:snapToGrid w:val="0"/>
                    <w:jc w:val="center"/>
                    <w:rPr>
                      <w:rFonts w:ascii="Times New Roman" w:hAnsi="Times New Roman" w:eastAsia="宋体"/>
                      <w:b/>
                      <w:color w:val="000000" w:themeColor="text1"/>
                      <w:szCs w:val="21"/>
                    </w:rPr>
                  </w:pPr>
                  <w:r>
                    <w:rPr>
                      <w:rFonts w:hint="eastAsia" w:ascii="Times New Roman" w:eastAsia="宋体"/>
                      <w:b/>
                      <w:color w:val="000000" w:themeColor="text1"/>
                      <w:szCs w:val="21"/>
                    </w:rPr>
                    <w:t>类别</w:t>
                  </w:r>
                </w:p>
              </w:tc>
              <w:tc>
                <w:tcPr>
                  <w:tcW w:w="2843" w:type="pct"/>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ascii="Times New Roman" w:hAnsi="Times New Roman" w:eastAsia="宋体"/>
                      <w:b/>
                      <w:color w:val="000000" w:themeColor="text1"/>
                      <w:szCs w:val="21"/>
                    </w:rPr>
                  </w:pPr>
                  <w:r>
                    <w:rPr>
                      <w:rFonts w:hint="eastAsia" w:ascii="Times New Roman" w:eastAsia="宋体"/>
                      <w:b/>
                      <w:color w:val="000000" w:themeColor="text1"/>
                      <w:szCs w:val="21"/>
                    </w:rPr>
                    <w:t>内容</w:t>
                  </w:r>
                </w:p>
              </w:tc>
              <w:tc>
                <w:tcPr>
                  <w:tcW w:w="1137" w:type="pct"/>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ascii="Times New Roman" w:hAnsi="Times New Roman" w:eastAsia="宋体"/>
                      <w:b/>
                      <w:color w:val="000000" w:themeColor="text1"/>
                      <w:szCs w:val="21"/>
                    </w:rPr>
                  </w:pPr>
                  <w:r>
                    <w:rPr>
                      <w:rFonts w:hint="eastAsia" w:ascii="Times New Roman" w:eastAsia="宋体"/>
                      <w:b/>
                      <w:color w:val="000000" w:themeColor="text1"/>
                      <w:szCs w:val="21"/>
                    </w:rPr>
                    <w:t>本项目情况</w:t>
                  </w:r>
                </w:p>
              </w:tc>
              <w:tc>
                <w:tcPr>
                  <w:tcW w:w="534" w:type="pct"/>
                  <w:tcBorders>
                    <w:top w:val="single" w:color="auto" w:sz="8" w:space="0"/>
                    <w:left w:val="single" w:color="auto" w:sz="4" w:space="0"/>
                    <w:bottom w:val="single" w:color="auto" w:sz="8" w:space="0"/>
                    <w:right w:val="nil"/>
                  </w:tcBorders>
                  <w:vAlign w:val="center"/>
                </w:tcPr>
                <w:p>
                  <w:pPr>
                    <w:adjustRightInd w:val="0"/>
                    <w:snapToGrid w:val="0"/>
                    <w:jc w:val="center"/>
                    <w:rPr>
                      <w:rFonts w:ascii="Times New Roman" w:hAnsi="Times New Roman" w:eastAsia="宋体"/>
                      <w:b/>
                      <w:color w:val="000000" w:themeColor="text1"/>
                      <w:szCs w:val="21"/>
                    </w:rPr>
                  </w:pPr>
                  <w:r>
                    <w:rPr>
                      <w:rFonts w:hint="eastAsia" w:ascii="Times New Roman" w:eastAsia="宋体"/>
                      <w:b/>
                      <w:color w:val="000000" w:themeColor="text1"/>
                      <w:szCs w:val="21"/>
                    </w:rPr>
                    <w:t>对比结果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6" w:type="pct"/>
                  <w:vMerge w:val="restart"/>
                  <w:tcBorders>
                    <w:top w:val="single" w:color="auto" w:sz="8" w:space="0"/>
                    <w:left w:val="nil"/>
                    <w:bottom w:val="single" w:color="auto" w:sz="12"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hint="eastAsia" w:ascii="Times New Roman" w:eastAsia="宋体"/>
                      <w:color w:val="000000" w:themeColor="text1"/>
                      <w:szCs w:val="21"/>
                    </w:rPr>
                    <w:t>（一）工业准入优先区</w:t>
                  </w:r>
                </w:p>
              </w:tc>
              <w:tc>
                <w:tcPr>
                  <w:tcW w:w="2843" w:type="pct"/>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hint="eastAsia" w:ascii="Times New Roman" w:eastAsia="宋体"/>
                      <w:b/>
                      <w:color w:val="000000" w:themeColor="text1"/>
                      <w:szCs w:val="21"/>
                    </w:rPr>
                    <w:t>功能区范围：</w:t>
                  </w:r>
                  <w:r>
                    <w:rPr>
                      <w:rFonts w:hint="eastAsia" w:ascii="Times New Roman" w:eastAsia="宋体"/>
                      <w:color w:val="000000" w:themeColor="text1"/>
                      <w:szCs w:val="21"/>
                    </w:rPr>
                    <w:t>我市范围内的省级产业集聚区、市级人民政府规范设立的专业园区</w:t>
                  </w:r>
                </w:p>
              </w:tc>
              <w:tc>
                <w:tcPr>
                  <w:tcW w:w="1137" w:type="pct"/>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hint="eastAsia" w:ascii="Times New Roman" w:eastAsia="宋体"/>
                      <w:color w:val="000000" w:themeColor="text1"/>
                      <w:szCs w:val="21"/>
                    </w:rPr>
                    <w:t>本项目位于</w:t>
                  </w:r>
                  <w:r>
                    <w:rPr>
                      <w:rFonts w:ascii="Times New Roman" w:hAnsi="Times New Roman" w:eastAsia="宋体"/>
                      <w:bCs/>
                      <w:color w:val="000000" w:themeColor="text1"/>
                      <w:szCs w:val="21"/>
                    </w:rPr>
                    <w:t>新乡市新乡县七里营镇</w:t>
                  </w:r>
                  <w:r>
                    <w:rPr>
                      <w:rFonts w:hint="eastAsia" w:ascii="Times New Roman" w:hAnsi="Times New Roman" w:eastAsia="宋体"/>
                      <w:bCs/>
                      <w:color w:val="000000" w:themeColor="text1"/>
                      <w:szCs w:val="21"/>
                    </w:rPr>
                    <w:t>107国道与胡韦线交叉口中原兴业产业园</w:t>
                  </w:r>
                  <w:r>
                    <w:rPr>
                      <w:rFonts w:hint="eastAsia" w:ascii="Times New Roman" w:eastAsia="宋体"/>
                      <w:color w:val="000000" w:themeColor="text1"/>
                      <w:szCs w:val="21"/>
                    </w:rPr>
                    <w:t>。</w:t>
                  </w:r>
                </w:p>
              </w:tc>
              <w:tc>
                <w:tcPr>
                  <w:tcW w:w="534" w:type="pct"/>
                  <w:tcBorders>
                    <w:top w:val="single" w:color="auto" w:sz="8"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属于新乡经济技术产业集聚区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6" w:type="pct"/>
                  <w:vMerge w:val="continue"/>
                  <w:tcBorders>
                    <w:top w:val="single" w:color="auto" w:sz="4" w:space="0"/>
                    <w:left w:val="nil"/>
                    <w:bottom w:val="single" w:color="auto" w:sz="8" w:space="0"/>
                    <w:right w:val="single" w:color="auto" w:sz="4" w:space="0"/>
                  </w:tcBorders>
                  <w:vAlign w:val="center"/>
                </w:tcPr>
                <w:p>
                  <w:pPr>
                    <w:widowControl/>
                    <w:jc w:val="center"/>
                    <w:rPr>
                      <w:rFonts w:ascii="Times New Roman" w:hAnsi="Times New Roman" w:eastAsia="宋体"/>
                      <w:color w:val="000000" w:themeColor="text1"/>
                      <w:szCs w:val="21"/>
                    </w:rPr>
                  </w:pPr>
                </w:p>
              </w:tc>
              <w:tc>
                <w:tcPr>
                  <w:tcW w:w="2843" w:type="pct"/>
                  <w:tcBorders>
                    <w:top w:val="single" w:color="auto" w:sz="4" w:space="0"/>
                    <w:left w:val="single" w:color="auto" w:sz="4" w:space="0"/>
                    <w:bottom w:val="single" w:color="auto" w:sz="8" w:space="0"/>
                    <w:right w:val="single" w:color="auto" w:sz="4" w:space="0"/>
                  </w:tcBorders>
                  <w:vAlign w:val="center"/>
                </w:tcPr>
                <w:p>
                  <w:pPr>
                    <w:adjustRightInd w:val="0"/>
                    <w:snapToGrid w:val="0"/>
                    <w:rPr>
                      <w:rFonts w:ascii="Times New Roman" w:hAnsi="Times New Roman" w:eastAsia="宋体"/>
                      <w:color w:val="000000" w:themeColor="text1"/>
                      <w:szCs w:val="21"/>
                    </w:rPr>
                  </w:pPr>
                  <w:r>
                    <w:rPr>
                      <w:rFonts w:hint="eastAsia" w:ascii="Times New Roman" w:eastAsia="宋体"/>
                      <w:color w:val="000000" w:themeColor="text1"/>
                      <w:szCs w:val="21"/>
                    </w:rPr>
                    <w:t>环境准入政策：</w:t>
                  </w:r>
                </w:p>
                <w:p>
                  <w:pPr>
                    <w:adjustRightInd w:val="0"/>
                    <w:snapToGrid w:val="0"/>
                    <w:rPr>
                      <w:rFonts w:ascii="Times New Roman" w:hAnsi="Times New Roman" w:eastAsia="宋体"/>
                      <w:color w:val="000000" w:themeColor="text1"/>
                      <w:szCs w:val="21"/>
                    </w:rPr>
                  </w:pPr>
                  <w:r>
                    <w:rPr>
                      <w:rFonts w:ascii="Times New Roman" w:hAnsi="Times New Roman" w:eastAsia="宋体"/>
                      <w:color w:val="000000" w:themeColor="text1"/>
                      <w:szCs w:val="21"/>
                    </w:rPr>
                    <w:t>1</w:t>
                  </w:r>
                  <w:r>
                    <w:rPr>
                      <w:rFonts w:hint="eastAsia" w:ascii="Times New Roman" w:eastAsia="宋体"/>
                      <w:color w:val="000000" w:themeColor="text1"/>
                      <w:szCs w:val="21"/>
                    </w:rPr>
                    <w:t>、简化部分审批程序。依据环保部《建设项目环境影响评价分类管理名录》规定，对填报环境影响登记表的项目，环评文件由审批制改为备案制，即报即受理，</w:t>
                  </w:r>
                  <w:r>
                    <w:rPr>
                      <w:rFonts w:ascii="Times New Roman" w:hAnsi="Times New Roman" w:eastAsia="宋体"/>
                      <w:color w:val="000000" w:themeColor="text1"/>
                      <w:szCs w:val="21"/>
                    </w:rPr>
                    <w:t>2</w:t>
                  </w:r>
                  <w:r>
                    <w:rPr>
                      <w:rFonts w:hint="eastAsia" w:ascii="Times New Roman" w:eastAsia="宋体"/>
                      <w:color w:val="000000" w:themeColor="text1"/>
                      <w:szCs w:val="21"/>
                    </w:rPr>
                    <w:t>个工作日内办结；对编制环境影响报告表的项目，简化审批程序，即报即受理。</w:t>
                  </w:r>
                </w:p>
                <w:p>
                  <w:pPr>
                    <w:adjustRightInd w:val="0"/>
                    <w:snapToGrid w:val="0"/>
                    <w:rPr>
                      <w:rFonts w:ascii="Times New Roman" w:hAnsi="Times New Roman" w:eastAsia="宋体"/>
                      <w:color w:val="000000" w:themeColor="text1"/>
                      <w:szCs w:val="21"/>
                    </w:rPr>
                  </w:pPr>
                  <w:r>
                    <w:rPr>
                      <w:rFonts w:ascii="Times New Roman" w:hAnsi="Times New Roman" w:eastAsia="宋体"/>
                      <w:color w:val="000000" w:themeColor="text1"/>
                      <w:szCs w:val="21"/>
                    </w:rPr>
                    <w:t>2</w:t>
                  </w:r>
                  <w:r>
                    <w:rPr>
                      <w:rFonts w:hint="eastAsia" w:ascii="Times New Roman" w:eastAsia="宋体"/>
                      <w:color w:val="000000" w:themeColor="text1"/>
                      <w:szCs w:val="21"/>
                    </w:rPr>
                    <w:t>、下放部分审批权限。对属于市环保局审批的《工业项目分类清单》中的一类工业项目，其环评文件的审批权限，下放至具有审批权限的各县（市）、区环保部门。</w:t>
                  </w:r>
                </w:p>
                <w:p>
                  <w:pPr>
                    <w:adjustRightInd w:val="0"/>
                    <w:snapToGrid w:val="0"/>
                    <w:rPr>
                      <w:rFonts w:ascii="Times New Roman" w:hAnsi="Times New Roman" w:eastAsia="宋体"/>
                      <w:color w:val="000000" w:themeColor="text1"/>
                      <w:szCs w:val="21"/>
                    </w:rPr>
                  </w:pPr>
                  <w:r>
                    <w:rPr>
                      <w:rFonts w:ascii="Times New Roman" w:hAnsi="Times New Roman" w:eastAsia="宋体"/>
                      <w:color w:val="000000" w:themeColor="text1"/>
                      <w:szCs w:val="21"/>
                    </w:rPr>
                    <w:t>3</w:t>
                  </w:r>
                  <w:r>
                    <w:rPr>
                      <w:rFonts w:hint="eastAsia" w:ascii="Times New Roman" w:eastAsia="宋体"/>
                      <w:color w:val="000000" w:themeColor="text1"/>
                      <w:szCs w:val="21"/>
                    </w:rPr>
                    <w:t>、放宽部分审批条件。对规划环评已经过审查的产业集聚区或专业园区，符合主导产业的入驻建设项目的环评文件可适当简化；对污水集中处理设施完善的产业集聚区或专业园区，入驻建设项目的污水排放标准可执行间接排放标准，无间接排放标准的以环评审批的排放要求为准。</w:t>
                  </w:r>
                </w:p>
                <w:p>
                  <w:pPr>
                    <w:adjustRightInd w:val="0"/>
                    <w:snapToGrid w:val="0"/>
                    <w:rPr>
                      <w:rFonts w:ascii="Times New Roman" w:hAnsi="Times New Roman" w:eastAsia="宋体"/>
                      <w:color w:val="000000" w:themeColor="text1"/>
                      <w:szCs w:val="21"/>
                    </w:rPr>
                  </w:pPr>
                  <w:r>
                    <w:rPr>
                      <w:rFonts w:ascii="Times New Roman" w:hAnsi="Times New Roman" w:eastAsia="宋体"/>
                      <w:color w:val="000000" w:themeColor="text1"/>
                      <w:szCs w:val="21"/>
                    </w:rPr>
                    <w:t>4</w:t>
                  </w:r>
                  <w:r>
                    <w:rPr>
                      <w:rFonts w:hint="eastAsia" w:ascii="Times New Roman" w:eastAsia="宋体"/>
                      <w:color w:val="000000" w:themeColor="text1"/>
                      <w:szCs w:val="21"/>
                    </w:rPr>
                    <w:t>、严控部分区域重污染项目。在《水污染防治重点单元》内的我市市区、新乡县、卫辉市、辉县市、获嘉县等区域内，不予审批煤化工、化学合成药以及生物发酵制药、制浆造纸、制革及毛皮鞣制、印染等行业单纯新建和单纯扩大产能的项目；在《大气污染防治重点单元》内的我市全部区域，严格燃煤火电项目审批，不予审批煤化工、冶金、钢铁、铁合金等行业单纯新建和单纯扩大产能的项目；在《重金属污染防控单元》内的新乡县、凤泉区铅镉污染防控区区域内，涉及铅、铬、镉、汞、砷等重金属污染物排放的相关项目以</w:t>
                  </w:r>
                  <w:r>
                    <w:rPr>
                      <w:rFonts w:hint="eastAsia" w:ascii="Times New Roman" w:hAnsi="Times New Roman" w:eastAsia="宋体"/>
                      <w:color w:val="000000" w:themeColor="text1"/>
                      <w:szCs w:val="21"/>
                    </w:rPr>
                    <w:t>“</w:t>
                  </w:r>
                  <w:r>
                    <w:rPr>
                      <w:rFonts w:hint="eastAsia" w:ascii="Times New Roman" w:eastAsia="宋体"/>
                      <w:color w:val="000000" w:themeColor="text1"/>
                      <w:szCs w:val="21"/>
                    </w:rPr>
                    <w:t>减量替代</w:t>
                  </w:r>
                  <w:r>
                    <w:rPr>
                      <w:rFonts w:hint="eastAsia" w:ascii="Times New Roman" w:hAnsi="Times New Roman" w:eastAsia="宋体"/>
                      <w:color w:val="000000" w:themeColor="text1"/>
                      <w:szCs w:val="21"/>
                    </w:rPr>
                    <w:t>”</w:t>
                  </w:r>
                  <w:r>
                    <w:rPr>
                      <w:rFonts w:hint="eastAsia" w:ascii="Times New Roman" w:eastAsia="宋体"/>
                      <w:color w:val="000000" w:themeColor="text1"/>
                      <w:szCs w:val="21"/>
                    </w:rPr>
                    <w:t>为原则，不予审批新增重金属污染物排放的相应项目。（符合省、市重大产业布局的项目除外）</w:t>
                  </w:r>
                </w:p>
              </w:tc>
              <w:tc>
                <w:tcPr>
                  <w:tcW w:w="1137" w:type="pct"/>
                  <w:tcBorders>
                    <w:top w:val="single" w:color="auto" w:sz="4" w:space="0"/>
                    <w:left w:val="single" w:color="auto" w:sz="4" w:space="0"/>
                    <w:bottom w:val="single" w:color="auto" w:sz="8" w:space="0"/>
                    <w:right w:val="single" w:color="auto" w:sz="4" w:space="0"/>
                  </w:tcBorders>
                  <w:vAlign w:val="center"/>
                </w:tcPr>
                <w:p>
                  <w:pPr>
                    <w:adjustRightInd w:val="0"/>
                    <w:snapToGrid w:val="0"/>
                    <w:rPr>
                      <w:rFonts w:ascii="Times New Roman" w:hAnsi="Times New Roman" w:eastAsia="宋体"/>
                      <w:color w:val="000000" w:themeColor="text1"/>
                      <w:szCs w:val="21"/>
                    </w:rPr>
                  </w:pPr>
                  <w:r>
                    <w:rPr>
                      <w:rFonts w:ascii="Times New Roman" w:hAnsi="Times New Roman" w:eastAsia="宋体"/>
                      <w:color w:val="000000" w:themeColor="text1"/>
                      <w:szCs w:val="21"/>
                    </w:rPr>
                    <w:t>1</w:t>
                  </w:r>
                  <w:r>
                    <w:rPr>
                      <w:rFonts w:hint="eastAsia" w:ascii="Times New Roman" w:eastAsia="宋体"/>
                      <w:color w:val="000000" w:themeColor="text1"/>
                      <w:szCs w:val="21"/>
                    </w:rPr>
                    <w:t>、本项目应编制环境影响报告表。</w:t>
                  </w:r>
                </w:p>
                <w:p>
                  <w:pPr>
                    <w:adjustRightInd w:val="0"/>
                    <w:snapToGrid w:val="0"/>
                    <w:rPr>
                      <w:rFonts w:ascii="Times New Roman" w:hAnsi="Times New Roman" w:eastAsia="宋体"/>
                      <w:color w:val="000000" w:themeColor="text1"/>
                      <w:szCs w:val="21"/>
                    </w:rPr>
                  </w:pPr>
                  <w:r>
                    <w:rPr>
                      <w:rFonts w:ascii="Times New Roman" w:hAnsi="Times New Roman" w:eastAsia="宋体"/>
                      <w:color w:val="000000" w:themeColor="text1"/>
                      <w:szCs w:val="21"/>
                    </w:rPr>
                    <w:t>2</w:t>
                  </w:r>
                  <w:r>
                    <w:rPr>
                      <w:rFonts w:hint="eastAsia" w:ascii="Times New Roman" w:eastAsia="宋体"/>
                      <w:color w:val="000000" w:themeColor="text1"/>
                      <w:szCs w:val="21"/>
                    </w:rPr>
                    <w:t>、本项目为塑料制品项目，不在《工业项目分类清单》中。</w:t>
                  </w:r>
                </w:p>
                <w:p>
                  <w:pPr>
                    <w:adjustRightInd w:val="0"/>
                    <w:snapToGrid w:val="0"/>
                    <w:rPr>
                      <w:rFonts w:ascii="Times New Roman" w:hAnsi="Times New Roman" w:eastAsia="宋体"/>
                      <w:color w:val="000000" w:themeColor="text1"/>
                      <w:szCs w:val="21"/>
                    </w:rPr>
                  </w:pPr>
                  <w:r>
                    <w:rPr>
                      <w:rFonts w:ascii="Times New Roman" w:hAnsi="Times New Roman" w:eastAsia="宋体"/>
                      <w:color w:val="000000" w:themeColor="text1"/>
                      <w:szCs w:val="21"/>
                    </w:rPr>
                    <w:t>3</w:t>
                  </w:r>
                  <w:r>
                    <w:rPr>
                      <w:rFonts w:hint="eastAsia" w:ascii="Times New Roman" w:eastAsia="宋体"/>
                      <w:color w:val="000000" w:themeColor="text1"/>
                      <w:szCs w:val="21"/>
                    </w:rPr>
                    <w:t>、本项目所在集聚区规划环评已通过审查。本项目利用原有职工，不新增职工人数，不新增废水。</w:t>
                  </w:r>
                </w:p>
                <w:p>
                  <w:pPr>
                    <w:adjustRightInd w:val="0"/>
                    <w:snapToGrid w:val="0"/>
                    <w:rPr>
                      <w:rFonts w:ascii="Times New Roman" w:hAnsi="Times New Roman" w:eastAsia="宋体"/>
                      <w:color w:val="000000" w:themeColor="text1"/>
                      <w:szCs w:val="21"/>
                    </w:rPr>
                  </w:pPr>
                  <w:r>
                    <w:rPr>
                      <w:rFonts w:ascii="Times New Roman" w:hAnsi="Times New Roman" w:eastAsia="宋体"/>
                      <w:color w:val="000000" w:themeColor="text1"/>
                      <w:szCs w:val="21"/>
                    </w:rPr>
                    <w:t>4</w:t>
                  </w:r>
                  <w:r>
                    <w:rPr>
                      <w:rFonts w:hint="eastAsia" w:ascii="Times New Roman" w:eastAsia="宋体"/>
                      <w:color w:val="000000" w:themeColor="text1"/>
                      <w:szCs w:val="21"/>
                    </w:rPr>
                    <w:t>、本项目为塑料制品项目，不属于煤化工、化学合成药以及生物发酵制药、制浆造纸、制革及毛皮鞣制、印染等行业单纯新建和单纯扩大产能的项目；不属于煤化工、冶金、钢铁、铁合金等行业单纯新建和单纯扩大产能的项目；不涉及铅、铬、镉、汞、砷等重金属污染物排放。</w:t>
                  </w:r>
                </w:p>
              </w:tc>
              <w:tc>
                <w:tcPr>
                  <w:tcW w:w="534" w:type="pct"/>
                  <w:tcBorders>
                    <w:top w:val="single" w:color="auto" w:sz="4" w:space="0"/>
                    <w:left w:val="single" w:color="auto" w:sz="4" w:space="0"/>
                    <w:bottom w:val="single" w:color="auto" w:sz="8" w:space="0"/>
                    <w:right w:val="nil"/>
                  </w:tcBorders>
                  <w:vAlign w:val="center"/>
                </w:tcPr>
                <w:p>
                  <w:pPr>
                    <w:adjustRightInd w:val="0"/>
                    <w:snapToGrid w:val="0"/>
                    <w:jc w:val="center"/>
                    <w:rPr>
                      <w:rFonts w:ascii="Times New Roman" w:hAnsi="Times New Roman" w:eastAsia="宋体"/>
                      <w:color w:val="000000" w:themeColor="text1"/>
                      <w:szCs w:val="21"/>
                    </w:rPr>
                  </w:pPr>
                  <w:r>
                    <w:rPr>
                      <w:rFonts w:hint="eastAsia" w:ascii="Times New Roman" w:eastAsia="宋体"/>
                      <w:color w:val="000000" w:themeColor="text1"/>
                      <w:szCs w:val="21"/>
                    </w:rPr>
                    <w:t>符合环境准入条件</w:t>
                  </w:r>
                </w:p>
              </w:tc>
            </w:tr>
          </w:tbl>
          <w:p>
            <w:pPr>
              <w:pStyle w:val="127"/>
              <w:adjustRightInd w:val="0"/>
              <w:snapToGrid w:val="0"/>
              <w:spacing w:line="440" w:lineRule="exact"/>
              <w:ind w:firstLine="480" w:firstLineChars="200"/>
              <w:rPr>
                <w:rFonts w:ascii="Times New Roman" w:hAnsi="Times New Roman" w:eastAsia="宋体"/>
                <w:color w:val="000000" w:themeColor="text1"/>
                <w:sz w:val="24"/>
              </w:rPr>
            </w:pPr>
            <w:r>
              <w:rPr>
                <w:rFonts w:ascii="Times New Roman" w:hAnsi="Times New Roman" w:eastAsia="宋体"/>
                <w:color w:val="000000" w:themeColor="text1"/>
                <w:sz w:val="24"/>
              </w:rPr>
              <w:t>由表9可知，本项目不属于《通知》中所列不予审批的项目，符合审批条件。</w:t>
            </w:r>
          </w:p>
          <w:p>
            <w:pPr>
              <w:spacing w:line="440" w:lineRule="exact"/>
              <w:ind w:firstLine="472" w:firstLineChars="196"/>
              <w:rPr>
                <w:rFonts w:ascii="Times New Roman" w:hAnsi="Times New Roman" w:eastAsia="宋体"/>
                <w:b/>
                <w:bCs/>
                <w:color w:val="000000" w:themeColor="text1"/>
                <w:sz w:val="24"/>
              </w:rPr>
            </w:pPr>
            <w:r>
              <w:rPr>
                <w:rFonts w:ascii="Times New Roman" w:hAnsi="Times New Roman" w:eastAsia="宋体"/>
                <w:b/>
                <w:bCs/>
                <w:color w:val="000000" w:themeColor="text1"/>
                <w:sz w:val="24"/>
              </w:rPr>
              <w:t>9、与相关文件的相符性对照分析</w:t>
            </w:r>
          </w:p>
          <w:p>
            <w:pPr>
              <w:spacing w:line="440" w:lineRule="exact"/>
              <w:ind w:firstLine="480" w:firstLineChars="200"/>
              <w:rPr>
                <w:rFonts w:ascii="Times New Roman" w:hAnsi="Times New Roman" w:eastAsia="宋体"/>
                <w:color w:val="000000" w:themeColor="text1"/>
                <w:sz w:val="24"/>
              </w:rPr>
            </w:pPr>
            <w:r>
              <w:rPr>
                <w:rFonts w:ascii="Times New Roman" w:hAnsi="Times New Roman" w:eastAsia="宋体"/>
                <w:color w:val="000000" w:themeColor="text1"/>
                <w:sz w:val="24"/>
              </w:rPr>
              <w:t>本项目建设与相关文件的对照分析见表</w:t>
            </w:r>
            <w:r>
              <w:rPr>
                <w:rFonts w:hint="eastAsia" w:ascii="Times New Roman" w:hAnsi="Times New Roman" w:eastAsia="宋体"/>
                <w:color w:val="000000" w:themeColor="text1"/>
                <w:sz w:val="24"/>
              </w:rPr>
              <w:t>10</w:t>
            </w:r>
            <w:r>
              <w:rPr>
                <w:rFonts w:ascii="Times New Roman" w:hAnsi="Times New Roman" w:eastAsia="宋体"/>
                <w:color w:val="000000" w:themeColor="text1"/>
                <w:sz w:val="24"/>
              </w:rPr>
              <w:t>。</w:t>
            </w:r>
          </w:p>
          <w:p>
            <w:pPr>
              <w:spacing w:line="440" w:lineRule="exact"/>
              <w:jc w:val="center"/>
              <w:textAlignment w:val="baseline"/>
              <w:rPr>
                <w:rFonts w:ascii="Times New Roman" w:hAnsi="Times New Roman" w:eastAsia="宋体"/>
                <w:b/>
                <w:bCs/>
                <w:color w:val="000000" w:themeColor="text1"/>
                <w:sz w:val="24"/>
              </w:rPr>
            </w:pPr>
            <w:r>
              <w:rPr>
                <w:rFonts w:ascii="Times New Roman" w:hAnsi="Times New Roman" w:eastAsia="宋体"/>
                <w:b/>
                <w:bCs/>
                <w:color w:val="000000" w:themeColor="text1"/>
                <w:sz w:val="24"/>
              </w:rPr>
              <w:t>表1</w:t>
            </w:r>
            <w:r>
              <w:rPr>
                <w:rFonts w:hint="eastAsia" w:ascii="Times New Roman" w:hAnsi="Times New Roman" w:eastAsia="宋体"/>
                <w:b/>
                <w:bCs/>
                <w:color w:val="000000" w:themeColor="text1"/>
                <w:sz w:val="24"/>
              </w:rPr>
              <w:t>0</w:t>
            </w:r>
            <w:r>
              <w:rPr>
                <w:rFonts w:ascii="Times New Roman" w:hAnsi="Times New Roman" w:eastAsia="宋体"/>
                <w:b/>
                <w:bCs/>
                <w:color w:val="000000" w:themeColor="text1"/>
                <w:sz w:val="24"/>
              </w:rPr>
              <w:t xml:space="preserve">    本项目与相关文件的相符性对照分析一览表</w:t>
            </w:r>
          </w:p>
          <w:tbl>
            <w:tblPr>
              <w:tblStyle w:val="24"/>
              <w:tblW w:w="907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1"/>
              <w:gridCol w:w="4268"/>
              <w:gridCol w:w="2673"/>
              <w:gridCol w:w="5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4" w:type="pct"/>
                  <w:tcBorders>
                    <w:top w:val="single" w:color="auto" w:sz="8" w:space="0"/>
                    <w:left w:val="nil"/>
                    <w:bottom w:val="single" w:color="auto" w:sz="8" w:space="0"/>
                    <w:right w:val="single" w:color="auto" w:sz="4" w:space="0"/>
                  </w:tcBorders>
                  <w:vAlign w:val="center"/>
                </w:tcPr>
                <w:p>
                  <w:pPr>
                    <w:adjustRightInd w:val="0"/>
                    <w:snapToGrid w:val="0"/>
                    <w:jc w:val="center"/>
                    <w:rPr>
                      <w:rFonts w:ascii="Times New Roman" w:hAnsi="Times New Roman" w:eastAsia="宋体"/>
                      <w:b/>
                      <w:color w:val="000000" w:themeColor="text1"/>
                      <w:szCs w:val="21"/>
                    </w:rPr>
                  </w:pPr>
                  <w:r>
                    <w:rPr>
                      <w:rFonts w:hint="eastAsia" w:ascii="Times New Roman" w:eastAsia="宋体"/>
                      <w:b/>
                      <w:color w:val="000000" w:themeColor="text1"/>
                      <w:szCs w:val="21"/>
                    </w:rPr>
                    <w:t>文件名称</w:t>
                  </w:r>
                </w:p>
              </w:tc>
              <w:tc>
                <w:tcPr>
                  <w:tcW w:w="2422" w:type="pct"/>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ascii="Times New Roman" w:hAnsi="Times New Roman" w:eastAsia="宋体"/>
                      <w:b/>
                      <w:color w:val="000000" w:themeColor="text1"/>
                      <w:szCs w:val="21"/>
                    </w:rPr>
                  </w:pPr>
                  <w:r>
                    <w:rPr>
                      <w:rFonts w:hint="eastAsia" w:ascii="Times New Roman" w:eastAsia="宋体"/>
                      <w:b/>
                      <w:color w:val="000000" w:themeColor="text1"/>
                      <w:szCs w:val="21"/>
                    </w:rPr>
                    <w:t>与本项目相关条文</w:t>
                  </w:r>
                </w:p>
              </w:tc>
              <w:tc>
                <w:tcPr>
                  <w:tcW w:w="1542" w:type="pct"/>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ascii="Times New Roman" w:hAnsi="Times New Roman" w:eastAsia="宋体"/>
                      <w:b/>
                      <w:color w:val="000000" w:themeColor="text1"/>
                      <w:szCs w:val="21"/>
                    </w:rPr>
                  </w:pPr>
                  <w:r>
                    <w:rPr>
                      <w:rFonts w:hint="eastAsia" w:ascii="Times New Roman" w:eastAsia="宋体"/>
                      <w:b/>
                      <w:color w:val="000000" w:themeColor="text1"/>
                      <w:szCs w:val="21"/>
                    </w:rPr>
                    <w:t>本项目情况</w:t>
                  </w:r>
                </w:p>
              </w:tc>
              <w:tc>
                <w:tcPr>
                  <w:tcW w:w="372" w:type="pct"/>
                  <w:tcBorders>
                    <w:top w:val="single" w:color="auto" w:sz="8" w:space="0"/>
                    <w:left w:val="single" w:color="auto" w:sz="4" w:space="0"/>
                    <w:bottom w:val="single" w:color="auto" w:sz="8" w:space="0"/>
                    <w:right w:val="nil"/>
                  </w:tcBorders>
                  <w:vAlign w:val="center"/>
                </w:tcPr>
                <w:p>
                  <w:pPr>
                    <w:adjustRightInd w:val="0"/>
                    <w:snapToGrid w:val="0"/>
                    <w:jc w:val="center"/>
                    <w:rPr>
                      <w:rFonts w:ascii="Times New Roman" w:hAnsi="Times New Roman" w:eastAsia="宋体"/>
                      <w:b/>
                      <w:color w:val="000000" w:themeColor="text1"/>
                      <w:szCs w:val="21"/>
                    </w:rPr>
                  </w:pPr>
                  <w:r>
                    <w:rPr>
                      <w:rFonts w:hint="eastAsia" w:ascii="Times New Roman" w:eastAsia="宋体"/>
                      <w:b/>
                      <w:color w:val="000000" w:themeColor="text1"/>
                      <w:szCs w:val="21"/>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4" w:type="pct"/>
                  <w:tcBorders>
                    <w:top w:val="single" w:color="auto" w:sz="8" w:space="0"/>
                    <w:left w:val="nil"/>
                    <w:bottom w:val="single" w:color="auto" w:sz="4" w:space="0"/>
                    <w:right w:val="single" w:color="auto" w:sz="4" w:space="0"/>
                  </w:tcBorders>
                  <w:vAlign w:val="center"/>
                </w:tcPr>
                <w:p>
                  <w:pPr>
                    <w:autoSpaceDE w:val="0"/>
                    <w:autoSpaceDN w:val="0"/>
                    <w:adjustRightInd w:val="0"/>
                    <w:snapToGrid w:val="0"/>
                    <w:rPr>
                      <w:rFonts w:ascii="Times New Roman" w:hAnsi="Times New Roman" w:eastAsia="宋体"/>
                      <w:color w:val="000000" w:themeColor="text1"/>
                      <w:szCs w:val="21"/>
                    </w:rPr>
                  </w:pPr>
                  <w:r>
                    <w:rPr>
                      <w:rFonts w:hint="eastAsia" w:ascii="Times New Roman" w:eastAsia="宋体"/>
                      <w:color w:val="000000" w:themeColor="text1"/>
                      <w:szCs w:val="21"/>
                    </w:rPr>
                    <w:t>关于印发《</w:t>
                  </w:r>
                  <w:r>
                    <w:rPr>
                      <w:rFonts w:hint="eastAsia" w:ascii="Times New Roman" w:hAnsi="Times New Roman" w:eastAsia="宋体"/>
                      <w:color w:val="000000" w:themeColor="text1"/>
                      <w:szCs w:val="21"/>
                    </w:rPr>
                    <w:t>“</w:t>
                  </w:r>
                  <w:r>
                    <w:rPr>
                      <w:rFonts w:hint="eastAsia" w:ascii="Times New Roman" w:eastAsia="宋体"/>
                      <w:color w:val="000000" w:themeColor="text1"/>
                      <w:szCs w:val="21"/>
                    </w:rPr>
                    <w:t>十三五</w:t>
                  </w:r>
                  <w:r>
                    <w:rPr>
                      <w:rFonts w:hint="eastAsia" w:ascii="Times New Roman" w:hAnsi="Times New Roman" w:eastAsia="宋体"/>
                      <w:color w:val="000000" w:themeColor="text1"/>
                      <w:szCs w:val="21"/>
                    </w:rPr>
                    <w:t>”</w:t>
                  </w:r>
                  <w:r>
                    <w:rPr>
                      <w:rFonts w:hint="eastAsia" w:ascii="Times New Roman" w:eastAsia="宋体"/>
                      <w:color w:val="000000" w:themeColor="text1"/>
                      <w:szCs w:val="21"/>
                    </w:rPr>
                    <w:t>挥发性有机物污染防治工作方案》的通知（环大气</w:t>
                  </w:r>
                  <w:r>
                    <w:rPr>
                      <w:rFonts w:ascii="Times New Roman" w:hAnsi="Times New Roman" w:eastAsia="宋体"/>
                      <w:color w:val="000000" w:themeColor="text1"/>
                      <w:szCs w:val="21"/>
                    </w:rPr>
                    <w:t>[2017]121</w:t>
                  </w:r>
                  <w:r>
                    <w:rPr>
                      <w:rFonts w:hint="eastAsia" w:ascii="Times New Roman" w:eastAsia="宋体"/>
                      <w:color w:val="000000" w:themeColor="text1"/>
                      <w:szCs w:val="21"/>
                    </w:rPr>
                    <w:t>号）</w:t>
                  </w:r>
                </w:p>
              </w:tc>
              <w:tc>
                <w:tcPr>
                  <w:tcW w:w="2422" w:type="pct"/>
                  <w:tcBorders>
                    <w:top w:val="single" w:color="auto" w:sz="8" w:space="0"/>
                    <w:left w:val="single" w:color="auto" w:sz="4" w:space="0"/>
                    <w:bottom w:val="single" w:color="auto" w:sz="4" w:space="0"/>
                    <w:right w:val="single" w:color="auto" w:sz="4" w:space="0"/>
                  </w:tcBorders>
                  <w:vAlign w:val="center"/>
                </w:tcPr>
                <w:p>
                  <w:pPr>
                    <w:autoSpaceDE w:val="0"/>
                    <w:autoSpaceDN w:val="0"/>
                    <w:adjustRightInd w:val="0"/>
                    <w:snapToGrid w:val="0"/>
                    <w:ind w:firstLine="420" w:firstLineChars="200"/>
                    <w:rPr>
                      <w:rFonts w:ascii="Times New Roman" w:hAnsi="Times New Roman" w:eastAsia="宋体"/>
                      <w:color w:val="000000" w:themeColor="text1"/>
                      <w:szCs w:val="21"/>
                    </w:rPr>
                  </w:pPr>
                  <w:r>
                    <w:rPr>
                      <w:rFonts w:hint="eastAsia" w:ascii="Times New Roman" w:eastAsia="宋体"/>
                      <w:color w:val="000000" w:themeColor="text1"/>
                      <w:szCs w:val="21"/>
                    </w:rPr>
                    <w:t>（一）加大产业结构调整力度。</w:t>
                  </w:r>
                </w:p>
                <w:p>
                  <w:pPr>
                    <w:autoSpaceDE w:val="0"/>
                    <w:autoSpaceDN w:val="0"/>
                    <w:adjustRightInd w:val="0"/>
                    <w:snapToGrid w:val="0"/>
                    <w:ind w:firstLine="420" w:firstLineChars="200"/>
                    <w:rPr>
                      <w:rFonts w:ascii="Times New Roman" w:hAnsi="Times New Roman" w:eastAsia="宋体"/>
                      <w:color w:val="000000" w:themeColor="text1"/>
                      <w:szCs w:val="21"/>
                    </w:rPr>
                  </w:pPr>
                  <w:r>
                    <w:rPr>
                      <w:rFonts w:ascii="Times New Roman" w:hAnsi="Times New Roman" w:eastAsia="宋体"/>
                      <w:color w:val="000000" w:themeColor="text1"/>
                      <w:szCs w:val="21"/>
                    </w:rPr>
                    <w:t>2.</w:t>
                  </w:r>
                  <w:r>
                    <w:rPr>
                      <w:rFonts w:hint="eastAsia" w:ascii="Times New Roman" w:eastAsia="宋体"/>
                      <w:color w:val="000000" w:themeColor="text1"/>
                      <w:szCs w:val="21"/>
                    </w:rPr>
                    <w:t>严格建设项目环境准入。提高</w:t>
                  </w:r>
                  <w:r>
                    <w:rPr>
                      <w:rFonts w:ascii="Times New Roman" w:hAnsi="Times New Roman" w:eastAsia="宋体"/>
                      <w:color w:val="000000" w:themeColor="text1"/>
                      <w:szCs w:val="21"/>
                    </w:rPr>
                    <w:t>VOCs</w:t>
                  </w:r>
                  <w:r>
                    <w:rPr>
                      <w:rFonts w:hint="eastAsia" w:ascii="Times New Roman" w:eastAsia="宋体"/>
                      <w:color w:val="000000" w:themeColor="text1"/>
                      <w:szCs w:val="21"/>
                    </w:rPr>
                    <w:t>排放重点行业环保准入门槛，严格控制新增污染物排放量。重点地区要严格限制石化、化工、包装印刷、工业涂装等高</w:t>
                  </w:r>
                  <w:r>
                    <w:rPr>
                      <w:rFonts w:ascii="Times New Roman" w:hAnsi="Times New Roman" w:eastAsia="宋体"/>
                      <w:color w:val="000000" w:themeColor="text1"/>
                      <w:szCs w:val="21"/>
                    </w:rPr>
                    <w:t>VOCs</w:t>
                  </w:r>
                  <w:r>
                    <w:rPr>
                      <w:rFonts w:hint="eastAsia" w:ascii="Times New Roman" w:eastAsia="宋体"/>
                      <w:color w:val="000000" w:themeColor="text1"/>
                      <w:szCs w:val="21"/>
                    </w:rPr>
                    <w:t>排放建设项目。新建涉</w:t>
                  </w:r>
                  <w:r>
                    <w:rPr>
                      <w:rFonts w:ascii="Times New Roman" w:hAnsi="Times New Roman" w:eastAsia="宋体"/>
                      <w:color w:val="000000" w:themeColor="text1"/>
                      <w:szCs w:val="21"/>
                    </w:rPr>
                    <w:t>VOCs</w:t>
                  </w:r>
                  <w:r>
                    <w:rPr>
                      <w:rFonts w:hint="eastAsia" w:ascii="Times New Roman" w:eastAsia="宋体"/>
                      <w:color w:val="000000" w:themeColor="text1"/>
                      <w:szCs w:val="21"/>
                    </w:rPr>
                    <w:t>排放的工业企业要入园区。未纳入《石化产业规划布局方案》的新建炼化项目一律不得建设。严格涉</w:t>
                  </w:r>
                  <w:r>
                    <w:rPr>
                      <w:rFonts w:ascii="Times New Roman" w:hAnsi="Times New Roman" w:eastAsia="宋体"/>
                      <w:color w:val="000000" w:themeColor="text1"/>
                      <w:szCs w:val="21"/>
                    </w:rPr>
                    <w:t>VOCs</w:t>
                  </w:r>
                  <w:r>
                    <w:rPr>
                      <w:rFonts w:hint="eastAsia" w:ascii="Times New Roman" w:eastAsia="宋体"/>
                      <w:color w:val="000000" w:themeColor="text1"/>
                      <w:szCs w:val="21"/>
                    </w:rPr>
                    <w:t>建设项目环境影响评价，实行区域内</w:t>
                  </w:r>
                  <w:r>
                    <w:rPr>
                      <w:rFonts w:ascii="Times New Roman" w:hAnsi="Times New Roman" w:eastAsia="宋体"/>
                      <w:color w:val="000000" w:themeColor="text1"/>
                      <w:szCs w:val="21"/>
                    </w:rPr>
                    <w:t>VOCs</w:t>
                  </w:r>
                  <w:r>
                    <w:rPr>
                      <w:rFonts w:hint="eastAsia" w:ascii="Times New Roman" w:eastAsia="宋体"/>
                      <w:color w:val="000000" w:themeColor="text1"/>
                      <w:szCs w:val="21"/>
                    </w:rPr>
                    <w:t>排放等量或倍量削减替代，并将替代方案落实到企业排污许可证中，纳入环境执法管理。新、改、扩建涉</w:t>
                  </w:r>
                  <w:r>
                    <w:rPr>
                      <w:rFonts w:ascii="Times New Roman" w:hAnsi="Times New Roman" w:eastAsia="宋体"/>
                      <w:color w:val="000000" w:themeColor="text1"/>
                      <w:szCs w:val="21"/>
                    </w:rPr>
                    <w:t>VOCs</w:t>
                  </w:r>
                  <w:r>
                    <w:rPr>
                      <w:rFonts w:hint="eastAsia" w:ascii="Times New Roman" w:eastAsia="宋体"/>
                      <w:color w:val="000000" w:themeColor="text1"/>
                      <w:szCs w:val="21"/>
                    </w:rPr>
                    <w:t>排放项目，应从源头加强控制，使用低（无）</w:t>
                  </w:r>
                  <w:r>
                    <w:rPr>
                      <w:rFonts w:ascii="Times New Roman" w:hAnsi="Times New Roman" w:eastAsia="宋体"/>
                      <w:color w:val="000000" w:themeColor="text1"/>
                      <w:szCs w:val="21"/>
                    </w:rPr>
                    <w:t>VOCs</w:t>
                  </w:r>
                  <w:r>
                    <w:rPr>
                      <w:rFonts w:hint="eastAsia" w:ascii="Times New Roman" w:eastAsia="宋体"/>
                      <w:color w:val="000000" w:themeColor="text1"/>
                      <w:szCs w:val="21"/>
                    </w:rPr>
                    <w:t>含量的原辅材料，加强废气收集，安装高效治理设施。</w:t>
                  </w:r>
                </w:p>
                <w:p>
                  <w:pPr>
                    <w:autoSpaceDE w:val="0"/>
                    <w:autoSpaceDN w:val="0"/>
                    <w:adjustRightInd w:val="0"/>
                    <w:snapToGrid w:val="0"/>
                    <w:ind w:firstLine="420" w:firstLineChars="200"/>
                    <w:rPr>
                      <w:rFonts w:ascii="Times New Roman" w:hAnsi="Times New Roman" w:eastAsia="宋体"/>
                      <w:color w:val="000000" w:themeColor="text1"/>
                      <w:szCs w:val="21"/>
                    </w:rPr>
                  </w:pPr>
                  <w:r>
                    <w:rPr>
                      <w:rFonts w:hint="eastAsia" w:ascii="Times New Roman" w:eastAsia="宋体"/>
                      <w:color w:val="000000" w:themeColor="text1"/>
                      <w:szCs w:val="21"/>
                    </w:rPr>
                    <w:t>（二）加快实施工业源</w:t>
                  </w:r>
                  <w:r>
                    <w:rPr>
                      <w:rFonts w:hint="eastAsia" w:ascii="Times New Roman" w:hAnsi="Times New Roman" w:eastAsia="宋体"/>
                      <w:color w:val="000000" w:themeColor="text1"/>
                      <w:szCs w:val="21"/>
                    </w:rPr>
                    <w:t>VOCs</w:t>
                  </w:r>
                  <w:r>
                    <w:rPr>
                      <w:rFonts w:hint="eastAsia" w:ascii="Times New Roman" w:eastAsia="宋体"/>
                      <w:color w:val="000000" w:themeColor="text1"/>
                      <w:szCs w:val="21"/>
                    </w:rPr>
                    <w:t>污染防治。</w:t>
                  </w:r>
                </w:p>
                <w:p>
                  <w:pPr>
                    <w:autoSpaceDE w:val="0"/>
                    <w:autoSpaceDN w:val="0"/>
                    <w:adjustRightInd w:val="0"/>
                    <w:snapToGrid w:val="0"/>
                    <w:ind w:firstLine="420" w:firstLineChars="200"/>
                    <w:rPr>
                      <w:rFonts w:ascii="Times New Roman" w:hAnsi="Times New Roman" w:eastAsia="宋体"/>
                      <w:color w:val="000000" w:themeColor="text1"/>
                      <w:szCs w:val="21"/>
                    </w:rPr>
                  </w:pPr>
                  <w:r>
                    <w:rPr>
                      <w:rFonts w:hint="eastAsia" w:ascii="Times New Roman" w:hAnsi="Times New Roman" w:eastAsia="宋体"/>
                      <w:color w:val="000000" w:themeColor="text1"/>
                      <w:szCs w:val="21"/>
                    </w:rPr>
                    <w:t>5.</w:t>
                  </w:r>
                  <w:r>
                    <w:rPr>
                      <w:rFonts w:hint="eastAsia" w:ascii="Times New Roman" w:hAnsi="Times New Roman" w:eastAsia="宋体"/>
                      <w:color w:val="000000" w:themeColor="text1"/>
                    </w:rPr>
                    <w:t xml:space="preserve"> </w:t>
                  </w:r>
                  <w:r>
                    <w:rPr>
                      <w:rFonts w:hint="eastAsia" w:ascii="Times New Roman" w:eastAsia="宋体"/>
                      <w:color w:val="000000" w:themeColor="text1"/>
                      <w:szCs w:val="21"/>
                    </w:rPr>
                    <w:t>因地制宜推进其他工业行业</w:t>
                  </w:r>
                  <w:r>
                    <w:rPr>
                      <w:rFonts w:hint="eastAsia" w:ascii="Times New Roman" w:hAnsi="Times New Roman" w:eastAsia="宋体"/>
                      <w:color w:val="000000" w:themeColor="text1"/>
                      <w:szCs w:val="21"/>
                    </w:rPr>
                    <w:t>VOCs</w:t>
                  </w:r>
                  <w:r>
                    <w:rPr>
                      <w:rFonts w:hint="eastAsia" w:ascii="Times New Roman" w:eastAsia="宋体"/>
                      <w:color w:val="000000" w:themeColor="text1"/>
                      <w:szCs w:val="21"/>
                    </w:rPr>
                    <w:t>综合治理。各地应结合本地产业结构特征和</w:t>
                  </w:r>
                  <w:r>
                    <w:rPr>
                      <w:rFonts w:hint="eastAsia" w:ascii="Times New Roman" w:hAnsi="Times New Roman" w:eastAsia="宋体"/>
                      <w:color w:val="000000" w:themeColor="text1"/>
                      <w:szCs w:val="21"/>
                    </w:rPr>
                    <w:t>VOCs</w:t>
                  </w:r>
                  <w:r>
                    <w:rPr>
                      <w:rFonts w:hint="eastAsia" w:ascii="Times New Roman" w:eastAsia="宋体"/>
                      <w:color w:val="000000" w:themeColor="text1"/>
                      <w:szCs w:val="21"/>
                    </w:rPr>
                    <w:t>治理重点，因地制宜选择其他工业行业开展</w:t>
                  </w:r>
                  <w:r>
                    <w:rPr>
                      <w:rFonts w:hint="eastAsia" w:ascii="Times New Roman" w:hAnsi="Times New Roman" w:eastAsia="宋体"/>
                      <w:color w:val="000000" w:themeColor="text1"/>
                      <w:szCs w:val="21"/>
                    </w:rPr>
                    <w:t>VOCs</w:t>
                  </w:r>
                  <w:r>
                    <w:rPr>
                      <w:rFonts w:hint="eastAsia" w:ascii="Times New Roman" w:eastAsia="宋体"/>
                      <w:color w:val="000000" w:themeColor="text1"/>
                      <w:szCs w:val="21"/>
                    </w:rPr>
                    <w:t>治理。电子行业应重点加强溶剂清洗、光刻、涂胶、涂装等工序</w:t>
                  </w:r>
                  <w:r>
                    <w:rPr>
                      <w:rFonts w:hint="eastAsia" w:ascii="Times New Roman" w:hAnsi="Times New Roman" w:eastAsia="宋体"/>
                      <w:color w:val="000000" w:themeColor="text1"/>
                      <w:szCs w:val="21"/>
                    </w:rPr>
                    <w:t>VOCs</w:t>
                  </w:r>
                  <w:r>
                    <w:rPr>
                      <w:rFonts w:hint="eastAsia" w:ascii="Times New Roman" w:eastAsia="宋体"/>
                      <w:color w:val="000000" w:themeColor="text1"/>
                      <w:szCs w:val="21"/>
                    </w:rPr>
                    <w:t>排放控制；制鞋行业应重点加强鞋面拼接、成型，组底、喷漆、发泡、注塑、印刷、清洗等工序</w:t>
                  </w:r>
                  <w:r>
                    <w:rPr>
                      <w:rFonts w:hint="eastAsia" w:ascii="Times New Roman" w:hAnsi="Times New Roman" w:eastAsia="宋体"/>
                      <w:color w:val="000000" w:themeColor="text1"/>
                      <w:szCs w:val="21"/>
                    </w:rPr>
                    <w:t>VOCs</w:t>
                  </w:r>
                  <w:r>
                    <w:rPr>
                      <w:rFonts w:hint="eastAsia" w:ascii="Times New Roman" w:eastAsia="宋体"/>
                      <w:color w:val="000000" w:themeColor="text1"/>
                      <w:szCs w:val="21"/>
                    </w:rPr>
                    <w:t>排放治理；木材加工行业应重点加强干燥、涂胶、热压过程</w:t>
                  </w:r>
                  <w:r>
                    <w:rPr>
                      <w:rFonts w:hint="eastAsia" w:ascii="Times New Roman" w:hAnsi="Times New Roman" w:eastAsia="宋体"/>
                      <w:color w:val="000000" w:themeColor="text1"/>
                      <w:szCs w:val="21"/>
                    </w:rPr>
                    <w:t>VOCs</w:t>
                  </w:r>
                  <w:r>
                    <w:rPr>
                      <w:rFonts w:hint="eastAsia" w:ascii="Times New Roman" w:eastAsia="宋体"/>
                      <w:color w:val="000000" w:themeColor="text1"/>
                      <w:szCs w:val="21"/>
                    </w:rPr>
                    <w:t>排放治理。</w:t>
                  </w:r>
                </w:p>
              </w:tc>
              <w:tc>
                <w:tcPr>
                  <w:tcW w:w="1542" w:type="pct"/>
                  <w:tcBorders>
                    <w:top w:val="single" w:color="auto" w:sz="8" w:space="0"/>
                    <w:left w:val="single" w:color="auto" w:sz="4" w:space="0"/>
                    <w:bottom w:val="single" w:color="auto" w:sz="4" w:space="0"/>
                    <w:right w:val="single" w:color="auto" w:sz="4" w:space="0"/>
                  </w:tcBorders>
                  <w:vAlign w:val="center"/>
                </w:tcPr>
                <w:p>
                  <w:pPr>
                    <w:autoSpaceDE w:val="0"/>
                    <w:autoSpaceDN w:val="0"/>
                    <w:adjustRightInd w:val="0"/>
                    <w:snapToGrid w:val="0"/>
                    <w:rPr>
                      <w:rFonts w:ascii="Times New Roman" w:hAnsi="Times New Roman" w:eastAsia="宋体"/>
                      <w:color w:val="000000" w:themeColor="text1"/>
                      <w:szCs w:val="21"/>
                    </w:rPr>
                  </w:pPr>
                  <w:r>
                    <w:rPr>
                      <w:rFonts w:hint="eastAsia" w:ascii="Times New Roman" w:eastAsia="宋体"/>
                      <w:color w:val="000000" w:themeColor="text1"/>
                      <w:szCs w:val="21"/>
                    </w:rPr>
                    <w:t>本项目位于</w:t>
                  </w:r>
                  <w:r>
                    <w:rPr>
                      <w:rFonts w:ascii="Times New Roman" w:hAnsi="Times New Roman" w:eastAsia="宋体"/>
                      <w:bCs/>
                      <w:color w:val="000000" w:themeColor="text1"/>
                      <w:szCs w:val="21"/>
                    </w:rPr>
                    <w:t>新乡市新乡县七里营镇</w:t>
                  </w:r>
                  <w:r>
                    <w:rPr>
                      <w:rFonts w:hint="eastAsia" w:ascii="Times New Roman" w:hAnsi="Times New Roman" w:eastAsia="宋体"/>
                      <w:bCs/>
                      <w:color w:val="000000" w:themeColor="text1"/>
                      <w:szCs w:val="21"/>
                    </w:rPr>
                    <w:t>107国道与胡韦线交叉口中原兴业产业园</w:t>
                  </w:r>
                  <w:r>
                    <w:rPr>
                      <w:rFonts w:hint="eastAsia" w:ascii="Times New Roman" w:eastAsia="宋体"/>
                      <w:color w:val="000000" w:themeColor="text1"/>
                      <w:szCs w:val="21"/>
                    </w:rPr>
                    <w:t>；项目原料主要为</w:t>
                  </w:r>
                  <w:r>
                    <w:rPr>
                      <w:rFonts w:hint="eastAsia" w:ascii="Times New Roman" w:hAnsi="Times New Roman" w:eastAsia="宋体"/>
                      <w:b/>
                      <w:color w:val="000000" w:themeColor="text1"/>
                      <w:u w:val="single"/>
                    </w:rPr>
                    <w:t>塑料皮帘</w:t>
                  </w:r>
                  <w:r>
                    <w:rPr>
                      <w:rFonts w:hint="eastAsia" w:ascii="Times New Roman" w:eastAsia="宋体"/>
                      <w:color w:val="000000" w:themeColor="text1"/>
                      <w:szCs w:val="21"/>
                    </w:rPr>
                    <w:t>、</w:t>
                  </w:r>
                  <w:r>
                    <w:rPr>
                      <w:rFonts w:ascii="Times New Roman" w:hAnsi="Times New Roman" w:eastAsia="宋体"/>
                      <w:color w:val="000000" w:themeColor="text1"/>
                      <w:szCs w:val="21"/>
                    </w:rPr>
                    <w:t>磁条</w:t>
                  </w:r>
                  <w:r>
                    <w:rPr>
                      <w:rFonts w:hint="eastAsia" w:ascii="Times New Roman" w:eastAsia="宋体"/>
                      <w:color w:val="000000" w:themeColor="text1"/>
                      <w:szCs w:val="21"/>
                    </w:rPr>
                    <w:t>和</w:t>
                  </w:r>
                  <w:r>
                    <w:rPr>
                      <w:rFonts w:ascii="Times New Roman" w:hAnsi="Times New Roman" w:eastAsia="宋体"/>
                      <w:color w:val="000000" w:themeColor="text1"/>
                    </w:rPr>
                    <w:t>边条</w:t>
                  </w:r>
                  <w:r>
                    <w:rPr>
                      <w:rFonts w:hint="eastAsia" w:ascii="Times New Roman" w:eastAsia="宋体"/>
                      <w:color w:val="000000" w:themeColor="text1"/>
                      <w:szCs w:val="21"/>
                    </w:rPr>
                    <w:t>，项目压合</w:t>
                  </w:r>
                  <w:r>
                    <w:rPr>
                      <w:rFonts w:ascii="Times New Roman" w:eastAsia="宋体"/>
                      <w:color w:val="000000" w:themeColor="text1"/>
                      <w:szCs w:val="21"/>
                    </w:rPr>
                    <w:t>工序</w:t>
                  </w:r>
                  <w:r>
                    <w:rPr>
                      <w:rFonts w:hint="eastAsia" w:ascii="Times New Roman" w:eastAsia="宋体"/>
                      <w:color w:val="000000" w:themeColor="text1"/>
                      <w:szCs w:val="21"/>
                    </w:rPr>
                    <w:t>会产生有机废气，</w:t>
                  </w:r>
                  <w:r>
                    <w:rPr>
                      <w:rFonts w:hint="eastAsia" w:ascii="Times New Roman" w:eastAsia="宋体"/>
                      <w:bCs/>
                      <w:color w:val="000000" w:themeColor="text1"/>
                      <w:kern w:val="21"/>
                      <w:szCs w:val="21"/>
                    </w:rPr>
                    <w:t>压合工序位于封闭的生产车间内，</w:t>
                  </w:r>
                  <w:r>
                    <w:rPr>
                      <w:rFonts w:hint="eastAsia" w:ascii="Times New Roman" w:hAnsi="宋体" w:eastAsia="宋体"/>
                      <w:bCs/>
                      <w:color w:val="000000" w:themeColor="text1"/>
                      <w:szCs w:val="21"/>
                    </w:rPr>
                    <w:t>高周波塑熔机</w:t>
                  </w:r>
                  <w:r>
                    <w:rPr>
                      <w:rFonts w:hint="eastAsia" w:ascii="Times New Roman" w:eastAsia="宋体"/>
                      <w:color w:val="000000" w:themeColor="text1"/>
                      <w:szCs w:val="21"/>
                    </w:rPr>
                    <w:t>工作平台顶部安装封闭罩，集气装置的进风口和设备顶部封闭罩连接，有机废气经</w:t>
                  </w:r>
                  <w:r>
                    <w:rPr>
                      <w:rFonts w:hint="eastAsia" w:ascii="Times New Roman" w:hAnsi="Times New Roman" w:eastAsia="宋体"/>
                      <w:color w:val="000000" w:themeColor="text1"/>
                      <w:szCs w:val="21"/>
                    </w:rPr>
                    <w:t>封闭集气罩（6个，新建）</w:t>
                  </w:r>
                  <w:r>
                    <w:rPr>
                      <w:rFonts w:hint="eastAsia" w:ascii="Times New Roman" w:eastAsia="宋体"/>
                      <w:color w:val="000000" w:themeColor="text1"/>
                      <w:szCs w:val="21"/>
                    </w:rPr>
                    <w:t>收集后进入</w:t>
                  </w:r>
                  <w:r>
                    <w:rPr>
                      <w:rFonts w:hint="eastAsia" w:ascii="Times New Roman" w:hAnsi="Times New Roman" w:eastAsia="宋体"/>
                      <w:color w:val="000000" w:themeColor="text1"/>
                      <w:szCs w:val="21"/>
                    </w:rPr>
                    <w:t>“</w:t>
                  </w:r>
                  <w:r>
                    <w:rPr>
                      <w:rFonts w:ascii="Times New Roman" w:hAnsi="Times New Roman" w:eastAsia="宋体"/>
                      <w:color w:val="000000" w:themeColor="text1"/>
                      <w:szCs w:val="21"/>
                    </w:rPr>
                    <w:t>UV光催化氧化</w:t>
                  </w:r>
                  <w:r>
                    <w:rPr>
                      <w:rFonts w:hint="eastAsia" w:ascii="Times New Roman" w:hAnsi="Times New Roman" w:eastAsia="宋体"/>
                      <w:color w:val="000000" w:themeColor="text1"/>
                      <w:szCs w:val="21"/>
                    </w:rPr>
                    <w:t>（原有）</w:t>
                  </w:r>
                  <w:r>
                    <w:rPr>
                      <w:rFonts w:ascii="Times New Roman" w:hAnsi="Times New Roman" w:eastAsia="宋体"/>
                      <w:color w:val="000000" w:themeColor="text1"/>
                      <w:szCs w:val="21"/>
                    </w:rPr>
                    <w:t>+活性炭吸附</w:t>
                  </w:r>
                  <w:r>
                    <w:rPr>
                      <w:rFonts w:hint="eastAsia" w:ascii="Times New Roman" w:hAnsi="Times New Roman" w:eastAsia="宋体"/>
                      <w:color w:val="000000" w:themeColor="text1"/>
                      <w:szCs w:val="21"/>
                    </w:rPr>
                    <w:t>（原有）+油烟净化器（原有）+水喷淋（整改新建）”装置</w:t>
                  </w:r>
                  <w:r>
                    <w:rPr>
                      <w:rFonts w:hint="eastAsia" w:ascii="Times New Roman" w:eastAsia="宋体"/>
                      <w:color w:val="000000" w:themeColor="text1"/>
                      <w:szCs w:val="21"/>
                    </w:rPr>
                    <w:t>进行处理，处理效率达</w:t>
                  </w:r>
                  <w:r>
                    <w:rPr>
                      <w:rFonts w:hint="eastAsia" w:ascii="Times New Roman" w:hAnsi="Times New Roman" w:eastAsia="宋体"/>
                      <w:color w:val="000000" w:themeColor="text1"/>
                      <w:szCs w:val="21"/>
                    </w:rPr>
                    <w:t>80</w:t>
                  </w:r>
                  <w:r>
                    <w:rPr>
                      <w:rFonts w:ascii="Times New Roman" w:hAnsi="Times New Roman" w:eastAsia="宋体"/>
                      <w:color w:val="000000" w:themeColor="text1"/>
                      <w:szCs w:val="21"/>
                    </w:rPr>
                    <w:t>%</w:t>
                  </w:r>
                  <w:r>
                    <w:rPr>
                      <w:rFonts w:hint="eastAsia" w:ascii="Times New Roman" w:eastAsia="宋体"/>
                      <w:color w:val="000000" w:themeColor="text1"/>
                      <w:szCs w:val="21"/>
                    </w:rPr>
                    <w:t>。</w:t>
                  </w:r>
                </w:p>
              </w:tc>
              <w:tc>
                <w:tcPr>
                  <w:tcW w:w="372" w:type="pct"/>
                  <w:tcBorders>
                    <w:top w:val="single" w:color="auto" w:sz="8"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hint="eastAsia" w:ascii="Times New Roman" w:eastAsia="宋体"/>
                      <w:color w:val="000000" w:themeColor="text1"/>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4" w:type="pct"/>
                  <w:tcBorders>
                    <w:top w:val="single" w:color="auto" w:sz="4" w:space="0"/>
                    <w:left w:val="nil"/>
                    <w:bottom w:val="single" w:color="auto" w:sz="4" w:space="0"/>
                    <w:right w:val="single" w:color="auto" w:sz="4" w:space="0"/>
                  </w:tcBorders>
                  <w:vAlign w:val="center"/>
                </w:tcPr>
                <w:p>
                  <w:pPr>
                    <w:adjustRightInd w:val="0"/>
                    <w:snapToGrid w:val="0"/>
                    <w:rPr>
                      <w:rFonts w:ascii="Times New Roman" w:hAnsi="Times New Roman" w:eastAsia="宋体"/>
                      <w:color w:val="000000" w:themeColor="text1"/>
                      <w:kern w:val="0"/>
                      <w:szCs w:val="21"/>
                    </w:rPr>
                  </w:pPr>
                  <w:r>
                    <w:rPr>
                      <w:rFonts w:hint="eastAsia" w:ascii="Times New Roman" w:eastAsia="宋体"/>
                      <w:color w:val="000000" w:themeColor="text1"/>
                      <w:szCs w:val="21"/>
                    </w:rPr>
                    <w:t>《新乡市环境污染防治攻坚战三年行动实施方案（</w:t>
                  </w:r>
                  <w:r>
                    <w:rPr>
                      <w:rFonts w:ascii="Times New Roman" w:hAnsi="Times New Roman" w:eastAsia="宋体"/>
                      <w:color w:val="000000" w:themeColor="text1"/>
                      <w:szCs w:val="21"/>
                    </w:rPr>
                    <w:t>2018</w:t>
                  </w:r>
                  <w:r>
                    <w:rPr>
                      <w:rFonts w:hint="eastAsia" w:ascii="Times New Roman" w:hAnsi="Times New Roman" w:eastAsia="宋体"/>
                      <w:color w:val="000000" w:themeColor="text1"/>
                      <w:szCs w:val="21"/>
                    </w:rPr>
                    <w:t>—</w:t>
                  </w:r>
                  <w:r>
                    <w:rPr>
                      <w:rFonts w:ascii="Times New Roman" w:hAnsi="Times New Roman" w:eastAsia="宋体"/>
                      <w:color w:val="000000" w:themeColor="text1"/>
                      <w:szCs w:val="21"/>
                    </w:rPr>
                    <w:t>2020</w:t>
                  </w:r>
                  <w:r>
                    <w:rPr>
                      <w:rFonts w:hint="eastAsia" w:ascii="Times New Roman" w:eastAsia="宋体"/>
                      <w:color w:val="000000" w:themeColor="text1"/>
                      <w:szCs w:val="21"/>
                    </w:rPr>
                    <w:t>年）》</w:t>
                  </w:r>
                </w:p>
              </w:tc>
              <w:tc>
                <w:tcPr>
                  <w:tcW w:w="242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ind w:firstLine="420" w:firstLineChars="200"/>
                    <w:rPr>
                      <w:rFonts w:ascii="Times New Roman" w:hAnsi="Times New Roman" w:eastAsia="宋体"/>
                      <w:color w:val="000000" w:themeColor="text1"/>
                      <w:szCs w:val="21"/>
                    </w:rPr>
                  </w:pPr>
                  <w:r>
                    <w:rPr>
                      <w:rFonts w:ascii="Times New Roman" w:hAnsi="Times New Roman" w:eastAsia="宋体"/>
                      <w:color w:val="000000" w:themeColor="text1"/>
                      <w:szCs w:val="21"/>
                    </w:rPr>
                    <w:t>20.</w:t>
                  </w:r>
                  <w:r>
                    <w:rPr>
                      <w:rFonts w:hint="eastAsia" w:ascii="Times New Roman" w:eastAsia="宋体"/>
                      <w:color w:val="000000" w:themeColor="text1"/>
                      <w:szCs w:val="21"/>
                    </w:rPr>
                    <w:t>加快工业源</w:t>
                  </w:r>
                  <w:r>
                    <w:rPr>
                      <w:rFonts w:ascii="Times New Roman" w:hAnsi="Times New Roman" w:eastAsia="宋体"/>
                      <w:color w:val="000000" w:themeColor="text1"/>
                      <w:szCs w:val="21"/>
                    </w:rPr>
                    <w:t>VOCs</w:t>
                  </w:r>
                  <w:r>
                    <w:rPr>
                      <w:rFonts w:hint="eastAsia" w:ascii="Times New Roman" w:eastAsia="宋体"/>
                      <w:color w:val="000000" w:themeColor="text1"/>
                      <w:szCs w:val="21"/>
                    </w:rPr>
                    <w:t>治理。坚持源头减排、过程控制、末端治理和强化管理相结合的综合防治原则，深入开展工业</w:t>
                  </w:r>
                  <w:r>
                    <w:rPr>
                      <w:rFonts w:ascii="Times New Roman" w:hAnsi="Times New Roman" w:eastAsia="宋体"/>
                      <w:color w:val="000000" w:themeColor="text1"/>
                      <w:szCs w:val="21"/>
                    </w:rPr>
                    <w:t>VOCs</w:t>
                  </w:r>
                  <w:r>
                    <w:rPr>
                      <w:rFonts w:hint="eastAsia" w:ascii="Times New Roman" w:eastAsia="宋体"/>
                      <w:color w:val="000000" w:themeColor="text1"/>
                      <w:szCs w:val="21"/>
                    </w:rPr>
                    <w:t>治理。对</w:t>
                  </w:r>
                  <w:r>
                    <w:rPr>
                      <w:rFonts w:ascii="Times New Roman" w:hAnsi="Times New Roman" w:eastAsia="宋体"/>
                      <w:color w:val="000000" w:themeColor="text1"/>
                      <w:szCs w:val="21"/>
                    </w:rPr>
                    <w:t>VOCs</w:t>
                  </w:r>
                  <w:r>
                    <w:rPr>
                      <w:rFonts w:hint="eastAsia" w:ascii="Times New Roman" w:eastAsia="宋体"/>
                      <w:color w:val="000000" w:themeColor="text1"/>
                      <w:szCs w:val="21"/>
                    </w:rPr>
                    <w:t>废气末端处理工艺进行提升改造，鼓励企业采用多种技术组合工艺，提高</w:t>
                  </w:r>
                  <w:r>
                    <w:rPr>
                      <w:rFonts w:ascii="Times New Roman" w:hAnsi="Times New Roman" w:eastAsia="宋体"/>
                      <w:color w:val="000000" w:themeColor="text1"/>
                      <w:szCs w:val="21"/>
                    </w:rPr>
                    <w:t>VOCs</w:t>
                  </w:r>
                  <w:r>
                    <w:rPr>
                      <w:rFonts w:hint="eastAsia" w:ascii="Times New Roman" w:eastAsia="宋体"/>
                      <w:color w:val="000000" w:themeColor="text1"/>
                      <w:szCs w:val="21"/>
                    </w:rPr>
                    <w:t>治理效率。低温等离子体技术、光催化技术仅适用于处理低浓度有机废气或恶臭气体。采用活性炭吸附技术应配备脱附工艺。</w:t>
                  </w:r>
                </w:p>
              </w:tc>
              <w:tc>
                <w:tcPr>
                  <w:tcW w:w="1542"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eastAsia="宋体"/>
                      <w:color w:val="000000" w:themeColor="text1"/>
                      <w:szCs w:val="21"/>
                    </w:rPr>
                  </w:pPr>
                  <w:r>
                    <w:rPr>
                      <w:rFonts w:hint="eastAsia" w:ascii="Times New Roman" w:eastAsia="宋体"/>
                      <w:color w:val="000000" w:themeColor="text1"/>
                      <w:szCs w:val="21"/>
                    </w:rPr>
                    <w:t>项目</w:t>
                  </w:r>
                  <w:r>
                    <w:rPr>
                      <w:rFonts w:ascii="Times New Roman" w:hAnsi="Times New Roman" w:eastAsia="宋体"/>
                      <w:color w:val="000000" w:themeColor="text1"/>
                      <w:szCs w:val="21"/>
                    </w:rPr>
                    <w:t>压合工序</w:t>
                  </w:r>
                  <w:r>
                    <w:rPr>
                      <w:rFonts w:hint="eastAsia" w:ascii="Times New Roman" w:eastAsia="宋体"/>
                      <w:color w:val="000000" w:themeColor="text1"/>
                      <w:szCs w:val="21"/>
                    </w:rPr>
                    <w:t>设置风机风量为</w:t>
                  </w:r>
                  <w:r>
                    <w:rPr>
                      <w:rFonts w:hint="eastAsia" w:ascii="Times New Roman" w:hAnsi="Times New Roman" w:eastAsia="宋体"/>
                      <w:color w:val="000000" w:themeColor="text1"/>
                      <w:szCs w:val="21"/>
                    </w:rPr>
                    <w:t>2000</w:t>
                  </w:r>
                  <w:r>
                    <w:rPr>
                      <w:rFonts w:ascii="Times New Roman" w:hAnsi="Times New Roman" w:eastAsia="宋体"/>
                      <w:color w:val="000000" w:themeColor="text1"/>
                      <w:szCs w:val="21"/>
                    </w:rPr>
                    <w:t>m</w:t>
                  </w:r>
                  <w:r>
                    <w:rPr>
                      <w:rFonts w:ascii="Times New Roman" w:hAnsi="Times New Roman" w:eastAsia="宋体"/>
                      <w:color w:val="000000" w:themeColor="text1"/>
                      <w:szCs w:val="21"/>
                      <w:vertAlign w:val="superscript"/>
                    </w:rPr>
                    <w:t>3</w:t>
                  </w:r>
                  <w:r>
                    <w:rPr>
                      <w:rFonts w:ascii="Times New Roman" w:hAnsi="Times New Roman" w:eastAsia="宋体"/>
                      <w:color w:val="000000" w:themeColor="text1"/>
                      <w:szCs w:val="21"/>
                    </w:rPr>
                    <w:t>/h</w:t>
                  </w:r>
                  <w:r>
                    <w:rPr>
                      <w:rFonts w:hint="eastAsia" w:ascii="Times New Roman" w:eastAsia="宋体"/>
                      <w:color w:val="000000" w:themeColor="text1"/>
                      <w:szCs w:val="21"/>
                    </w:rPr>
                    <w:t>，产生浓度为</w:t>
                  </w:r>
                  <w:r>
                    <w:rPr>
                      <w:rFonts w:hint="eastAsia" w:ascii="Times New Roman" w:hAnsi="Times New Roman" w:eastAsia="宋体"/>
                      <w:color w:val="000000" w:themeColor="text1"/>
                      <w:szCs w:val="21"/>
                    </w:rPr>
                    <w:t>75.35</w:t>
                  </w:r>
                  <w:r>
                    <w:rPr>
                      <w:rFonts w:ascii="Times New Roman" w:hAnsi="Times New Roman" w:eastAsia="宋体"/>
                      <w:color w:val="000000" w:themeColor="text1"/>
                      <w:szCs w:val="21"/>
                    </w:rPr>
                    <w:t>mg/m</w:t>
                  </w:r>
                  <w:r>
                    <w:rPr>
                      <w:rFonts w:ascii="Times New Roman" w:hAnsi="Times New Roman" w:eastAsia="宋体"/>
                      <w:color w:val="000000" w:themeColor="text1"/>
                      <w:szCs w:val="21"/>
                      <w:vertAlign w:val="superscript"/>
                    </w:rPr>
                    <w:t>3</w:t>
                  </w:r>
                  <w:r>
                    <w:rPr>
                      <w:rFonts w:hint="eastAsia" w:ascii="Times New Roman" w:eastAsia="宋体"/>
                      <w:color w:val="000000" w:themeColor="text1"/>
                      <w:szCs w:val="21"/>
                    </w:rPr>
                    <w:t>，属于</w:t>
                  </w:r>
                  <w:r>
                    <w:rPr>
                      <w:rFonts w:ascii="Times New Roman" w:hAnsi="Times New Roman" w:eastAsia="宋体"/>
                      <w:color w:val="000000" w:themeColor="text1"/>
                      <w:szCs w:val="21"/>
                    </w:rPr>
                    <w:t>1000ppm</w:t>
                  </w:r>
                  <w:r>
                    <w:rPr>
                      <w:rFonts w:hint="eastAsia" w:ascii="Times New Roman" w:eastAsia="宋体"/>
                      <w:color w:val="000000" w:themeColor="text1"/>
                      <w:szCs w:val="21"/>
                    </w:rPr>
                    <w:t>以下的低浓度有机废气。压合</w:t>
                  </w:r>
                  <w:r>
                    <w:rPr>
                      <w:rFonts w:ascii="Times New Roman" w:eastAsia="宋体"/>
                      <w:color w:val="000000" w:themeColor="text1"/>
                      <w:szCs w:val="21"/>
                    </w:rPr>
                    <w:t>工序</w:t>
                  </w:r>
                  <w:r>
                    <w:rPr>
                      <w:rFonts w:hint="eastAsia" w:ascii="Times New Roman" w:eastAsia="宋体"/>
                      <w:color w:val="000000" w:themeColor="text1"/>
                      <w:szCs w:val="21"/>
                    </w:rPr>
                    <w:t>外排废气温度在</w:t>
                  </w:r>
                  <w:r>
                    <w:rPr>
                      <w:rFonts w:hint="eastAsia" w:ascii="Times New Roman" w:hAnsi="Times New Roman" w:eastAsia="宋体"/>
                      <w:color w:val="000000" w:themeColor="text1"/>
                      <w:szCs w:val="21"/>
                    </w:rPr>
                    <w:t>30℃</w:t>
                  </w:r>
                  <w:r>
                    <w:rPr>
                      <w:rFonts w:hint="eastAsia" w:ascii="Times New Roman" w:eastAsia="宋体"/>
                      <w:color w:val="000000" w:themeColor="text1"/>
                      <w:szCs w:val="21"/>
                    </w:rPr>
                    <w:t>左右。本项目选用</w:t>
                  </w:r>
                  <w:r>
                    <w:rPr>
                      <w:rFonts w:hint="eastAsia" w:ascii="Times New Roman" w:hAnsi="Times New Roman" w:eastAsia="宋体"/>
                      <w:color w:val="000000" w:themeColor="text1"/>
                      <w:szCs w:val="21"/>
                    </w:rPr>
                    <w:t>“</w:t>
                  </w:r>
                  <w:r>
                    <w:rPr>
                      <w:rFonts w:ascii="Times New Roman" w:hAnsi="Times New Roman" w:eastAsia="宋体"/>
                      <w:color w:val="000000" w:themeColor="text1"/>
                      <w:szCs w:val="21"/>
                    </w:rPr>
                    <w:t>UV光催化氧化+活性炭吸附</w:t>
                  </w:r>
                  <w:r>
                    <w:rPr>
                      <w:rFonts w:hint="eastAsia" w:ascii="Times New Roman" w:hAnsi="Times New Roman" w:eastAsia="宋体"/>
                      <w:color w:val="000000" w:themeColor="text1"/>
                      <w:szCs w:val="21"/>
                    </w:rPr>
                    <w:t>+油烟净化器+水喷淋”装置</w:t>
                  </w:r>
                  <w:r>
                    <w:rPr>
                      <w:rFonts w:hint="eastAsia" w:ascii="Times New Roman" w:eastAsia="宋体"/>
                      <w:color w:val="000000" w:themeColor="text1"/>
                      <w:szCs w:val="21"/>
                    </w:rPr>
                    <w:t>联合处理工艺处理非甲烷总烃可行。定期更换活性炭，更换下来的废活性炭暂存于危废暂存间内，定期交有资质单位处理。</w:t>
                  </w:r>
                </w:p>
              </w:tc>
              <w:tc>
                <w:tcPr>
                  <w:tcW w:w="372"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hint="eastAsia" w:ascii="Times New Roman" w:eastAsia="宋体"/>
                      <w:color w:val="000000" w:themeColor="text1"/>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4"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kern w:val="0"/>
                      <w:szCs w:val="21"/>
                    </w:rPr>
                  </w:pPr>
                  <w:r>
                    <w:rPr>
                      <w:rFonts w:hint="eastAsia" w:ascii="Times New Roman" w:eastAsia="宋体"/>
                      <w:color w:val="000000" w:themeColor="text1"/>
                      <w:kern w:val="0"/>
                      <w:szCs w:val="21"/>
                    </w:rPr>
                    <w:t>《关于印发河南省</w:t>
                  </w:r>
                  <w:r>
                    <w:rPr>
                      <w:rFonts w:ascii="Times New Roman" w:hAnsi="Times New Roman" w:eastAsia="宋体"/>
                      <w:color w:val="000000" w:themeColor="text1"/>
                      <w:kern w:val="0"/>
                      <w:szCs w:val="21"/>
                    </w:rPr>
                    <w:t>2019</w:t>
                  </w:r>
                  <w:r>
                    <w:rPr>
                      <w:rFonts w:hint="eastAsia" w:ascii="Times New Roman" w:eastAsia="宋体"/>
                      <w:color w:val="000000" w:themeColor="text1"/>
                      <w:kern w:val="0"/>
                      <w:szCs w:val="21"/>
                    </w:rPr>
                    <w:t>年大气污染防治攻坚战实施方案的通知》（豫环攻坚办</w:t>
                  </w:r>
                  <w:r>
                    <w:rPr>
                      <w:rFonts w:ascii="Times New Roman" w:hAnsi="Times New Roman" w:eastAsia="宋体"/>
                      <w:color w:val="000000" w:themeColor="text1"/>
                      <w:kern w:val="0"/>
                      <w:szCs w:val="21"/>
                    </w:rPr>
                    <w:t>[2019]25</w:t>
                  </w:r>
                  <w:r>
                    <w:rPr>
                      <w:rFonts w:hint="eastAsia" w:ascii="Times New Roman" w:eastAsia="宋体"/>
                      <w:color w:val="000000" w:themeColor="text1"/>
                      <w:kern w:val="0"/>
                      <w:szCs w:val="21"/>
                    </w:rPr>
                    <w:t>号）</w:t>
                  </w:r>
                </w:p>
              </w:tc>
              <w:tc>
                <w:tcPr>
                  <w:tcW w:w="2422"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bCs/>
                      <w:color w:val="000000" w:themeColor="text1"/>
                      <w:szCs w:val="21"/>
                    </w:rPr>
                  </w:pPr>
                  <w:r>
                    <w:rPr>
                      <w:rFonts w:ascii="Times New Roman" w:hAnsi="Times New Roman" w:eastAsia="宋体"/>
                      <w:bCs/>
                      <w:color w:val="000000" w:themeColor="text1"/>
                      <w:szCs w:val="21"/>
                    </w:rPr>
                    <w:t>33.</w:t>
                  </w:r>
                  <w:r>
                    <w:rPr>
                      <w:rFonts w:hint="eastAsia" w:ascii="Times New Roman" w:eastAsia="宋体"/>
                      <w:bCs/>
                      <w:color w:val="000000" w:themeColor="text1"/>
                      <w:szCs w:val="21"/>
                    </w:rPr>
                    <w:t>开展</w:t>
                  </w:r>
                  <w:r>
                    <w:rPr>
                      <w:rFonts w:ascii="Times New Roman" w:hAnsi="Times New Roman" w:eastAsia="宋体"/>
                      <w:bCs/>
                      <w:color w:val="000000" w:themeColor="text1"/>
                      <w:szCs w:val="21"/>
                    </w:rPr>
                    <w:t>VOCs</w:t>
                  </w:r>
                  <w:r>
                    <w:rPr>
                      <w:rFonts w:hint="eastAsia" w:ascii="Times New Roman" w:eastAsia="宋体"/>
                      <w:bCs/>
                      <w:color w:val="000000" w:themeColor="text1"/>
                      <w:szCs w:val="21"/>
                    </w:rPr>
                    <w:t>专项治理。</w:t>
                  </w:r>
                  <w:r>
                    <w:rPr>
                      <w:rFonts w:ascii="Times New Roman" w:hAnsi="Times New Roman" w:eastAsia="宋体"/>
                      <w:bCs/>
                      <w:color w:val="000000" w:themeColor="text1"/>
                      <w:szCs w:val="21"/>
                    </w:rPr>
                    <w:t>2019</w:t>
                  </w:r>
                  <w:r>
                    <w:rPr>
                      <w:rFonts w:hint="eastAsia" w:ascii="Times New Roman" w:eastAsia="宋体"/>
                      <w:bCs/>
                      <w:color w:val="000000" w:themeColor="text1"/>
                      <w:szCs w:val="21"/>
                    </w:rPr>
                    <w:t>年</w:t>
                  </w:r>
                  <w:r>
                    <w:rPr>
                      <w:rFonts w:ascii="Times New Roman" w:hAnsi="Times New Roman" w:eastAsia="宋体"/>
                      <w:bCs/>
                      <w:color w:val="000000" w:themeColor="text1"/>
                      <w:szCs w:val="21"/>
                    </w:rPr>
                    <w:t>6</w:t>
                  </w:r>
                  <w:r>
                    <w:rPr>
                      <w:rFonts w:hint="eastAsia" w:ascii="Times New Roman" w:eastAsia="宋体"/>
                      <w:bCs/>
                      <w:color w:val="000000" w:themeColor="text1"/>
                      <w:szCs w:val="21"/>
                    </w:rPr>
                    <w:t>月底前，全省石油化学、石油炼制、表面涂装、印刷、化工、制药等工业企业，全面完成</w:t>
                  </w:r>
                  <w:r>
                    <w:rPr>
                      <w:rFonts w:ascii="Times New Roman" w:hAnsi="Times New Roman" w:eastAsia="宋体"/>
                      <w:bCs/>
                      <w:color w:val="000000" w:themeColor="text1"/>
                      <w:szCs w:val="21"/>
                    </w:rPr>
                    <w:t>VOCs</w:t>
                  </w:r>
                  <w:r>
                    <w:rPr>
                      <w:rFonts w:hint="eastAsia" w:ascii="Times New Roman" w:eastAsia="宋体"/>
                      <w:bCs/>
                      <w:color w:val="000000" w:themeColor="text1"/>
                      <w:szCs w:val="21"/>
                    </w:rPr>
                    <w:t>无组织排放治理，原料、中间产品与成品应密闭储存，排放</w:t>
                  </w:r>
                  <w:r>
                    <w:rPr>
                      <w:rFonts w:ascii="Times New Roman" w:hAnsi="Times New Roman" w:eastAsia="宋体"/>
                      <w:bCs/>
                      <w:color w:val="000000" w:themeColor="text1"/>
                      <w:szCs w:val="21"/>
                    </w:rPr>
                    <w:t>VOCs</w:t>
                  </w:r>
                  <w:r>
                    <w:rPr>
                      <w:rFonts w:hint="eastAsia" w:ascii="Times New Roman" w:eastAsia="宋体"/>
                      <w:bCs/>
                      <w:color w:val="000000" w:themeColor="text1"/>
                      <w:szCs w:val="21"/>
                    </w:rPr>
                    <w:t>的生产工序要密闭空间或设备中实施，对产生的含</w:t>
                  </w:r>
                  <w:r>
                    <w:rPr>
                      <w:rFonts w:ascii="Times New Roman" w:hAnsi="Times New Roman" w:eastAsia="宋体"/>
                      <w:bCs/>
                      <w:color w:val="000000" w:themeColor="text1"/>
                      <w:szCs w:val="21"/>
                    </w:rPr>
                    <w:t>VOCs</w:t>
                  </w:r>
                  <w:r>
                    <w:rPr>
                      <w:rFonts w:hint="eastAsia" w:ascii="Times New Roman" w:eastAsia="宋体"/>
                      <w:bCs/>
                      <w:color w:val="000000" w:themeColor="text1"/>
                      <w:szCs w:val="21"/>
                    </w:rPr>
                    <w:t>废气进行净化处理，达到河南省工业企业挥发性有机物专项治理工作中排放建议值要求。</w:t>
                  </w:r>
                </w:p>
              </w:tc>
              <w:tc>
                <w:tcPr>
                  <w:tcW w:w="15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rPr>
                      <w:rFonts w:ascii="Times New Roman" w:hAnsi="Times New Roman" w:eastAsia="宋体"/>
                      <w:color w:val="000000" w:themeColor="text1"/>
                      <w:szCs w:val="21"/>
                      <w:u w:val="single"/>
                    </w:rPr>
                  </w:pPr>
                  <w:r>
                    <w:rPr>
                      <w:rFonts w:hint="eastAsia" w:ascii="Times New Roman" w:eastAsia="宋体"/>
                      <w:color w:val="000000" w:themeColor="text1"/>
                      <w:szCs w:val="21"/>
                    </w:rPr>
                    <w:t>有机废气经</w:t>
                  </w:r>
                  <w:r>
                    <w:rPr>
                      <w:rFonts w:hint="eastAsia" w:ascii="Times New Roman" w:hAnsi="Times New Roman" w:eastAsia="宋体"/>
                      <w:color w:val="000000" w:themeColor="text1"/>
                      <w:szCs w:val="21"/>
                    </w:rPr>
                    <w:t>封闭集气罩（6个，新建）</w:t>
                  </w:r>
                  <w:r>
                    <w:rPr>
                      <w:rFonts w:hint="eastAsia" w:ascii="Times New Roman" w:eastAsia="宋体"/>
                      <w:color w:val="000000" w:themeColor="text1"/>
                      <w:szCs w:val="21"/>
                    </w:rPr>
                    <w:t>收集后进入</w:t>
                  </w:r>
                  <w:r>
                    <w:rPr>
                      <w:rFonts w:hint="eastAsia" w:ascii="Times New Roman" w:hAnsi="Times New Roman" w:eastAsia="宋体"/>
                      <w:color w:val="000000" w:themeColor="text1"/>
                      <w:szCs w:val="21"/>
                    </w:rPr>
                    <w:t>“</w:t>
                  </w:r>
                  <w:r>
                    <w:rPr>
                      <w:rFonts w:ascii="Times New Roman" w:hAnsi="Times New Roman" w:eastAsia="宋体"/>
                      <w:color w:val="000000" w:themeColor="text1"/>
                      <w:szCs w:val="21"/>
                    </w:rPr>
                    <w:t>UV光催化氧化</w:t>
                  </w:r>
                  <w:r>
                    <w:rPr>
                      <w:rFonts w:hint="eastAsia" w:ascii="Times New Roman" w:hAnsi="Times New Roman" w:eastAsia="宋体"/>
                      <w:color w:val="000000" w:themeColor="text1"/>
                      <w:szCs w:val="21"/>
                    </w:rPr>
                    <w:t>（原有）</w:t>
                  </w:r>
                  <w:r>
                    <w:rPr>
                      <w:rFonts w:ascii="Times New Roman" w:hAnsi="Times New Roman" w:eastAsia="宋体"/>
                      <w:color w:val="000000" w:themeColor="text1"/>
                      <w:szCs w:val="21"/>
                    </w:rPr>
                    <w:t>+活性炭吸附</w:t>
                  </w:r>
                  <w:r>
                    <w:rPr>
                      <w:rFonts w:hint="eastAsia" w:ascii="Times New Roman" w:hAnsi="Times New Roman" w:eastAsia="宋体"/>
                      <w:color w:val="000000" w:themeColor="text1"/>
                      <w:szCs w:val="21"/>
                    </w:rPr>
                    <w:t>（原有）+油烟净化器（原有）+水喷淋（整改新建）”装置</w:t>
                  </w:r>
                  <w:r>
                    <w:rPr>
                      <w:rFonts w:hint="eastAsia" w:ascii="Times New Roman" w:eastAsia="宋体"/>
                      <w:color w:val="000000" w:themeColor="text1"/>
                      <w:szCs w:val="21"/>
                    </w:rPr>
                    <w:t>进行处理，能够满足《关于全省开展工业企业挥发性有机物专项治理工作中排放建议值的通知》（豫环攻坚办</w:t>
                  </w:r>
                  <w:r>
                    <w:rPr>
                      <w:rFonts w:ascii="Times New Roman" w:hAnsi="Times New Roman" w:eastAsia="宋体"/>
                      <w:color w:val="000000" w:themeColor="text1"/>
                      <w:szCs w:val="21"/>
                    </w:rPr>
                    <w:t>[2017]162</w:t>
                  </w:r>
                  <w:r>
                    <w:rPr>
                      <w:rFonts w:hint="eastAsia" w:ascii="Times New Roman" w:eastAsia="宋体"/>
                      <w:color w:val="000000" w:themeColor="text1"/>
                      <w:szCs w:val="21"/>
                    </w:rPr>
                    <w:t>号文）相关要求。企业有机废气排放口按照环保部门的相关要求，安装</w:t>
                  </w:r>
                  <w:r>
                    <w:rPr>
                      <w:rFonts w:ascii="Times New Roman" w:hAnsi="Times New Roman" w:eastAsia="宋体"/>
                      <w:color w:val="000000" w:themeColor="text1"/>
                      <w:szCs w:val="21"/>
                    </w:rPr>
                    <w:t>VOCs</w:t>
                  </w:r>
                  <w:r>
                    <w:rPr>
                      <w:rFonts w:hint="eastAsia" w:ascii="Times New Roman" w:eastAsia="宋体"/>
                      <w:color w:val="000000" w:themeColor="text1"/>
                      <w:szCs w:val="21"/>
                    </w:rPr>
                    <w:t>在线监测设备并与环境监控中心监控平台联网。</w:t>
                  </w:r>
                </w:p>
              </w:tc>
              <w:tc>
                <w:tcPr>
                  <w:tcW w:w="372"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hint="eastAsia" w:ascii="Times New Roman" w:eastAsia="宋体"/>
                      <w:color w:val="000000" w:themeColor="text1"/>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4" w:type="pct"/>
                  <w:tcBorders>
                    <w:top w:val="single" w:color="auto" w:sz="4" w:space="0"/>
                    <w:left w:val="nil"/>
                    <w:bottom w:val="single" w:color="auto" w:sz="4" w:space="0"/>
                    <w:right w:val="single" w:color="auto" w:sz="4" w:space="0"/>
                  </w:tcBorders>
                  <w:vAlign w:val="center"/>
                </w:tcPr>
                <w:p>
                  <w:pPr>
                    <w:topLinePunct/>
                    <w:autoSpaceDE w:val="0"/>
                    <w:adjustRightInd w:val="0"/>
                    <w:snapToGrid w:val="0"/>
                    <w:rPr>
                      <w:rFonts w:ascii="Times New Roman" w:hAnsi="Times New Roman" w:eastAsia="宋体"/>
                      <w:color w:val="000000" w:themeColor="text1"/>
                      <w:kern w:val="0"/>
                      <w:szCs w:val="21"/>
                    </w:rPr>
                  </w:pPr>
                  <w:r>
                    <w:rPr>
                      <w:rFonts w:hint="eastAsia" w:ascii="Times New Roman" w:eastAsia="宋体"/>
                      <w:color w:val="000000" w:themeColor="text1"/>
                      <w:kern w:val="0"/>
                      <w:szCs w:val="21"/>
                    </w:rPr>
                    <w:t>《关于印发新乡市</w:t>
                  </w:r>
                  <w:r>
                    <w:rPr>
                      <w:rFonts w:ascii="Times New Roman" w:hAnsi="Times New Roman" w:eastAsia="宋体"/>
                      <w:color w:val="000000" w:themeColor="text1"/>
                      <w:kern w:val="0"/>
                      <w:szCs w:val="21"/>
                    </w:rPr>
                    <w:t>2019</w:t>
                  </w:r>
                  <w:r>
                    <w:rPr>
                      <w:rFonts w:hint="eastAsia" w:ascii="Times New Roman" w:eastAsia="宋体"/>
                      <w:color w:val="000000" w:themeColor="text1"/>
                      <w:kern w:val="0"/>
                      <w:szCs w:val="21"/>
                    </w:rPr>
                    <w:t>年大气污染防治攻坚战实施方案的通知》（新环攻坚办</w:t>
                  </w:r>
                  <w:r>
                    <w:rPr>
                      <w:rFonts w:ascii="Times New Roman" w:hAnsi="Times New Roman" w:eastAsia="宋体"/>
                      <w:color w:val="000000" w:themeColor="text1"/>
                      <w:kern w:val="0"/>
                      <w:szCs w:val="21"/>
                    </w:rPr>
                    <w:t>[2019]74</w:t>
                  </w:r>
                  <w:r>
                    <w:rPr>
                      <w:rFonts w:hint="eastAsia" w:ascii="Times New Roman" w:eastAsia="宋体"/>
                      <w:color w:val="000000" w:themeColor="text1"/>
                      <w:kern w:val="0"/>
                      <w:szCs w:val="21"/>
                    </w:rPr>
                    <w:t>号）</w:t>
                  </w:r>
                </w:p>
              </w:tc>
              <w:tc>
                <w:tcPr>
                  <w:tcW w:w="2422"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eastAsia="宋体"/>
                      <w:bCs/>
                      <w:color w:val="000000" w:themeColor="text1"/>
                      <w:szCs w:val="21"/>
                    </w:rPr>
                  </w:pPr>
                  <w:r>
                    <w:rPr>
                      <w:rFonts w:ascii="Times New Roman" w:hAnsi="Times New Roman" w:eastAsia="宋体"/>
                      <w:bCs/>
                      <w:color w:val="000000" w:themeColor="text1"/>
                      <w:szCs w:val="21"/>
                    </w:rPr>
                    <w:t>33.</w:t>
                  </w:r>
                  <w:r>
                    <w:rPr>
                      <w:rFonts w:hint="eastAsia" w:ascii="Times New Roman" w:eastAsia="宋体"/>
                      <w:bCs/>
                      <w:color w:val="000000" w:themeColor="text1"/>
                      <w:szCs w:val="21"/>
                    </w:rPr>
                    <w:t>开展挥发性有机物（</w:t>
                  </w:r>
                  <w:r>
                    <w:rPr>
                      <w:rFonts w:ascii="Times New Roman" w:hAnsi="Times New Roman" w:eastAsia="宋体"/>
                      <w:bCs/>
                      <w:color w:val="000000" w:themeColor="text1"/>
                      <w:szCs w:val="21"/>
                    </w:rPr>
                    <w:t>VOCs</w:t>
                  </w:r>
                  <w:r>
                    <w:rPr>
                      <w:rFonts w:hint="eastAsia" w:ascii="Times New Roman" w:eastAsia="宋体"/>
                      <w:bCs/>
                      <w:color w:val="000000" w:themeColor="text1"/>
                      <w:szCs w:val="21"/>
                    </w:rPr>
                    <w:t>）无组织排放治理</w:t>
                  </w:r>
                </w:p>
                <w:p>
                  <w:pPr>
                    <w:adjustRightInd w:val="0"/>
                    <w:snapToGrid w:val="0"/>
                    <w:rPr>
                      <w:rFonts w:ascii="Times New Roman" w:hAnsi="Times New Roman" w:eastAsia="宋体"/>
                      <w:bCs/>
                      <w:color w:val="000000" w:themeColor="text1"/>
                      <w:szCs w:val="21"/>
                    </w:rPr>
                  </w:pPr>
                  <w:r>
                    <w:rPr>
                      <w:rFonts w:hint="eastAsia" w:ascii="Times New Roman" w:eastAsia="宋体"/>
                      <w:color w:val="000000" w:themeColor="text1"/>
                      <w:szCs w:val="21"/>
                    </w:rPr>
                    <w:t>结合第二次污染源普查，对全市所有</w:t>
                  </w:r>
                  <w:r>
                    <w:rPr>
                      <w:rFonts w:ascii="Times New Roman" w:hAnsi="Times New Roman" w:eastAsia="宋体"/>
                      <w:color w:val="000000" w:themeColor="text1"/>
                      <w:szCs w:val="21"/>
                    </w:rPr>
                    <w:t>VOCs</w:t>
                  </w:r>
                  <w:r>
                    <w:rPr>
                      <w:rFonts w:hint="eastAsia" w:ascii="Times New Roman" w:eastAsia="宋体"/>
                      <w:color w:val="000000" w:themeColor="text1"/>
                      <w:szCs w:val="21"/>
                    </w:rPr>
                    <w:t>排放的工业企业逐企建立清单台账。</w:t>
                  </w:r>
                  <w:r>
                    <w:rPr>
                      <w:rFonts w:ascii="Times New Roman" w:hAnsi="Times New Roman" w:eastAsia="宋体"/>
                      <w:color w:val="000000" w:themeColor="text1"/>
                      <w:szCs w:val="21"/>
                    </w:rPr>
                    <w:t>2019</w:t>
                  </w:r>
                  <w:r>
                    <w:rPr>
                      <w:rFonts w:hint="eastAsia" w:ascii="Times New Roman" w:eastAsia="宋体"/>
                      <w:color w:val="000000" w:themeColor="text1"/>
                      <w:szCs w:val="21"/>
                    </w:rPr>
                    <w:t>年</w:t>
                  </w:r>
                  <w:r>
                    <w:rPr>
                      <w:rFonts w:ascii="Times New Roman" w:hAnsi="Times New Roman" w:eastAsia="宋体"/>
                      <w:color w:val="000000" w:themeColor="text1"/>
                      <w:szCs w:val="21"/>
                    </w:rPr>
                    <w:t>6</w:t>
                  </w:r>
                  <w:r>
                    <w:rPr>
                      <w:rFonts w:hint="eastAsia" w:ascii="Times New Roman" w:eastAsia="宋体"/>
                      <w:color w:val="000000" w:themeColor="text1"/>
                      <w:szCs w:val="21"/>
                    </w:rPr>
                    <w:t>月底前，全市工业涂装、包装印刷、化工、制药等工业企业，全面完成</w:t>
                  </w:r>
                  <w:r>
                    <w:rPr>
                      <w:rFonts w:ascii="Times New Roman" w:hAnsi="Times New Roman" w:eastAsia="宋体"/>
                      <w:color w:val="000000" w:themeColor="text1"/>
                      <w:szCs w:val="21"/>
                    </w:rPr>
                    <w:t>VOCs</w:t>
                  </w:r>
                  <w:r>
                    <w:rPr>
                      <w:rFonts w:hint="eastAsia" w:ascii="Times New Roman" w:eastAsia="宋体"/>
                      <w:color w:val="000000" w:themeColor="text1"/>
                      <w:szCs w:val="21"/>
                    </w:rPr>
                    <w:t>无组织排放治理，原料、中间产品与成品应密闭储存，排放</w:t>
                  </w:r>
                  <w:r>
                    <w:rPr>
                      <w:rFonts w:ascii="Times New Roman" w:hAnsi="Times New Roman" w:eastAsia="宋体"/>
                      <w:color w:val="000000" w:themeColor="text1"/>
                      <w:szCs w:val="21"/>
                    </w:rPr>
                    <w:t>VOCs</w:t>
                  </w:r>
                  <w:r>
                    <w:rPr>
                      <w:rFonts w:hint="eastAsia" w:ascii="Times New Roman" w:eastAsia="宋体"/>
                      <w:color w:val="000000" w:themeColor="text1"/>
                      <w:szCs w:val="21"/>
                    </w:rPr>
                    <w:t>的生产工序要在密闭空间或设备中实施，对产生的含</w:t>
                  </w:r>
                  <w:r>
                    <w:rPr>
                      <w:rFonts w:ascii="Times New Roman" w:hAnsi="Times New Roman" w:eastAsia="宋体"/>
                      <w:color w:val="000000" w:themeColor="text1"/>
                      <w:szCs w:val="21"/>
                    </w:rPr>
                    <w:t>VOCs</w:t>
                  </w:r>
                  <w:r>
                    <w:rPr>
                      <w:rFonts w:hint="eastAsia" w:ascii="Times New Roman" w:eastAsia="宋体"/>
                      <w:color w:val="000000" w:themeColor="text1"/>
                      <w:szCs w:val="21"/>
                    </w:rPr>
                    <w:t>废气进行净化处理，达到河南省工业企业挥发性有机物专项治理工作中排放建议值要求。</w:t>
                  </w:r>
                </w:p>
              </w:tc>
              <w:tc>
                <w:tcPr>
                  <w:tcW w:w="15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rPr>
                      <w:rFonts w:ascii="Times New Roman" w:hAnsi="Times New Roman" w:eastAsia="宋体"/>
                      <w:color w:val="000000" w:themeColor="text1"/>
                      <w:szCs w:val="21"/>
                    </w:rPr>
                  </w:pPr>
                  <w:r>
                    <w:rPr>
                      <w:rFonts w:hint="eastAsia" w:ascii="Times New Roman" w:eastAsia="宋体"/>
                      <w:color w:val="000000" w:themeColor="text1"/>
                      <w:szCs w:val="21"/>
                    </w:rPr>
                    <w:t>有机废气经</w:t>
                  </w:r>
                  <w:r>
                    <w:rPr>
                      <w:rFonts w:hint="eastAsia" w:ascii="Times New Roman" w:hAnsi="Times New Roman" w:eastAsia="宋体"/>
                      <w:color w:val="000000" w:themeColor="text1"/>
                      <w:szCs w:val="21"/>
                    </w:rPr>
                    <w:t>封闭集气罩（6个，新建）</w:t>
                  </w:r>
                  <w:r>
                    <w:rPr>
                      <w:rFonts w:hint="eastAsia" w:ascii="Times New Roman" w:eastAsia="宋体"/>
                      <w:color w:val="000000" w:themeColor="text1"/>
                      <w:szCs w:val="21"/>
                    </w:rPr>
                    <w:t>收集后进入</w:t>
                  </w:r>
                  <w:r>
                    <w:rPr>
                      <w:rFonts w:hint="eastAsia" w:ascii="Times New Roman" w:hAnsi="Times New Roman" w:eastAsia="宋体"/>
                      <w:color w:val="000000" w:themeColor="text1"/>
                      <w:szCs w:val="21"/>
                    </w:rPr>
                    <w:t>“</w:t>
                  </w:r>
                  <w:r>
                    <w:rPr>
                      <w:rFonts w:ascii="Times New Roman" w:hAnsi="Times New Roman" w:eastAsia="宋体"/>
                      <w:color w:val="000000" w:themeColor="text1"/>
                      <w:szCs w:val="21"/>
                    </w:rPr>
                    <w:t>UV光催化氧化</w:t>
                  </w:r>
                  <w:r>
                    <w:rPr>
                      <w:rFonts w:hint="eastAsia" w:ascii="Times New Roman" w:hAnsi="Times New Roman" w:eastAsia="宋体"/>
                      <w:color w:val="000000" w:themeColor="text1"/>
                      <w:szCs w:val="21"/>
                    </w:rPr>
                    <w:t>（原有）</w:t>
                  </w:r>
                  <w:r>
                    <w:rPr>
                      <w:rFonts w:ascii="Times New Roman" w:hAnsi="Times New Roman" w:eastAsia="宋体"/>
                      <w:color w:val="000000" w:themeColor="text1"/>
                      <w:szCs w:val="21"/>
                    </w:rPr>
                    <w:t>+活性炭吸附</w:t>
                  </w:r>
                  <w:r>
                    <w:rPr>
                      <w:rFonts w:hint="eastAsia" w:ascii="Times New Roman" w:hAnsi="Times New Roman" w:eastAsia="宋体"/>
                      <w:color w:val="000000" w:themeColor="text1"/>
                      <w:szCs w:val="21"/>
                    </w:rPr>
                    <w:t>（原有）+油烟净化器（原有）+水喷淋（整改新建）”装置</w:t>
                  </w:r>
                  <w:r>
                    <w:rPr>
                      <w:rFonts w:hint="eastAsia" w:ascii="Times New Roman" w:eastAsia="宋体"/>
                      <w:color w:val="000000" w:themeColor="text1"/>
                      <w:szCs w:val="21"/>
                    </w:rPr>
                    <w:t>进行处理，能够满足《关于全省开展工业企业挥发性有机物专项治理工作中排放建议值的通知》（豫环攻坚办</w:t>
                  </w:r>
                  <w:r>
                    <w:rPr>
                      <w:rFonts w:ascii="Times New Roman" w:hAnsi="Times New Roman" w:eastAsia="宋体"/>
                      <w:color w:val="000000" w:themeColor="text1"/>
                      <w:szCs w:val="21"/>
                    </w:rPr>
                    <w:t>[2017]162</w:t>
                  </w:r>
                  <w:r>
                    <w:rPr>
                      <w:rFonts w:hint="eastAsia" w:ascii="Times New Roman" w:eastAsia="宋体"/>
                      <w:color w:val="000000" w:themeColor="text1"/>
                      <w:szCs w:val="21"/>
                    </w:rPr>
                    <w:t>号文）相关要求。企业有机废气排放口按照环保部门的相关要求，安装</w:t>
                  </w:r>
                  <w:r>
                    <w:rPr>
                      <w:rFonts w:ascii="Times New Roman" w:hAnsi="Times New Roman" w:eastAsia="宋体"/>
                      <w:color w:val="000000" w:themeColor="text1"/>
                      <w:szCs w:val="21"/>
                    </w:rPr>
                    <w:t>VOCs</w:t>
                  </w:r>
                  <w:r>
                    <w:rPr>
                      <w:rFonts w:hint="eastAsia" w:ascii="Times New Roman" w:eastAsia="宋体"/>
                      <w:color w:val="000000" w:themeColor="text1"/>
                      <w:szCs w:val="21"/>
                    </w:rPr>
                    <w:t>在线监测设备并与环境监控中心监控平台联网。</w:t>
                  </w:r>
                </w:p>
              </w:tc>
              <w:tc>
                <w:tcPr>
                  <w:tcW w:w="372"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hint="eastAsia" w:ascii="Times New Roman" w:eastAsia="宋体"/>
                      <w:color w:val="000000" w:themeColor="text1"/>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4" w:type="pct"/>
                  <w:tcBorders>
                    <w:top w:val="single" w:color="auto" w:sz="4" w:space="0"/>
                    <w:left w:val="nil"/>
                    <w:bottom w:val="single" w:color="auto" w:sz="4" w:space="0"/>
                    <w:right w:val="single" w:color="auto" w:sz="4" w:space="0"/>
                  </w:tcBorders>
                  <w:vAlign w:val="center"/>
                </w:tcPr>
                <w:p>
                  <w:pPr>
                    <w:adjustRightInd w:val="0"/>
                    <w:snapToGrid w:val="0"/>
                    <w:rPr>
                      <w:rFonts w:ascii="Times New Roman" w:hAnsi="Times New Roman" w:eastAsia="宋体"/>
                      <w:color w:val="000000" w:themeColor="text1"/>
                      <w:szCs w:val="21"/>
                    </w:rPr>
                  </w:pPr>
                  <w:r>
                    <w:rPr>
                      <w:rFonts w:hint="eastAsia" w:ascii="Times New Roman" w:eastAsia="宋体"/>
                      <w:color w:val="000000" w:themeColor="text1"/>
                      <w:szCs w:val="21"/>
                    </w:rPr>
                    <w:t>河南省生态环境厅《关于印发河南省工业大气污染防治</w:t>
                  </w:r>
                  <w:r>
                    <w:rPr>
                      <w:rFonts w:ascii="Times New Roman" w:hAnsi="Times New Roman" w:eastAsia="宋体"/>
                      <w:color w:val="000000" w:themeColor="text1"/>
                      <w:szCs w:val="21"/>
                    </w:rPr>
                    <w:t>6</w:t>
                  </w:r>
                  <w:r>
                    <w:rPr>
                      <w:rFonts w:hint="eastAsia" w:ascii="Times New Roman" w:eastAsia="宋体"/>
                      <w:color w:val="000000" w:themeColor="text1"/>
                      <w:szCs w:val="21"/>
                    </w:rPr>
                    <w:t>个专项方案的通知》（豫环文</w:t>
                  </w:r>
                  <w:r>
                    <w:rPr>
                      <w:rFonts w:ascii="Times New Roman" w:hAnsi="Times New Roman" w:eastAsia="宋体"/>
                      <w:color w:val="000000" w:themeColor="text1"/>
                      <w:szCs w:val="21"/>
                    </w:rPr>
                    <w:t>[2019]84</w:t>
                  </w:r>
                  <w:r>
                    <w:rPr>
                      <w:rFonts w:hint="eastAsia" w:ascii="Times New Roman" w:eastAsia="宋体"/>
                      <w:color w:val="000000" w:themeColor="text1"/>
                      <w:szCs w:val="21"/>
                    </w:rPr>
                    <w:t>号）</w:t>
                  </w:r>
                  <w:r>
                    <w:rPr>
                      <w:rFonts w:hint="eastAsia" w:ascii="Times New Roman" w:hAnsi="Times New Roman" w:eastAsia="宋体"/>
                      <w:color w:val="000000" w:themeColor="text1"/>
                      <w:szCs w:val="21"/>
                    </w:rPr>
                    <w:t>—</w:t>
                  </w:r>
                  <w:r>
                    <w:rPr>
                      <w:rFonts w:hint="eastAsia" w:ascii="Times New Roman" w:eastAsia="宋体"/>
                      <w:color w:val="000000" w:themeColor="text1"/>
                      <w:kern w:val="0"/>
                      <w:szCs w:val="21"/>
                    </w:rPr>
                    <w:t>《河南省</w:t>
                  </w:r>
                  <w:r>
                    <w:rPr>
                      <w:rFonts w:ascii="Times New Roman" w:hAnsi="Times New Roman" w:eastAsia="宋体"/>
                      <w:color w:val="000000" w:themeColor="text1"/>
                      <w:kern w:val="0"/>
                      <w:szCs w:val="21"/>
                    </w:rPr>
                    <w:t>2019</w:t>
                  </w:r>
                  <w:r>
                    <w:rPr>
                      <w:rFonts w:hint="eastAsia" w:ascii="Times New Roman" w:eastAsia="宋体"/>
                      <w:color w:val="000000" w:themeColor="text1"/>
                      <w:kern w:val="0"/>
                      <w:szCs w:val="21"/>
                    </w:rPr>
                    <w:t>年工业企业无组织排放治理方案》</w:t>
                  </w:r>
                </w:p>
              </w:tc>
              <w:tc>
                <w:tcPr>
                  <w:tcW w:w="2422"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olor w:val="000000" w:themeColor="text1"/>
                      <w:szCs w:val="21"/>
                    </w:rPr>
                  </w:pPr>
                  <w:r>
                    <w:rPr>
                      <w:rFonts w:hint="eastAsia" w:ascii="Times New Roman" w:eastAsia="宋体"/>
                      <w:color w:val="000000" w:themeColor="text1"/>
                      <w:szCs w:val="21"/>
                    </w:rPr>
                    <w:t>（十六）其他行业无组织排放治理标准</w:t>
                  </w:r>
                </w:p>
                <w:p>
                  <w:pPr>
                    <w:rPr>
                      <w:rFonts w:ascii="Times New Roman" w:hAnsi="Times New Roman" w:eastAsia="宋体"/>
                      <w:color w:val="000000" w:themeColor="text1"/>
                      <w:szCs w:val="21"/>
                    </w:rPr>
                  </w:pPr>
                  <w:r>
                    <w:rPr>
                      <w:rFonts w:hint="eastAsia" w:ascii="Times New Roman" w:eastAsia="宋体"/>
                      <w:color w:val="000000" w:themeColor="text1"/>
                      <w:szCs w:val="21"/>
                    </w:rPr>
                    <w:t>（三）生产环节治理</w:t>
                  </w:r>
                </w:p>
                <w:p>
                  <w:pPr>
                    <w:ind w:firstLine="420" w:firstLineChars="200"/>
                    <w:rPr>
                      <w:rFonts w:ascii="Times New Roman" w:hAnsi="Times New Roman" w:eastAsia="宋体"/>
                      <w:color w:val="000000" w:themeColor="text1"/>
                      <w:szCs w:val="21"/>
                    </w:rPr>
                  </w:pPr>
                  <w:r>
                    <w:rPr>
                      <w:rFonts w:hint="eastAsia" w:ascii="Times New Roman" w:eastAsia="宋体"/>
                      <w:color w:val="000000" w:themeColor="text1"/>
                      <w:szCs w:val="21"/>
                    </w:rPr>
                    <w:t>物料上料、破碎、筛分、混料等生产过程中的产尘点应在封闭的厂房内进行二次封闭，并安装集气设施和除尘设施。</w:t>
                  </w:r>
                </w:p>
                <w:p>
                  <w:pPr>
                    <w:ind w:firstLine="420" w:firstLineChars="200"/>
                    <w:rPr>
                      <w:rFonts w:ascii="Times New Roman" w:hAnsi="Times New Roman" w:eastAsia="宋体"/>
                      <w:color w:val="000000" w:themeColor="text1"/>
                      <w:szCs w:val="21"/>
                    </w:rPr>
                  </w:pPr>
                  <w:r>
                    <w:rPr>
                      <w:rFonts w:hint="eastAsia" w:ascii="Times New Roman" w:eastAsia="宋体"/>
                      <w:color w:val="000000" w:themeColor="text1"/>
                      <w:szCs w:val="21"/>
                    </w:rPr>
                    <w:t>在生产过程中的产生</w:t>
                  </w:r>
                  <w:r>
                    <w:rPr>
                      <w:rFonts w:hint="eastAsia" w:ascii="Times New Roman" w:hAnsi="Times New Roman" w:eastAsia="宋体"/>
                      <w:color w:val="000000" w:themeColor="text1"/>
                      <w:szCs w:val="21"/>
                    </w:rPr>
                    <w:t>VOCs</w:t>
                  </w:r>
                  <w:r>
                    <w:rPr>
                      <w:rFonts w:hint="eastAsia" w:ascii="Times New Roman" w:eastAsia="宋体"/>
                      <w:color w:val="000000" w:themeColor="text1"/>
                      <w:szCs w:val="21"/>
                    </w:rPr>
                    <w:t>的工序应在封闭的厂房内进行二次封闭，并安装集气设施和</w:t>
                  </w:r>
                  <w:r>
                    <w:rPr>
                      <w:rFonts w:hint="eastAsia" w:ascii="Times New Roman" w:hAnsi="Times New Roman" w:eastAsia="宋体"/>
                      <w:color w:val="000000" w:themeColor="text1"/>
                      <w:szCs w:val="21"/>
                    </w:rPr>
                    <w:t>VOCs</w:t>
                  </w:r>
                  <w:r>
                    <w:rPr>
                      <w:rFonts w:hint="eastAsia" w:ascii="Times New Roman" w:eastAsia="宋体"/>
                      <w:color w:val="000000" w:themeColor="text1"/>
                      <w:szCs w:val="21"/>
                    </w:rPr>
                    <w:t>处理设施。</w:t>
                  </w:r>
                </w:p>
                <w:p>
                  <w:pPr>
                    <w:ind w:firstLine="420" w:firstLineChars="200"/>
                    <w:rPr>
                      <w:rFonts w:ascii="Times New Roman" w:hAnsi="Times New Roman" w:eastAsia="宋体"/>
                      <w:color w:val="000000" w:themeColor="text1"/>
                      <w:szCs w:val="21"/>
                    </w:rPr>
                  </w:pPr>
                  <w:r>
                    <w:rPr>
                      <w:rFonts w:hint="eastAsia" w:ascii="Times New Roman" w:eastAsia="宋体"/>
                      <w:color w:val="000000" w:themeColor="text1"/>
                      <w:szCs w:val="21"/>
                    </w:rPr>
                    <w:t>其他方面：禁止生产车间内散放原料、需采用全封闭式</w:t>
                  </w:r>
                  <w:r>
                    <w:rPr>
                      <w:rFonts w:hint="eastAsia" w:ascii="Times New Roman" w:hAnsi="Times New Roman" w:eastAsia="宋体"/>
                      <w:color w:val="000000" w:themeColor="text1"/>
                      <w:szCs w:val="21"/>
                    </w:rPr>
                    <w:t>/</w:t>
                  </w:r>
                  <w:r>
                    <w:rPr>
                      <w:rFonts w:hint="eastAsia" w:ascii="Times New Roman" w:eastAsia="宋体"/>
                      <w:color w:val="000000" w:themeColor="text1"/>
                      <w:szCs w:val="21"/>
                    </w:rPr>
                    <w:t>地下料仓，并配备完备的废气收集和处理系统，生产环节必须在密闭良好的车间内运行。</w:t>
                  </w:r>
                </w:p>
              </w:tc>
              <w:tc>
                <w:tcPr>
                  <w:tcW w:w="15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rPr>
                      <w:rFonts w:ascii="Times New Roman" w:eastAsia="宋体"/>
                      <w:color w:val="000000" w:themeColor="text1"/>
                      <w:szCs w:val="21"/>
                    </w:rPr>
                  </w:pPr>
                  <w:r>
                    <w:rPr>
                      <w:rFonts w:hint="eastAsia" w:ascii="Times New Roman" w:eastAsia="宋体"/>
                      <w:color w:val="000000" w:themeColor="text1"/>
                      <w:szCs w:val="21"/>
                    </w:rPr>
                    <w:t>本项目压合</w:t>
                  </w:r>
                  <w:r>
                    <w:rPr>
                      <w:rFonts w:ascii="Times New Roman" w:eastAsia="宋体"/>
                      <w:color w:val="000000" w:themeColor="text1"/>
                      <w:szCs w:val="21"/>
                    </w:rPr>
                    <w:t>工序</w:t>
                  </w:r>
                  <w:r>
                    <w:rPr>
                      <w:rFonts w:hint="eastAsia" w:ascii="Times New Roman" w:eastAsia="宋体"/>
                      <w:color w:val="000000" w:themeColor="text1"/>
                      <w:szCs w:val="21"/>
                    </w:rPr>
                    <w:t>会产生有机废气，</w:t>
                  </w:r>
                  <w:r>
                    <w:rPr>
                      <w:rFonts w:hint="eastAsia" w:ascii="Times New Roman" w:eastAsia="宋体"/>
                      <w:bCs/>
                      <w:color w:val="000000" w:themeColor="text1"/>
                      <w:kern w:val="21"/>
                      <w:szCs w:val="21"/>
                    </w:rPr>
                    <w:t>压合工序位于封闭的生产车间内，</w:t>
                  </w:r>
                  <w:r>
                    <w:rPr>
                      <w:rFonts w:hint="eastAsia" w:ascii="Times New Roman" w:hAnsi="宋体" w:eastAsia="宋体"/>
                      <w:bCs/>
                      <w:color w:val="000000" w:themeColor="text1"/>
                      <w:szCs w:val="21"/>
                    </w:rPr>
                    <w:t>高周波塑熔机</w:t>
                  </w:r>
                  <w:r>
                    <w:rPr>
                      <w:rFonts w:hint="eastAsia" w:ascii="Times New Roman" w:eastAsia="宋体"/>
                      <w:color w:val="000000" w:themeColor="text1"/>
                      <w:szCs w:val="21"/>
                    </w:rPr>
                    <w:t>工作平台顶部安装封闭罩，集气装置的进风口和设备顶部封闭罩连接，有机废气经</w:t>
                  </w:r>
                  <w:r>
                    <w:rPr>
                      <w:rFonts w:hint="eastAsia" w:ascii="Times New Roman" w:hAnsi="Times New Roman" w:eastAsia="宋体"/>
                      <w:color w:val="000000" w:themeColor="text1"/>
                      <w:szCs w:val="21"/>
                    </w:rPr>
                    <w:t>封闭集气罩（6个，新建）</w:t>
                  </w:r>
                  <w:r>
                    <w:rPr>
                      <w:rFonts w:hint="eastAsia" w:ascii="Times New Roman" w:eastAsia="宋体"/>
                      <w:color w:val="000000" w:themeColor="text1"/>
                      <w:szCs w:val="21"/>
                    </w:rPr>
                    <w:t>收集后进入</w:t>
                  </w:r>
                  <w:r>
                    <w:rPr>
                      <w:rFonts w:hint="eastAsia" w:ascii="Times New Roman" w:hAnsi="Times New Roman" w:eastAsia="宋体"/>
                      <w:color w:val="000000" w:themeColor="text1"/>
                      <w:szCs w:val="21"/>
                    </w:rPr>
                    <w:t>“</w:t>
                  </w:r>
                  <w:r>
                    <w:rPr>
                      <w:rFonts w:ascii="Times New Roman" w:hAnsi="Times New Roman" w:eastAsia="宋体"/>
                      <w:color w:val="000000" w:themeColor="text1"/>
                      <w:szCs w:val="21"/>
                    </w:rPr>
                    <w:t>UV光催化氧化</w:t>
                  </w:r>
                  <w:r>
                    <w:rPr>
                      <w:rFonts w:hint="eastAsia" w:ascii="Times New Roman" w:hAnsi="Times New Roman" w:eastAsia="宋体"/>
                      <w:color w:val="000000" w:themeColor="text1"/>
                      <w:szCs w:val="21"/>
                    </w:rPr>
                    <w:t>（原有）</w:t>
                  </w:r>
                  <w:r>
                    <w:rPr>
                      <w:rFonts w:ascii="Times New Roman" w:hAnsi="Times New Roman" w:eastAsia="宋体"/>
                      <w:color w:val="000000" w:themeColor="text1"/>
                      <w:szCs w:val="21"/>
                    </w:rPr>
                    <w:t>+活性炭吸附</w:t>
                  </w:r>
                  <w:r>
                    <w:rPr>
                      <w:rFonts w:hint="eastAsia" w:ascii="Times New Roman" w:hAnsi="Times New Roman" w:eastAsia="宋体"/>
                      <w:color w:val="000000" w:themeColor="text1"/>
                      <w:szCs w:val="21"/>
                    </w:rPr>
                    <w:t>（原有）+油烟净化器（原有）+水喷淋（整改新建）”装置</w:t>
                  </w:r>
                  <w:r>
                    <w:rPr>
                      <w:rFonts w:hint="eastAsia" w:ascii="Times New Roman" w:eastAsia="宋体"/>
                      <w:color w:val="000000" w:themeColor="text1"/>
                      <w:szCs w:val="21"/>
                    </w:rPr>
                    <w:t>进行处理，处理效率达</w:t>
                  </w:r>
                  <w:r>
                    <w:rPr>
                      <w:rFonts w:hint="eastAsia" w:ascii="Times New Roman" w:hAnsi="Times New Roman" w:eastAsia="宋体"/>
                      <w:color w:val="000000" w:themeColor="text1"/>
                      <w:szCs w:val="21"/>
                    </w:rPr>
                    <w:t>80</w:t>
                  </w:r>
                  <w:r>
                    <w:rPr>
                      <w:rFonts w:ascii="Times New Roman" w:hAnsi="Times New Roman" w:eastAsia="宋体"/>
                      <w:color w:val="000000" w:themeColor="text1"/>
                      <w:szCs w:val="21"/>
                    </w:rPr>
                    <w:t>%</w:t>
                  </w:r>
                  <w:r>
                    <w:rPr>
                      <w:rFonts w:hint="eastAsia" w:ascii="Times New Roman" w:eastAsia="宋体"/>
                      <w:color w:val="000000" w:themeColor="text1"/>
                      <w:szCs w:val="21"/>
                    </w:rPr>
                    <w:t>。</w:t>
                  </w:r>
                </w:p>
              </w:tc>
              <w:tc>
                <w:tcPr>
                  <w:tcW w:w="372"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hint="eastAsia" w:ascii="Times New Roman" w:eastAsia="宋体"/>
                      <w:color w:val="000000" w:themeColor="text1"/>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4" w:type="pct"/>
                  <w:tcBorders>
                    <w:top w:val="single" w:color="auto" w:sz="4" w:space="0"/>
                    <w:left w:val="nil"/>
                    <w:bottom w:val="single" w:color="auto" w:sz="4" w:space="0"/>
                    <w:right w:val="single" w:color="auto" w:sz="4" w:space="0"/>
                  </w:tcBorders>
                  <w:vAlign w:val="center"/>
                </w:tcPr>
                <w:p>
                  <w:pPr>
                    <w:adjustRightInd w:val="0"/>
                    <w:snapToGrid w:val="0"/>
                    <w:rPr>
                      <w:rFonts w:ascii="Times New Roman" w:hAnsi="Times New Roman" w:eastAsia="宋体"/>
                      <w:color w:val="000000" w:themeColor="text1"/>
                      <w:kern w:val="0"/>
                      <w:szCs w:val="21"/>
                    </w:rPr>
                  </w:pPr>
                  <w:r>
                    <w:rPr>
                      <w:rFonts w:hint="eastAsia" w:ascii="Times New Roman" w:eastAsia="宋体"/>
                      <w:color w:val="000000" w:themeColor="text1"/>
                      <w:szCs w:val="21"/>
                    </w:rPr>
                    <w:t>河南省生态环境厅《关于印发河南省工业大气污染防治</w:t>
                  </w:r>
                  <w:r>
                    <w:rPr>
                      <w:rFonts w:ascii="Times New Roman" w:hAnsi="Times New Roman" w:eastAsia="宋体"/>
                      <w:color w:val="000000" w:themeColor="text1"/>
                      <w:szCs w:val="21"/>
                    </w:rPr>
                    <w:t>6</w:t>
                  </w:r>
                  <w:r>
                    <w:rPr>
                      <w:rFonts w:hint="eastAsia" w:ascii="Times New Roman" w:eastAsia="宋体"/>
                      <w:color w:val="000000" w:themeColor="text1"/>
                      <w:szCs w:val="21"/>
                    </w:rPr>
                    <w:t>个专项方案的通知》（豫环文</w:t>
                  </w:r>
                  <w:r>
                    <w:rPr>
                      <w:rFonts w:ascii="Times New Roman" w:hAnsi="Times New Roman" w:eastAsia="宋体"/>
                      <w:color w:val="000000" w:themeColor="text1"/>
                      <w:szCs w:val="21"/>
                    </w:rPr>
                    <w:t>[2019]84</w:t>
                  </w:r>
                  <w:r>
                    <w:rPr>
                      <w:rFonts w:hint="eastAsia" w:ascii="Times New Roman" w:eastAsia="宋体"/>
                      <w:color w:val="000000" w:themeColor="text1"/>
                      <w:szCs w:val="21"/>
                    </w:rPr>
                    <w:t>号）</w:t>
                  </w:r>
                  <w:r>
                    <w:rPr>
                      <w:rFonts w:hint="eastAsia" w:ascii="Times New Roman" w:hAnsi="Times New Roman" w:eastAsia="宋体"/>
                      <w:color w:val="000000" w:themeColor="text1"/>
                      <w:szCs w:val="21"/>
                    </w:rPr>
                    <w:t>—</w:t>
                  </w:r>
                  <w:r>
                    <w:rPr>
                      <w:rFonts w:hint="eastAsia" w:ascii="Times New Roman" w:eastAsia="宋体"/>
                      <w:color w:val="000000" w:themeColor="text1"/>
                      <w:kern w:val="0"/>
                      <w:szCs w:val="21"/>
                    </w:rPr>
                    <w:t>《河南省</w:t>
                  </w:r>
                  <w:r>
                    <w:rPr>
                      <w:rFonts w:ascii="Times New Roman" w:hAnsi="Times New Roman" w:eastAsia="宋体"/>
                      <w:color w:val="000000" w:themeColor="text1"/>
                      <w:kern w:val="0"/>
                      <w:szCs w:val="21"/>
                    </w:rPr>
                    <w:t>2019</w:t>
                  </w:r>
                  <w:r>
                    <w:rPr>
                      <w:rFonts w:hint="eastAsia" w:ascii="Times New Roman" w:eastAsia="宋体"/>
                      <w:color w:val="000000" w:themeColor="text1"/>
                      <w:kern w:val="0"/>
                      <w:szCs w:val="21"/>
                    </w:rPr>
                    <w:t>年挥发性有机物治理专项方案》</w:t>
                  </w:r>
                </w:p>
              </w:tc>
              <w:tc>
                <w:tcPr>
                  <w:tcW w:w="2422"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olor w:val="000000" w:themeColor="text1"/>
                      <w:szCs w:val="21"/>
                    </w:rPr>
                  </w:pPr>
                  <w:r>
                    <w:rPr>
                      <w:rFonts w:hint="eastAsia" w:ascii="Times New Roman" w:eastAsia="宋体"/>
                      <w:color w:val="000000" w:themeColor="text1"/>
                      <w:szCs w:val="21"/>
                    </w:rPr>
                    <w:t>（二）工作目标。</w:t>
                  </w:r>
                </w:p>
                <w:p>
                  <w:pPr>
                    <w:rPr>
                      <w:rFonts w:ascii="Times New Roman" w:hAnsi="Times New Roman" w:eastAsia="宋体"/>
                      <w:color w:val="000000" w:themeColor="text1"/>
                      <w:szCs w:val="21"/>
                    </w:rPr>
                  </w:pPr>
                  <w:r>
                    <w:rPr>
                      <w:rFonts w:ascii="Times New Roman" w:hAnsi="Times New Roman" w:eastAsia="宋体"/>
                      <w:color w:val="000000" w:themeColor="text1"/>
                      <w:szCs w:val="21"/>
                    </w:rPr>
                    <w:t>2019</w:t>
                  </w:r>
                  <w:r>
                    <w:rPr>
                      <w:rFonts w:hint="eastAsia" w:ascii="Times New Roman" w:eastAsia="宋体"/>
                      <w:color w:val="000000" w:themeColor="text1"/>
                      <w:szCs w:val="21"/>
                    </w:rPr>
                    <w:t>年</w:t>
                  </w:r>
                  <w:r>
                    <w:rPr>
                      <w:rFonts w:ascii="Times New Roman" w:hAnsi="Times New Roman" w:eastAsia="宋体"/>
                      <w:color w:val="000000" w:themeColor="text1"/>
                      <w:szCs w:val="21"/>
                    </w:rPr>
                    <w:t>6</w:t>
                  </w:r>
                  <w:r>
                    <w:rPr>
                      <w:rFonts w:hint="eastAsia" w:ascii="Times New Roman" w:eastAsia="宋体"/>
                      <w:color w:val="000000" w:themeColor="text1"/>
                      <w:szCs w:val="21"/>
                    </w:rPr>
                    <w:t>月底前，全省石油化学、石油炼制、工业涂装、包装印刷、化工、制药等工业企业，全面完成</w:t>
                  </w:r>
                  <w:r>
                    <w:rPr>
                      <w:rFonts w:ascii="Times New Roman" w:hAnsi="Times New Roman" w:eastAsia="宋体"/>
                      <w:color w:val="000000" w:themeColor="text1"/>
                      <w:szCs w:val="21"/>
                    </w:rPr>
                    <w:t>VOCs</w:t>
                  </w:r>
                  <w:r>
                    <w:rPr>
                      <w:rFonts w:hint="eastAsia" w:ascii="Times New Roman" w:eastAsia="宋体"/>
                      <w:color w:val="000000" w:themeColor="text1"/>
                      <w:szCs w:val="21"/>
                    </w:rPr>
                    <w:t>污染治理；</w:t>
                  </w:r>
                  <w:r>
                    <w:rPr>
                      <w:rFonts w:ascii="Times New Roman" w:hAnsi="Times New Roman" w:eastAsia="宋体"/>
                      <w:color w:val="000000" w:themeColor="text1"/>
                      <w:szCs w:val="21"/>
                    </w:rPr>
                    <w:t>8</w:t>
                  </w:r>
                  <w:r>
                    <w:rPr>
                      <w:rFonts w:hint="eastAsia" w:ascii="Times New Roman" w:eastAsia="宋体"/>
                      <w:color w:val="000000" w:themeColor="text1"/>
                      <w:szCs w:val="21"/>
                    </w:rPr>
                    <w:t>月底前，全省石油化学、石油炼制企业完成</w:t>
                  </w:r>
                  <w:r>
                    <w:rPr>
                      <w:rFonts w:ascii="Times New Roman" w:hAnsi="Times New Roman" w:eastAsia="宋体"/>
                      <w:color w:val="000000" w:themeColor="text1"/>
                      <w:szCs w:val="21"/>
                    </w:rPr>
                    <w:t xml:space="preserve">VOCs </w:t>
                  </w:r>
                  <w:r>
                    <w:rPr>
                      <w:rFonts w:hint="eastAsia" w:ascii="Times New Roman" w:eastAsia="宋体"/>
                      <w:color w:val="000000" w:themeColor="text1"/>
                      <w:szCs w:val="21"/>
                    </w:rPr>
                    <w:t>深度治理和泄漏检测与修复（</w:t>
                  </w:r>
                  <w:r>
                    <w:rPr>
                      <w:rFonts w:ascii="Times New Roman" w:hAnsi="Times New Roman" w:eastAsia="宋体"/>
                      <w:color w:val="000000" w:themeColor="text1"/>
                      <w:szCs w:val="21"/>
                    </w:rPr>
                    <w:t>LDAR</w:t>
                  </w:r>
                  <w:r>
                    <w:rPr>
                      <w:rFonts w:hint="eastAsia" w:ascii="Times New Roman" w:eastAsia="宋体"/>
                      <w:color w:val="000000" w:themeColor="text1"/>
                      <w:szCs w:val="21"/>
                    </w:rPr>
                    <w:t>）治理；</w:t>
                  </w:r>
                  <w:r>
                    <w:rPr>
                      <w:rFonts w:ascii="Times New Roman" w:hAnsi="Times New Roman" w:eastAsia="宋体"/>
                      <w:color w:val="000000" w:themeColor="text1"/>
                      <w:szCs w:val="21"/>
                    </w:rPr>
                    <w:t>12</w:t>
                  </w:r>
                  <w:r>
                    <w:rPr>
                      <w:rFonts w:hint="eastAsia" w:ascii="Times New Roman" w:eastAsia="宋体"/>
                      <w:color w:val="000000" w:themeColor="text1"/>
                      <w:szCs w:val="21"/>
                    </w:rPr>
                    <w:t>月底前，省辖市建成区全面淘汰开启式干洗机。</w:t>
                  </w:r>
                </w:p>
                <w:p>
                  <w:pPr>
                    <w:adjustRightInd w:val="0"/>
                    <w:snapToGrid w:val="0"/>
                    <w:rPr>
                      <w:rFonts w:ascii="Times New Roman" w:hAnsi="Times New Roman" w:eastAsia="宋体"/>
                      <w:bCs/>
                      <w:color w:val="000000" w:themeColor="text1"/>
                      <w:szCs w:val="21"/>
                    </w:rPr>
                  </w:pPr>
                  <w:r>
                    <w:rPr>
                      <w:rFonts w:hint="eastAsia" w:ascii="Times New Roman" w:eastAsia="宋体"/>
                      <w:color w:val="000000" w:themeColor="text1"/>
                      <w:szCs w:val="21"/>
                    </w:rPr>
                    <w:t>石油炼制企业</w:t>
                  </w:r>
                  <w:r>
                    <w:rPr>
                      <w:rFonts w:ascii="Times New Roman" w:hAnsi="Times New Roman" w:eastAsia="宋体"/>
                      <w:color w:val="000000" w:themeColor="text1"/>
                      <w:szCs w:val="21"/>
                    </w:rPr>
                    <w:t>VOCs</w:t>
                  </w:r>
                  <w:r>
                    <w:rPr>
                      <w:rFonts w:hint="eastAsia" w:ascii="Times New Roman" w:eastAsia="宋体"/>
                      <w:color w:val="000000" w:themeColor="text1"/>
                      <w:szCs w:val="21"/>
                    </w:rPr>
                    <w:t>排放全面达到《石油炼制工业污染物排放标准（</w:t>
                  </w:r>
                  <w:r>
                    <w:rPr>
                      <w:rFonts w:ascii="Times New Roman" w:hAnsi="Times New Roman" w:eastAsia="宋体"/>
                      <w:color w:val="000000" w:themeColor="text1"/>
                      <w:szCs w:val="21"/>
                    </w:rPr>
                    <w:t>GB31570-2015</w:t>
                  </w:r>
                  <w:r>
                    <w:rPr>
                      <w:rFonts w:hint="eastAsia" w:ascii="Times New Roman" w:eastAsia="宋体"/>
                      <w:color w:val="000000" w:themeColor="text1"/>
                      <w:szCs w:val="21"/>
                    </w:rPr>
                    <w:t>）》特别排放限值要求，石油化学企业</w:t>
                  </w:r>
                  <w:r>
                    <w:rPr>
                      <w:rFonts w:ascii="Times New Roman" w:hAnsi="Times New Roman" w:eastAsia="宋体"/>
                      <w:color w:val="000000" w:themeColor="text1"/>
                      <w:szCs w:val="21"/>
                    </w:rPr>
                    <w:t>VOCs</w:t>
                  </w:r>
                  <w:r>
                    <w:rPr>
                      <w:rFonts w:hint="eastAsia" w:ascii="Times New Roman" w:eastAsia="宋体"/>
                      <w:color w:val="000000" w:themeColor="text1"/>
                      <w:szCs w:val="21"/>
                    </w:rPr>
                    <w:t>排放全面达到《石油化学行业污染物排放标准（</w:t>
                  </w:r>
                  <w:r>
                    <w:rPr>
                      <w:rFonts w:ascii="Times New Roman" w:hAnsi="Times New Roman" w:eastAsia="宋体"/>
                      <w:color w:val="000000" w:themeColor="text1"/>
                      <w:szCs w:val="21"/>
                    </w:rPr>
                    <w:t>GB31571-2015</w:t>
                  </w:r>
                  <w:r>
                    <w:rPr>
                      <w:rFonts w:hint="eastAsia" w:ascii="Times New Roman" w:eastAsia="宋体"/>
                      <w:color w:val="000000" w:themeColor="text1"/>
                      <w:szCs w:val="21"/>
                    </w:rPr>
                    <w:t>）》特别排放限值要求，其他行业</w:t>
                  </w:r>
                  <w:r>
                    <w:rPr>
                      <w:rFonts w:ascii="Times New Roman" w:hAnsi="Times New Roman" w:eastAsia="宋体"/>
                      <w:color w:val="000000" w:themeColor="text1"/>
                      <w:szCs w:val="21"/>
                    </w:rPr>
                    <w:t>VOCs</w:t>
                  </w:r>
                  <w:r>
                    <w:rPr>
                      <w:rFonts w:hint="eastAsia" w:ascii="Times New Roman" w:eastAsia="宋体"/>
                      <w:color w:val="000000" w:themeColor="text1"/>
                      <w:szCs w:val="21"/>
                    </w:rPr>
                    <w:t>排放全面达到《河南省污染防治攻坚战领导小组办公室关于全省开展工业企业挥发性有机物专项治理工作中排放建议值的通知》（豫环攻坚办〔</w:t>
                  </w:r>
                  <w:r>
                    <w:rPr>
                      <w:rFonts w:ascii="Times New Roman" w:hAnsi="Times New Roman" w:eastAsia="宋体"/>
                      <w:color w:val="000000" w:themeColor="text1"/>
                      <w:szCs w:val="21"/>
                    </w:rPr>
                    <w:t>2017</w:t>
                  </w:r>
                  <w:r>
                    <w:rPr>
                      <w:rFonts w:hint="eastAsia" w:ascii="Times New Roman" w:eastAsia="宋体"/>
                      <w:color w:val="000000" w:themeColor="text1"/>
                      <w:szCs w:val="21"/>
                    </w:rPr>
                    <w:t>〕</w:t>
                  </w:r>
                  <w:r>
                    <w:rPr>
                      <w:rFonts w:ascii="Times New Roman" w:hAnsi="Times New Roman" w:eastAsia="宋体"/>
                      <w:color w:val="000000" w:themeColor="text1"/>
                      <w:szCs w:val="21"/>
                    </w:rPr>
                    <w:t>162</w:t>
                  </w:r>
                  <w:r>
                    <w:rPr>
                      <w:rFonts w:hint="eastAsia" w:ascii="Times New Roman" w:eastAsia="宋体"/>
                      <w:color w:val="000000" w:themeColor="text1"/>
                      <w:szCs w:val="21"/>
                    </w:rPr>
                    <w:t>号）要求。</w:t>
                  </w:r>
                </w:p>
              </w:tc>
              <w:tc>
                <w:tcPr>
                  <w:tcW w:w="15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rPr>
                      <w:rFonts w:ascii="Times New Roman" w:hAnsi="Times New Roman" w:eastAsia="宋体"/>
                      <w:color w:val="000000" w:themeColor="text1"/>
                      <w:szCs w:val="21"/>
                    </w:rPr>
                  </w:pPr>
                  <w:r>
                    <w:rPr>
                      <w:rFonts w:hint="eastAsia" w:ascii="Times New Roman" w:eastAsia="宋体"/>
                      <w:color w:val="000000" w:themeColor="text1"/>
                      <w:szCs w:val="21"/>
                    </w:rPr>
                    <w:t>本项目属于塑料制品加工行业，有机废气经</w:t>
                  </w:r>
                  <w:r>
                    <w:rPr>
                      <w:rFonts w:hint="eastAsia" w:ascii="Times New Roman" w:hAnsi="Times New Roman" w:eastAsia="宋体"/>
                      <w:color w:val="000000" w:themeColor="text1"/>
                      <w:szCs w:val="21"/>
                    </w:rPr>
                    <w:t>封闭集气罩（6个，新建）</w:t>
                  </w:r>
                  <w:r>
                    <w:rPr>
                      <w:rFonts w:hint="eastAsia" w:ascii="Times New Roman" w:eastAsia="宋体"/>
                      <w:color w:val="000000" w:themeColor="text1"/>
                      <w:szCs w:val="21"/>
                    </w:rPr>
                    <w:t>收集后进入</w:t>
                  </w:r>
                  <w:r>
                    <w:rPr>
                      <w:rFonts w:hint="eastAsia" w:ascii="Times New Roman" w:hAnsi="Times New Roman" w:eastAsia="宋体"/>
                      <w:color w:val="000000" w:themeColor="text1"/>
                      <w:szCs w:val="21"/>
                    </w:rPr>
                    <w:t>“</w:t>
                  </w:r>
                  <w:r>
                    <w:rPr>
                      <w:rFonts w:ascii="Times New Roman" w:hAnsi="Times New Roman" w:eastAsia="宋体"/>
                      <w:color w:val="000000" w:themeColor="text1"/>
                      <w:szCs w:val="21"/>
                    </w:rPr>
                    <w:t>UV光催化氧化</w:t>
                  </w:r>
                  <w:r>
                    <w:rPr>
                      <w:rFonts w:hint="eastAsia" w:ascii="Times New Roman" w:hAnsi="Times New Roman" w:eastAsia="宋体"/>
                      <w:color w:val="000000" w:themeColor="text1"/>
                      <w:szCs w:val="21"/>
                    </w:rPr>
                    <w:t>（原有）</w:t>
                  </w:r>
                  <w:r>
                    <w:rPr>
                      <w:rFonts w:ascii="Times New Roman" w:hAnsi="Times New Roman" w:eastAsia="宋体"/>
                      <w:color w:val="000000" w:themeColor="text1"/>
                      <w:szCs w:val="21"/>
                    </w:rPr>
                    <w:t>+活性炭吸附</w:t>
                  </w:r>
                  <w:r>
                    <w:rPr>
                      <w:rFonts w:hint="eastAsia" w:ascii="Times New Roman" w:hAnsi="Times New Roman" w:eastAsia="宋体"/>
                      <w:color w:val="000000" w:themeColor="text1"/>
                      <w:szCs w:val="21"/>
                    </w:rPr>
                    <w:t>（原有）+油烟净化器（原有）+水喷淋（整改新建）”装置</w:t>
                  </w:r>
                  <w:r>
                    <w:rPr>
                      <w:rFonts w:hint="eastAsia" w:ascii="Times New Roman" w:eastAsia="宋体"/>
                      <w:color w:val="000000" w:themeColor="text1"/>
                      <w:szCs w:val="21"/>
                    </w:rPr>
                    <w:t>处理，能够满足《关于全省开展工业企业挥发性有机物专项治理工作中排放建议值的通知》（豫环攻坚办</w:t>
                  </w:r>
                  <w:r>
                    <w:rPr>
                      <w:rFonts w:ascii="Times New Roman" w:hAnsi="Times New Roman" w:eastAsia="宋体"/>
                      <w:color w:val="000000" w:themeColor="text1"/>
                      <w:szCs w:val="21"/>
                    </w:rPr>
                    <w:t>[2017]162</w:t>
                  </w:r>
                  <w:r>
                    <w:rPr>
                      <w:rFonts w:hint="eastAsia" w:ascii="Times New Roman" w:eastAsia="宋体"/>
                      <w:color w:val="000000" w:themeColor="text1"/>
                      <w:szCs w:val="21"/>
                    </w:rPr>
                    <w:t>号文）相关要求。企业有机废气排放口按照环保部门的相关要求，安装</w:t>
                  </w:r>
                  <w:r>
                    <w:rPr>
                      <w:rFonts w:ascii="Times New Roman" w:hAnsi="Times New Roman" w:eastAsia="宋体"/>
                      <w:color w:val="000000" w:themeColor="text1"/>
                      <w:szCs w:val="21"/>
                    </w:rPr>
                    <w:t>VOCs</w:t>
                  </w:r>
                  <w:r>
                    <w:rPr>
                      <w:rFonts w:hint="eastAsia" w:ascii="Times New Roman" w:eastAsia="宋体"/>
                      <w:color w:val="000000" w:themeColor="text1"/>
                      <w:szCs w:val="21"/>
                    </w:rPr>
                    <w:t>在线监测设备并与环境监控中心监控平台联网。</w:t>
                  </w:r>
                </w:p>
              </w:tc>
              <w:tc>
                <w:tcPr>
                  <w:tcW w:w="372"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hint="eastAsia" w:ascii="Times New Roman" w:eastAsia="宋体"/>
                      <w:color w:val="000000" w:themeColor="text1"/>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64" w:type="pct"/>
                  <w:vMerge w:val="restart"/>
                  <w:tcBorders>
                    <w:top w:val="single" w:color="auto" w:sz="4" w:space="0"/>
                    <w:left w:val="nil"/>
                    <w:bottom w:val="single" w:color="auto" w:sz="12" w:space="0"/>
                    <w:right w:val="single" w:color="auto" w:sz="4" w:space="0"/>
                  </w:tcBorders>
                  <w:vAlign w:val="center"/>
                </w:tcPr>
                <w:p>
                  <w:pPr>
                    <w:topLinePunct/>
                    <w:autoSpaceDE w:val="0"/>
                    <w:adjustRightInd w:val="0"/>
                    <w:snapToGrid w:val="0"/>
                    <w:rPr>
                      <w:rFonts w:ascii="Times New Roman" w:hAnsi="Times New Roman" w:eastAsia="宋体"/>
                      <w:color w:val="000000" w:themeColor="text1"/>
                      <w:kern w:val="0"/>
                      <w:szCs w:val="21"/>
                    </w:rPr>
                  </w:pPr>
                  <w:r>
                    <w:rPr>
                      <w:rFonts w:hint="eastAsia" w:ascii="Times New Roman" w:eastAsia="宋体"/>
                      <w:color w:val="000000" w:themeColor="text1"/>
                      <w:kern w:val="0"/>
                      <w:szCs w:val="21"/>
                    </w:rPr>
                    <w:t>关于印发《重点行业挥发性有机物综合治理方案》的通知（环大气</w:t>
                  </w:r>
                  <w:r>
                    <w:rPr>
                      <w:rFonts w:ascii="Times New Roman" w:hAnsi="Times New Roman" w:eastAsia="宋体"/>
                      <w:color w:val="000000" w:themeColor="text1"/>
                      <w:kern w:val="0"/>
                      <w:szCs w:val="21"/>
                    </w:rPr>
                    <w:t>[2019]53</w:t>
                  </w:r>
                  <w:r>
                    <w:rPr>
                      <w:rFonts w:hint="eastAsia" w:ascii="Times New Roman" w:eastAsia="宋体"/>
                      <w:color w:val="000000" w:themeColor="text1"/>
                      <w:kern w:val="0"/>
                      <w:szCs w:val="21"/>
                    </w:rPr>
                    <w:t>号）</w:t>
                  </w:r>
                </w:p>
              </w:tc>
              <w:tc>
                <w:tcPr>
                  <w:tcW w:w="2422"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eastAsia="宋体" w:cs="宋体"/>
                      <w:bCs/>
                      <w:color w:val="000000" w:themeColor="text1"/>
                      <w:szCs w:val="21"/>
                    </w:rPr>
                  </w:pPr>
                  <w:r>
                    <w:rPr>
                      <w:rFonts w:hint="eastAsia" w:ascii="Times New Roman" w:eastAsia="宋体"/>
                      <w:bCs/>
                      <w:color w:val="000000" w:themeColor="text1"/>
                      <w:szCs w:val="21"/>
                    </w:rPr>
                    <w:t>三、控制思路与要求</w:t>
                  </w:r>
                </w:p>
                <w:p>
                  <w:pPr>
                    <w:adjustRightInd w:val="0"/>
                    <w:snapToGrid w:val="0"/>
                    <w:rPr>
                      <w:rFonts w:ascii="Times New Roman" w:hAnsi="Times New Roman" w:eastAsia="宋体"/>
                      <w:bCs/>
                      <w:color w:val="000000" w:themeColor="text1"/>
                      <w:szCs w:val="21"/>
                    </w:rPr>
                  </w:pPr>
                  <w:r>
                    <w:rPr>
                      <w:rFonts w:hint="eastAsia" w:ascii="Times New Roman" w:eastAsia="宋体"/>
                      <w:bCs/>
                      <w:color w:val="000000" w:themeColor="text1"/>
                      <w:szCs w:val="21"/>
                    </w:rPr>
                    <w:t>（二）全面加强无组织排放控制。</w:t>
                  </w:r>
                </w:p>
                <w:p>
                  <w:pPr>
                    <w:adjustRightInd w:val="0"/>
                    <w:snapToGrid w:val="0"/>
                    <w:ind w:firstLine="420" w:firstLineChars="200"/>
                    <w:rPr>
                      <w:rFonts w:ascii="Times New Roman" w:hAnsi="Times New Roman" w:eastAsia="宋体"/>
                      <w:bCs/>
                      <w:color w:val="000000" w:themeColor="text1"/>
                      <w:szCs w:val="21"/>
                    </w:rPr>
                  </w:pPr>
                  <w:r>
                    <w:rPr>
                      <w:rFonts w:hint="eastAsia" w:ascii="Times New Roman" w:eastAsia="宋体"/>
                      <w:bCs/>
                      <w:color w:val="000000" w:themeColor="text1"/>
                      <w:szCs w:val="21"/>
                    </w:rPr>
                    <w:t>重点对含</w:t>
                  </w:r>
                  <w:r>
                    <w:rPr>
                      <w:rFonts w:ascii="Times New Roman" w:hAnsi="Times New Roman" w:eastAsia="宋体"/>
                      <w:bCs/>
                      <w:color w:val="000000" w:themeColor="text1"/>
                      <w:szCs w:val="21"/>
                    </w:rPr>
                    <w:t>VOCs</w:t>
                  </w:r>
                  <w:r>
                    <w:rPr>
                      <w:rFonts w:hint="eastAsia" w:ascii="Times New Roman" w:eastAsia="宋体"/>
                      <w:bCs/>
                      <w:color w:val="000000" w:themeColor="text1"/>
                      <w:szCs w:val="21"/>
                    </w:rPr>
                    <w:t>物料（包括含</w:t>
                  </w:r>
                  <w:r>
                    <w:rPr>
                      <w:rFonts w:ascii="Times New Roman" w:hAnsi="Times New Roman" w:eastAsia="宋体"/>
                      <w:bCs/>
                      <w:color w:val="000000" w:themeColor="text1"/>
                      <w:szCs w:val="21"/>
                    </w:rPr>
                    <w:t>VOCs</w:t>
                  </w:r>
                  <w:r>
                    <w:rPr>
                      <w:rFonts w:hint="eastAsia" w:ascii="Times New Roman" w:eastAsia="宋体"/>
                      <w:bCs/>
                      <w:color w:val="000000" w:themeColor="text1"/>
                      <w:szCs w:val="21"/>
                    </w:rPr>
                    <w:t>原辅材料、含</w:t>
                  </w:r>
                  <w:r>
                    <w:rPr>
                      <w:rFonts w:ascii="Times New Roman" w:hAnsi="Times New Roman" w:eastAsia="宋体"/>
                      <w:bCs/>
                      <w:color w:val="000000" w:themeColor="text1"/>
                      <w:szCs w:val="21"/>
                    </w:rPr>
                    <w:t>VOCs</w:t>
                  </w:r>
                  <w:r>
                    <w:rPr>
                      <w:rFonts w:hint="eastAsia" w:ascii="Times New Roman" w:eastAsia="宋体"/>
                      <w:bCs/>
                      <w:color w:val="000000" w:themeColor="text1"/>
                      <w:szCs w:val="21"/>
                    </w:rPr>
                    <w:t>产品、含</w:t>
                  </w:r>
                  <w:r>
                    <w:rPr>
                      <w:rFonts w:ascii="Times New Roman" w:hAnsi="Times New Roman" w:eastAsia="宋体"/>
                      <w:bCs/>
                      <w:color w:val="000000" w:themeColor="text1"/>
                      <w:szCs w:val="21"/>
                    </w:rPr>
                    <w:t>VOCs</w:t>
                  </w:r>
                  <w:r>
                    <w:rPr>
                      <w:rFonts w:hint="eastAsia" w:ascii="Times New Roman" w:eastAsia="宋体"/>
                      <w:bCs/>
                      <w:color w:val="000000" w:themeColor="text1"/>
                      <w:szCs w:val="21"/>
                    </w:rPr>
                    <w:t>废料以及有机聚合物材料等）储存、转移和输送、设备与管线组件泄漏、敞开液面逸散以及工艺过程等五类排放源实施管控，通过采取设备与场所密闭、工艺改进、废气有效收集等措施，削减</w:t>
                  </w:r>
                  <w:r>
                    <w:rPr>
                      <w:rFonts w:ascii="Times New Roman" w:hAnsi="Times New Roman" w:eastAsia="宋体"/>
                      <w:bCs/>
                      <w:color w:val="000000" w:themeColor="text1"/>
                      <w:szCs w:val="21"/>
                    </w:rPr>
                    <w:t>VOCs</w:t>
                  </w:r>
                  <w:r>
                    <w:rPr>
                      <w:rFonts w:hint="eastAsia" w:ascii="Times New Roman" w:eastAsia="宋体"/>
                      <w:bCs/>
                      <w:color w:val="000000" w:themeColor="text1"/>
                      <w:szCs w:val="21"/>
                    </w:rPr>
                    <w:t>无组织排放。</w:t>
                  </w:r>
                </w:p>
                <w:p>
                  <w:pPr>
                    <w:adjustRightInd w:val="0"/>
                    <w:snapToGrid w:val="0"/>
                    <w:ind w:firstLine="420" w:firstLineChars="200"/>
                    <w:rPr>
                      <w:rFonts w:ascii="Times New Roman" w:hAnsi="Times New Roman" w:eastAsia="宋体"/>
                      <w:bCs/>
                      <w:color w:val="000000" w:themeColor="text1"/>
                      <w:szCs w:val="21"/>
                    </w:rPr>
                  </w:pPr>
                  <w:r>
                    <w:rPr>
                      <w:rFonts w:hint="eastAsia" w:ascii="Times New Roman" w:eastAsia="宋体"/>
                      <w:bCs/>
                      <w:color w:val="000000" w:themeColor="text1"/>
                      <w:szCs w:val="21"/>
                    </w:rPr>
                    <w:t>加强设备与场所密闭管理。含</w:t>
                  </w:r>
                  <w:r>
                    <w:rPr>
                      <w:rFonts w:ascii="Times New Roman" w:hAnsi="Times New Roman" w:eastAsia="宋体"/>
                      <w:bCs/>
                      <w:color w:val="000000" w:themeColor="text1"/>
                      <w:szCs w:val="21"/>
                    </w:rPr>
                    <w:t>VOCs</w:t>
                  </w:r>
                  <w:r>
                    <w:rPr>
                      <w:rFonts w:hint="eastAsia" w:ascii="Times New Roman" w:eastAsia="宋体"/>
                      <w:bCs/>
                      <w:color w:val="000000" w:themeColor="text1"/>
                      <w:szCs w:val="21"/>
                    </w:rPr>
                    <w:t>物料应储存于密闭容器、包装袋，高效密封储罐，封闭式储库、料仓等。含</w:t>
                  </w:r>
                  <w:r>
                    <w:rPr>
                      <w:rFonts w:ascii="Times New Roman" w:hAnsi="Times New Roman" w:eastAsia="宋体"/>
                      <w:bCs/>
                      <w:color w:val="000000" w:themeColor="text1"/>
                      <w:szCs w:val="21"/>
                    </w:rPr>
                    <w:t>VOCs</w:t>
                  </w:r>
                  <w:r>
                    <w:rPr>
                      <w:rFonts w:hint="eastAsia" w:ascii="Times New Roman" w:eastAsia="宋体"/>
                      <w:bCs/>
                      <w:color w:val="000000" w:themeColor="text1"/>
                      <w:szCs w:val="21"/>
                    </w:rPr>
                    <w:t>物料转移和输送，应采用密闭管道或密闭容器、罐车等。高</w:t>
                  </w:r>
                  <w:r>
                    <w:rPr>
                      <w:rFonts w:ascii="Times New Roman" w:hAnsi="Times New Roman" w:eastAsia="宋体"/>
                      <w:bCs/>
                      <w:color w:val="000000" w:themeColor="text1"/>
                      <w:szCs w:val="21"/>
                    </w:rPr>
                    <w:t>VOCs</w:t>
                  </w:r>
                  <w:r>
                    <w:rPr>
                      <w:rFonts w:hint="eastAsia" w:ascii="Times New Roman" w:eastAsia="宋体"/>
                      <w:bCs/>
                      <w:color w:val="000000" w:themeColor="text1"/>
                      <w:szCs w:val="21"/>
                    </w:rPr>
                    <w:t>含量废水（废水液面上方</w:t>
                  </w:r>
                  <w:r>
                    <w:rPr>
                      <w:rFonts w:ascii="Times New Roman" w:hAnsi="Times New Roman" w:eastAsia="宋体"/>
                      <w:bCs/>
                      <w:color w:val="000000" w:themeColor="text1"/>
                      <w:szCs w:val="21"/>
                    </w:rPr>
                    <w:t>100</w:t>
                  </w:r>
                  <w:r>
                    <w:rPr>
                      <w:rFonts w:hint="eastAsia" w:ascii="Times New Roman" w:eastAsia="宋体"/>
                      <w:bCs/>
                      <w:color w:val="000000" w:themeColor="text1"/>
                      <w:szCs w:val="21"/>
                    </w:rPr>
                    <w:t>毫米处</w:t>
                  </w:r>
                  <w:r>
                    <w:rPr>
                      <w:rFonts w:ascii="Times New Roman" w:hAnsi="Times New Roman" w:eastAsia="宋体"/>
                      <w:bCs/>
                      <w:color w:val="000000" w:themeColor="text1"/>
                      <w:szCs w:val="21"/>
                    </w:rPr>
                    <w:t>VOCs</w:t>
                  </w:r>
                  <w:r>
                    <w:rPr>
                      <w:rFonts w:hint="eastAsia" w:ascii="Times New Roman" w:eastAsia="宋体"/>
                      <w:bCs/>
                      <w:color w:val="000000" w:themeColor="text1"/>
                      <w:szCs w:val="21"/>
                    </w:rPr>
                    <w:t>检测浓度超过</w:t>
                  </w:r>
                  <w:r>
                    <w:rPr>
                      <w:rFonts w:ascii="Times New Roman" w:hAnsi="Times New Roman" w:eastAsia="宋体"/>
                      <w:bCs/>
                      <w:color w:val="000000" w:themeColor="text1"/>
                      <w:szCs w:val="21"/>
                    </w:rPr>
                    <w:t>200ppm</w:t>
                  </w:r>
                  <w:r>
                    <w:rPr>
                      <w:rFonts w:hint="eastAsia" w:ascii="Times New Roman" w:eastAsia="宋体"/>
                      <w:bCs/>
                      <w:color w:val="000000" w:themeColor="text1"/>
                      <w:szCs w:val="21"/>
                    </w:rPr>
                    <w:t>，其中，重点区域超过</w:t>
                  </w:r>
                  <w:r>
                    <w:rPr>
                      <w:rFonts w:ascii="Times New Roman" w:hAnsi="Times New Roman" w:eastAsia="宋体"/>
                      <w:bCs/>
                      <w:color w:val="000000" w:themeColor="text1"/>
                      <w:szCs w:val="21"/>
                    </w:rPr>
                    <w:t>100ppm</w:t>
                  </w:r>
                  <w:r>
                    <w:rPr>
                      <w:rFonts w:hint="eastAsia" w:ascii="Times New Roman" w:eastAsia="宋体"/>
                      <w:bCs/>
                      <w:color w:val="000000" w:themeColor="text1"/>
                      <w:szCs w:val="21"/>
                    </w:rPr>
                    <w:t>，以碳计）的集输、储存和处理过程，应加盖密闭。含</w:t>
                  </w:r>
                  <w:r>
                    <w:rPr>
                      <w:rFonts w:ascii="Times New Roman" w:hAnsi="Times New Roman" w:eastAsia="宋体"/>
                      <w:bCs/>
                      <w:color w:val="000000" w:themeColor="text1"/>
                      <w:szCs w:val="21"/>
                    </w:rPr>
                    <w:t>VOCs</w:t>
                  </w:r>
                  <w:r>
                    <w:rPr>
                      <w:rFonts w:hint="eastAsia" w:ascii="Times New Roman" w:eastAsia="宋体"/>
                      <w:bCs/>
                      <w:color w:val="000000" w:themeColor="text1"/>
                      <w:szCs w:val="21"/>
                    </w:rPr>
                    <w:t>物料生产和使用过程，应采取有效收集措施或在密闭空间中操作。</w:t>
                  </w:r>
                </w:p>
                <w:p>
                  <w:pPr>
                    <w:adjustRightInd w:val="0"/>
                    <w:snapToGrid w:val="0"/>
                    <w:ind w:firstLine="420" w:firstLineChars="200"/>
                    <w:rPr>
                      <w:rFonts w:ascii="Times New Roman" w:hAnsi="Times New Roman" w:eastAsia="宋体"/>
                      <w:bCs/>
                      <w:color w:val="000000" w:themeColor="text1"/>
                      <w:szCs w:val="21"/>
                    </w:rPr>
                  </w:pPr>
                  <w:r>
                    <w:rPr>
                      <w:rFonts w:hint="eastAsia" w:ascii="Times New Roman" w:eastAsia="宋体"/>
                      <w:bCs/>
                      <w:color w:val="000000" w:themeColor="text1"/>
                      <w:szCs w:val="21"/>
                    </w:rPr>
                    <w:t>推进使用先进生产工艺。通过采用全密闭、连续化、自动化等生产技术，以及高效工艺与设备等，减少工艺过程无组织排放。挥发性有机液体装载优先采用底部装载方式。</w:t>
                  </w:r>
                </w:p>
                <w:p>
                  <w:pPr>
                    <w:adjustRightInd w:val="0"/>
                    <w:snapToGrid w:val="0"/>
                    <w:ind w:firstLine="420" w:firstLineChars="200"/>
                    <w:rPr>
                      <w:rFonts w:ascii="Times New Roman" w:hAnsi="Times New Roman" w:eastAsia="宋体"/>
                      <w:bCs/>
                      <w:color w:val="000000" w:themeColor="text1"/>
                      <w:szCs w:val="21"/>
                    </w:rPr>
                  </w:pPr>
                  <w:r>
                    <w:rPr>
                      <w:rFonts w:hint="eastAsia" w:ascii="Times New Roman" w:eastAsia="宋体"/>
                      <w:bCs/>
                      <w:color w:val="000000" w:themeColor="text1"/>
                      <w:szCs w:val="21"/>
                    </w:rPr>
                    <w:t>提高废气收集率。遵循</w:t>
                  </w:r>
                  <w:r>
                    <w:rPr>
                      <w:rFonts w:hint="eastAsia" w:ascii="Times New Roman" w:hAnsi="Times New Roman" w:eastAsia="宋体"/>
                      <w:bCs/>
                      <w:color w:val="000000" w:themeColor="text1"/>
                      <w:szCs w:val="21"/>
                    </w:rPr>
                    <w:t>“</w:t>
                  </w:r>
                  <w:r>
                    <w:rPr>
                      <w:rFonts w:hint="eastAsia" w:ascii="Times New Roman" w:eastAsia="宋体"/>
                      <w:bCs/>
                      <w:color w:val="000000" w:themeColor="text1"/>
                      <w:szCs w:val="21"/>
                    </w:rPr>
                    <w:t>应收尽收、分质收集</w:t>
                  </w:r>
                  <w:r>
                    <w:rPr>
                      <w:rFonts w:hint="eastAsia" w:ascii="Times New Roman" w:hAnsi="Times New Roman" w:eastAsia="宋体"/>
                      <w:bCs/>
                      <w:color w:val="000000" w:themeColor="text1"/>
                      <w:szCs w:val="21"/>
                    </w:rPr>
                    <w:t>”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w:t>
                  </w:r>
                  <w:r>
                    <w:rPr>
                      <w:rFonts w:ascii="Times New Roman" w:hAnsi="Times New Roman" w:eastAsia="宋体"/>
                      <w:bCs/>
                      <w:color w:val="000000" w:themeColor="text1"/>
                      <w:szCs w:val="21"/>
                    </w:rPr>
                    <w:t>VOCs</w:t>
                  </w:r>
                  <w:r>
                    <w:rPr>
                      <w:rFonts w:hint="eastAsia" w:ascii="Times New Roman" w:hAnsi="Times New Roman" w:eastAsia="宋体"/>
                      <w:bCs/>
                      <w:color w:val="000000" w:themeColor="text1"/>
                      <w:szCs w:val="21"/>
                    </w:rPr>
                    <w:t>无组织排放位置，控制风速应不低于</w:t>
                  </w:r>
                  <w:r>
                    <w:rPr>
                      <w:rFonts w:ascii="Times New Roman" w:hAnsi="Times New Roman" w:eastAsia="宋体"/>
                      <w:bCs/>
                      <w:color w:val="000000" w:themeColor="text1"/>
                      <w:szCs w:val="21"/>
                    </w:rPr>
                    <w:t>0.3</w:t>
                  </w:r>
                  <w:r>
                    <w:rPr>
                      <w:rFonts w:hint="eastAsia" w:ascii="Times New Roman" w:hAnsi="Times New Roman" w:eastAsia="宋体"/>
                      <w:bCs/>
                      <w:color w:val="000000" w:themeColor="text1"/>
                      <w:szCs w:val="21"/>
                    </w:rPr>
                    <w:t>米</w:t>
                  </w:r>
                  <w:r>
                    <w:rPr>
                      <w:rFonts w:ascii="Times New Roman" w:hAnsi="Times New Roman" w:eastAsia="宋体"/>
                      <w:bCs/>
                      <w:color w:val="000000" w:themeColor="text1"/>
                      <w:szCs w:val="21"/>
                    </w:rPr>
                    <w:t>/</w:t>
                  </w:r>
                  <w:r>
                    <w:rPr>
                      <w:rFonts w:hint="eastAsia" w:ascii="Times New Roman" w:hAnsi="Times New Roman" w:eastAsia="宋体"/>
                      <w:bCs/>
                      <w:color w:val="000000" w:themeColor="text1"/>
                      <w:szCs w:val="21"/>
                    </w:rPr>
                    <w:t>秒，有行业要求的按相关规定执行。</w:t>
                  </w:r>
                </w:p>
                <w:p>
                  <w:pPr>
                    <w:adjustRightInd w:val="0"/>
                    <w:snapToGrid w:val="0"/>
                    <w:rPr>
                      <w:rFonts w:ascii="Times New Roman" w:hAnsi="Times New Roman" w:eastAsia="宋体"/>
                      <w:bCs/>
                      <w:color w:val="000000" w:themeColor="text1"/>
                      <w:szCs w:val="21"/>
                    </w:rPr>
                  </w:pPr>
                  <w:r>
                    <w:rPr>
                      <w:rFonts w:hint="eastAsia" w:ascii="Times New Roman" w:hAnsi="Times New Roman" w:eastAsia="宋体"/>
                      <w:bCs/>
                      <w:color w:val="000000" w:themeColor="text1"/>
                      <w:szCs w:val="21"/>
                    </w:rPr>
                    <w:t>（三）推进建设适宜高效的治污设施。</w:t>
                  </w:r>
                </w:p>
                <w:p>
                  <w:pPr>
                    <w:adjustRightInd w:val="0"/>
                    <w:snapToGrid w:val="0"/>
                    <w:ind w:firstLine="420" w:firstLineChars="200"/>
                    <w:rPr>
                      <w:rFonts w:ascii="Times New Roman" w:hAnsi="Times New Roman" w:eastAsia="宋体"/>
                      <w:bCs/>
                      <w:color w:val="000000" w:themeColor="text1"/>
                      <w:szCs w:val="21"/>
                    </w:rPr>
                  </w:pPr>
                  <w:r>
                    <w:rPr>
                      <w:rFonts w:hint="eastAsia" w:ascii="Times New Roman" w:hAnsi="Times New Roman" w:eastAsia="宋体"/>
                      <w:bCs/>
                      <w:color w:val="000000" w:themeColor="text1"/>
                      <w:szCs w:val="21"/>
                    </w:rPr>
                    <w:t>企业新建治污设施或对现有治污设施实施改造，应依据排放废气的浓度、组分、风量，温度、湿度、压力，以及生产工况等，合理选择治理技术。鼓励企业采用多种技术的组合工艺，提高</w:t>
                  </w:r>
                  <w:r>
                    <w:rPr>
                      <w:rFonts w:ascii="Times New Roman" w:hAnsi="Times New Roman" w:eastAsia="宋体"/>
                      <w:bCs/>
                      <w:color w:val="000000" w:themeColor="text1"/>
                      <w:szCs w:val="21"/>
                    </w:rPr>
                    <w:t>VOCs</w:t>
                  </w:r>
                  <w:r>
                    <w:rPr>
                      <w:rFonts w:hint="eastAsia" w:ascii="Times New Roman" w:hAnsi="Times New Roman" w:eastAsia="宋体"/>
                      <w:bCs/>
                      <w:color w:val="000000" w:themeColor="text1"/>
                      <w:szCs w:val="21"/>
                    </w:rPr>
                    <w:t>治理效率。低浓度、大风量废气，宜采用沸石转轮吸附、活性炭吸附、减风增浓等浓缩技术，提高</w:t>
                  </w:r>
                  <w:r>
                    <w:rPr>
                      <w:rFonts w:ascii="Times New Roman" w:hAnsi="Times New Roman" w:eastAsia="宋体"/>
                      <w:bCs/>
                      <w:color w:val="000000" w:themeColor="text1"/>
                      <w:szCs w:val="21"/>
                    </w:rPr>
                    <w:t>VOCs</w:t>
                  </w:r>
                  <w:r>
                    <w:rPr>
                      <w:rFonts w:hint="eastAsia" w:ascii="Times New Roman" w:hAnsi="Times New Roman" w:eastAsia="宋体"/>
                      <w:bCs/>
                      <w:color w:val="000000" w:themeColor="text1"/>
                      <w:szCs w:val="21"/>
                    </w:rPr>
                    <w:t>浓度后净化处理；高浓度废气，优先进行溶剂回收，难以回收的，宜采用高温焚烧、催化燃烧等技术。油气（溶剂）回收宜采用冷凝</w:t>
                  </w:r>
                  <w:r>
                    <w:rPr>
                      <w:rFonts w:ascii="Times New Roman" w:hAnsi="Times New Roman" w:eastAsia="宋体"/>
                      <w:bCs/>
                      <w:color w:val="000000" w:themeColor="text1"/>
                      <w:szCs w:val="21"/>
                    </w:rPr>
                    <w:t>+</w:t>
                  </w:r>
                  <w:r>
                    <w:rPr>
                      <w:rFonts w:hint="eastAsia" w:ascii="Times New Roman" w:hAnsi="Times New Roman" w:eastAsia="宋体"/>
                      <w:bCs/>
                      <w:color w:val="000000" w:themeColor="text1"/>
                      <w:szCs w:val="21"/>
                    </w:rPr>
                    <w:t>吸附、吸附</w:t>
                  </w:r>
                  <w:r>
                    <w:rPr>
                      <w:rFonts w:ascii="Times New Roman" w:hAnsi="Times New Roman" w:eastAsia="宋体"/>
                      <w:bCs/>
                      <w:color w:val="000000" w:themeColor="text1"/>
                      <w:szCs w:val="21"/>
                    </w:rPr>
                    <w:t>+</w:t>
                  </w:r>
                  <w:r>
                    <w:rPr>
                      <w:rFonts w:hint="eastAsia" w:ascii="Times New Roman" w:hAnsi="Times New Roman" w:eastAsia="宋体"/>
                      <w:bCs/>
                      <w:color w:val="000000" w:themeColor="text1"/>
                      <w:szCs w:val="21"/>
                    </w:rPr>
                    <w:t>吸收、膜分离</w:t>
                  </w:r>
                  <w:r>
                    <w:rPr>
                      <w:rFonts w:ascii="Times New Roman" w:hAnsi="Times New Roman" w:eastAsia="宋体"/>
                      <w:bCs/>
                      <w:color w:val="000000" w:themeColor="text1"/>
                      <w:szCs w:val="21"/>
                    </w:rPr>
                    <w:t>+</w:t>
                  </w:r>
                  <w:r>
                    <w:rPr>
                      <w:rFonts w:hint="eastAsia" w:ascii="Times New Roman" w:hAnsi="Times New Roman" w:eastAsia="宋体"/>
                      <w:bCs/>
                      <w:color w:val="000000" w:themeColor="text1"/>
                      <w:szCs w:val="21"/>
                    </w:rPr>
                    <w:t>吸附等技术。低温等离子、光催化、光氧化技术主要适用于恶臭异味等治理；生物法主要适用于低浓度</w:t>
                  </w:r>
                  <w:r>
                    <w:rPr>
                      <w:rFonts w:ascii="Times New Roman" w:hAnsi="Times New Roman" w:eastAsia="宋体"/>
                      <w:bCs/>
                      <w:color w:val="000000" w:themeColor="text1"/>
                      <w:szCs w:val="21"/>
                    </w:rPr>
                    <w:t>VOCs</w:t>
                  </w:r>
                  <w:r>
                    <w:rPr>
                      <w:rFonts w:hint="eastAsia" w:ascii="Times New Roman" w:hAnsi="Times New Roman" w:eastAsia="宋体"/>
                      <w:bCs/>
                      <w:color w:val="000000" w:themeColor="text1"/>
                      <w:szCs w:val="21"/>
                    </w:rPr>
                    <w:t>废气治理和恶臭异味治理。非水溶性的</w:t>
                  </w:r>
                  <w:r>
                    <w:rPr>
                      <w:rFonts w:ascii="Times New Roman" w:hAnsi="Times New Roman" w:eastAsia="宋体"/>
                      <w:bCs/>
                      <w:color w:val="000000" w:themeColor="text1"/>
                      <w:szCs w:val="21"/>
                    </w:rPr>
                    <w:t>VOCs</w:t>
                  </w:r>
                  <w:r>
                    <w:rPr>
                      <w:rFonts w:hint="eastAsia" w:ascii="Times New Roman" w:hAnsi="Times New Roman" w:eastAsia="宋体"/>
                      <w:bCs/>
                      <w:color w:val="000000" w:themeColor="text1"/>
                      <w:szCs w:val="21"/>
                    </w:rPr>
                    <w:t>废气禁止采用水或水溶液喷淋吸收处理。采用一次性活性炭吸附技术的，应定期更换活性炭，废旧活性炭应再生或处理处置。有条件的工业园区和产业集群等，推广集中喷涂、溶剂集中回收、活性炭集中再生等，加强资源共享，提高</w:t>
                  </w:r>
                  <w:r>
                    <w:rPr>
                      <w:rFonts w:ascii="Times New Roman" w:hAnsi="Times New Roman" w:eastAsia="宋体"/>
                      <w:bCs/>
                      <w:color w:val="000000" w:themeColor="text1"/>
                      <w:szCs w:val="21"/>
                    </w:rPr>
                    <w:t>VOCs</w:t>
                  </w:r>
                  <w:r>
                    <w:rPr>
                      <w:rFonts w:hint="eastAsia" w:ascii="Times New Roman" w:hAnsi="Times New Roman" w:eastAsia="宋体"/>
                      <w:bCs/>
                      <w:color w:val="000000" w:themeColor="text1"/>
                      <w:szCs w:val="21"/>
                    </w:rPr>
                    <w:t>治理效率。</w:t>
                  </w:r>
                </w:p>
              </w:tc>
              <w:tc>
                <w:tcPr>
                  <w:tcW w:w="15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rPr>
                      <w:rFonts w:ascii="Times New Roman" w:hAnsi="Times New Roman" w:eastAsia="宋体"/>
                      <w:color w:val="000000" w:themeColor="text1"/>
                      <w:szCs w:val="21"/>
                    </w:rPr>
                  </w:pPr>
                  <w:r>
                    <w:rPr>
                      <w:rFonts w:hint="eastAsia" w:ascii="Times New Roman" w:hAnsi="Times New Roman" w:eastAsia="宋体"/>
                      <w:color w:val="000000" w:themeColor="text1"/>
                      <w:szCs w:val="21"/>
                    </w:rPr>
                    <w:t>本项目塑料皮帘和边条在压合</w:t>
                  </w:r>
                  <w:r>
                    <w:rPr>
                      <w:rFonts w:ascii="Times New Roman" w:hAnsi="Times New Roman" w:eastAsia="宋体"/>
                      <w:color w:val="000000" w:themeColor="text1"/>
                      <w:szCs w:val="21"/>
                    </w:rPr>
                    <w:t>工序</w:t>
                  </w:r>
                  <w:r>
                    <w:rPr>
                      <w:rFonts w:hint="eastAsia" w:ascii="Times New Roman" w:hAnsi="Times New Roman" w:eastAsia="宋体"/>
                      <w:color w:val="000000" w:themeColor="text1"/>
                      <w:szCs w:val="21"/>
                    </w:rPr>
                    <w:t>会产生有机废气</w:t>
                  </w:r>
                  <w:r>
                    <w:rPr>
                      <w:rFonts w:hint="eastAsia" w:ascii="Times New Roman" w:hAnsi="Times New Roman" w:eastAsia="宋体"/>
                      <w:bCs/>
                      <w:color w:val="000000" w:themeColor="text1"/>
                      <w:szCs w:val="21"/>
                    </w:rPr>
                    <w:t>，</w:t>
                  </w:r>
                  <w:r>
                    <w:rPr>
                      <w:rFonts w:hint="eastAsia" w:ascii="Times New Roman" w:hAnsi="Times New Roman" w:eastAsia="宋体"/>
                      <w:bCs/>
                      <w:color w:val="000000" w:themeColor="text1"/>
                      <w:kern w:val="21"/>
                      <w:szCs w:val="21"/>
                    </w:rPr>
                    <w:t>压合工序位于封闭的生产车间内，</w:t>
                  </w:r>
                  <w:r>
                    <w:rPr>
                      <w:rFonts w:hint="eastAsia" w:ascii="Times New Roman" w:hAnsi="宋体" w:eastAsia="宋体"/>
                      <w:bCs/>
                      <w:color w:val="000000" w:themeColor="text1"/>
                      <w:szCs w:val="21"/>
                    </w:rPr>
                    <w:t>高周波塑熔机</w:t>
                  </w:r>
                  <w:r>
                    <w:rPr>
                      <w:rFonts w:hint="eastAsia" w:ascii="Times New Roman" w:eastAsia="宋体"/>
                      <w:color w:val="000000" w:themeColor="text1"/>
                      <w:szCs w:val="21"/>
                    </w:rPr>
                    <w:t>工作平台顶部安装封闭罩</w:t>
                  </w:r>
                  <w:r>
                    <w:rPr>
                      <w:rFonts w:hint="eastAsia" w:ascii="Times New Roman" w:hAnsi="Times New Roman" w:eastAsia="宋体"/>
                      <w:color w:val="000000" w:themeColor="text1"/>
                      <w:szCs w:val="21"/>
                    </w:rPr>
                    <w:t>。有机</w:t>
                  </w:r>
                  <w:r>
                    <w:rPr>
                      <w:rFonts w:hint="eastAsia" w:ascii="Times New Roman" w:hAnsi="Times New Roman" w:eastAsia="宋体"/>
                      <w:bCs/>
                      <w:color w:val="000000" w:themeColor="text1"/>
                      <w:szCs w:val="21"/>
                    </w:rPr>
                    <w:t>废气</w:t>
                  </w:r>
                  <w:r>
                    <w:rPr>
                      <w:rFonts w:hint="eastAsia" w:ascii="Times New Roman" w:eastAsia="宋体"/>
                      <w:color w:val="000000" w:themeColor="text1"/>
                      <w:szCs w:val="21"/>
                    </w:rPr>
                    <w:t>经</w:t>
                  </w:r>
                  <w:r>
                    <w:rPr>
                      <w:rFonts w:hint="eastAsia" w:ascii="Times New Roman" w:hAnsi="Times New Roman" w:eastAsia="宋体"/>
                      <w:color w:val="000000" w:themeColor="text1"/>
                      <w:szCs w:val="21"/>
                    </w:rPr>
                    <w:t>封闭集气罩（6个，新建）</w:t>
                  </w:r>
                  <w:r>
                    <w:rPr>
                      <w:rFonts w:hint="eastAsia" w:ascii="Times New Roman" w:eastAsia="宋体"/>
                      <w:color w:val="000000" w:themeColor="text1"/>
                      <w:szCs w:val="21"/>
                    </w:rPr>
                    <w:t>收集后进入</w:t>
                  </w:r>
                  <w:r>
                    <w:rPr>
                      <w:rFonts w:hint="eastAsia" w:ascii="Times New Roman" w:hAnsi="Times New Roman" w:eastAsia="宋体"/>
                      <w:color w:val="000000" w:themeColor="text1"/>
                      <w:szCs w:val="21"/>
                    </w:rPr>
                    <w:t>“</w:t>
                  </w:r>
                  <w:r>
                    <w:rPr>
                      <w:rFonts w:ascii="Times New Roman" w:hAnsi="Times New Roman" w:eastAsia="宋体"/>
                      <w:color w:val="000000" w:themeColor="text1"/>
                      <w:szCs w:val="21"/>
                    </w:rPr>
                    <w:t>UV光催化氧化</w:t>
                  </w:r>
                  <w:r>
                    <w:rPr>
                      <w:rFonts w:hint="eastAsia" w:ascii="Times New Roman" w:hAnsi="Times New Roman" w:eastAsia="宋体"/>
                      <w:color w:val="000000" w:themeColor="text1"/>
                      <w:szCs w:val="21"/>
                    </w:rPr>
                    <w:t>（原有）</w:t>
                  </w:r>
                  <w:r>
                    <w:rPr>
                      <w:rFonts w:ascii="Times New Roman" w:hAnsi="Times New Roman" w:eastAsia="宋体"/>
                      <w:color w:val="000000" w:themeColor="text1"/>
                      <w:szCs w:val="21"/>
                    </w:rPr>
                    <w:t>+活性炭吸附</w:t>
                  </w:r>
                  <w:r>
                    <w:rPr>
                      <w:rFonts w:hint="eastAsia" w:ascii="Times New Roman" w:hAnsi="Times New Roman" w:eastAsia="宋体"/>
                      <w:color w:val="000000" w:themeColor="text1"/>
                      <w:szCs w:val="21"/>
                    </w:rPr>
                    <w:t>（原有）+油烟净化器（原有）+水喷淋（整改新建）”装置</w:t>
                  </w:r>
                  <w:r>
                    <w:rPr>
                      <w:rFonts w:hint="eastAsia" w:ascii="Times New Roman" w:hAnsi="Times New Roman" w:eastAsia="宋体"/>
                      <w:bCs/>
                      <w:color w:val="000000" w:themeColor="text1"/>
                      <w:szCs w:val="21"/>
                    </w:rPr>
                    <w:t>处理后经</w:t>
                  </w:r>
                  <w:r>
                    <w:rPr>
                      <w:rFonts w:ascii="Times New Roman" w:hAnsi="Times New Roman" w:eastAsia="宋体"/>
                      <w:bCs/>
                      <w:color w:val="000000" w:themeColor="text1"/>
                      <w:szCs w:val="21"/>
                    </w:rPr>
                    <w:t>15m</w:t>
                  </w:r>
                  <w:r>
                    <w:rPr>
                      <w:rFonts w:hint="eastAsia" w:ascii="Times New Roman" w:hAnsi="Times New Roman" w:eastAsia="宋体"/>
                      <w:bCs/>
                      <w:color w:val="000000" w:themeColor="text1"/>
                      <w:szCs w:val="21"/>
                    </w:rPr>
                    <w:t>高排气筒排放，增加集气装置的收集效率减少无组织有机废气的排放。定期更换活性炭，更换下来的废活性炭暂存于危废暂存间内，定期交有资质单位处理。</w:t>
                  </w:r>
                </w:p>
              </w:tc>
              <w:tc>
                <w:tcPr>
                  <w:tcW w:w="372" w:type="pct"/>
                  <w:tcBorders>
                    <w:top w:val="single" w:color="auto" w:sz="4" w:space="0"/>
                    <w:left w:val="single" w:color="auto" w:sz="4" w:space="0"/>
                    <w:bottom w:val="single" w:color="auto" w:sz="4" w:space="0"/>
                    <w:right w:val="nil"/>
                  </w:tcBorders>
                  <w:vAlign w:val="center"/>
                </w:tcPr>
                <w:p>
                  <w:pPr>
                    <w:widowControl/>
                    <w:jc w:val="left"/>
                    <w:rPr>
                      <w:rFonts w:ascii="Times New Roman" w:hAnsi="Times New Roman" w:eastAsia="宋体"/>
                      <w:color w:val="000000" w:themeColor="text1"/>
                      <w:szCs w:val="21"/>
                    </w:rPr>
                  </w:pPr>
                  <w:r>
                    <w:rPr>
                      <w:rFonts w:hint="eastAsia" w:ascii="Times New Roman" w:hAnsi="Times New Roman" w:eastAsia="宋体"/>
                      <w:color w:val="000000" w:themeColor="text1"/>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4" w:type="pct"/>
                  <w:vMerge w:val="continue"/>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eastAsia="宋体"/>
                      <w:color w:val="000000" w:themeColor="text1"/>
                      <w:kern w:val="0"/>
                      <w:szCs w:val="21"/>
                    </w:rPr>
                  </w:pPr>
                </w:p>
              </w:tc>
              <w:tc>
                <w:tcPr>
                  <w:tcW w:w="2422"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eastAsia="宋体"/>
                      <w:bCs/>
                      <w:color w:val="000000" w:themeColor="text1"/>
                      <w:szCs w:val="21"/>
                    </w:rPr>
                  </w:pPr>
                  <w:r>
                    <w:rPr>
                      <w:rFonts w:hint="eastAsia" w:ascii="Times New Roman" w:hAnsi="Times New Roman" w:eastAsia="宋体"/>
                      <w:bCs/>
                      <w:color w:val="000000" w:themeColor="text1"/>
                      <w:szCs w:val="21"/>
                    </w:rPr>
                    <w:t>四、重点行业治理任务</w:t>
                  </w:r>
                </w:p>
                <w:p>
                  <w:pPr>
                    <w:rPr>
                      <w:rFonts w:ascii="Times New Roman" w:hAnsi="Times New Roman" w:eastAsia="宋体"/>
                      <w:color w:val="000000" w:themeColor="text1"/>
                    </w:rPr>
                  </w:pPr>
                  <w:r>
                    <w:rPr>
                      <w:rFonts w:hint="eastAsia" w:ascii="Times New Roman" w:hAnsi="Times New Roman" w:eastAsia="宋体"/>
                      <w:color w:val="000000" w:themeColor="text1"/>
                    </w:rPr>
                    <w:t>（二）化工行业</w:t>
                  </w:r>
                  <w:r>
                    <w:rPr>
                      <w:rFonts w:ascii="Times New Roman" w:hAnsi="Times New Roman" w:eastAsia="宋体"/>
                      <w:color w:val="000000" w:themeColor="text1"/>
                    </w:rPr>
                    <w:t>VOCs</w:t>
                  </w:r>
                  <w:r>
                    <w:rPr>
                      <w:rFonts w:hint="eastAsia" w:ascii="Times New Roman" w:hAnsi="Times New Roman" w:eastAsia="宋体"/>
                      <w:color w:val="000000" w:themeColor="text1"/>
                    </w:rPr>
                    <w:t>综合治理。</w:t>
                  </w:r>
                </w:p>
                <w:p>
                  <w:pPr>
                    <w:ind w:firstLine="420" w:firstLineChars="200"/>
                    <w:rPr>
                      <w:rFonts w:ascii="Times New Roman" w:hAnsi="Times New Roman" w:eastAsia="宋体"/>
                      <w:color w:val="000000" w:themeColor="text1"/>
                    </w:rPr>
                  </w:pPr>
                  <w:r>
                    <w:rPr>
                      <w:rFonts w:hint="eastAsia" w:ascii="Times New Roman" w:hAnsi="Times New Roman" w:eastAsia="宋体"/>
                      <w:color w:val="000000" w:themeColor="text1"/>
                    </w:rPr>
                    <w:t>加强制药、农药、涂料、油墨、胶粘剂、橡胶和塑料制品等行业</w:t>
                  </w:r>
                  <w:r>
                    <w:rPr>
                      <w:rFonts w:ascii="Times New Roman" w:hAnsi="Times New Roman" w:eastAsia="宋体"/>
                      <w:color w:val="000000" w:themeColor="text1"/>
                    </w:rPr>
                    <w:t>VOCs</w:t>
                  </w:r>
                  <w:r>
                    <w:rPr>
                      <w:rFonts w:hint="eastAsia" w:ascii="Times New Roman" w:hAnsi="Times New Roman" w:eastAsia="宋体"/>
                      <w:color w:val="000000" w:themeColor="text1"/>
                    </w:rPr>
                    <w:t>治理力度。重点提高涉</w:t>
                  </w:r>
                  <w:r>
                    <w:rPr>
                      <w:rFonts w:ascii="Times New Roman" w:hAnsi="Times New Roman" w:eastAsia="宋体"/>
                      <w:color w:val="000000" w:themeColor="text1"/>
                    </w:rPr>
                    <w:t>VOCs</w:t>
                  </w:r>
                  <w:r>
                    <w:rPr>
                      <w:rFonts w:hint="eastAsia" w:ascii="Times New Roman" w:hAnsi="Times New Roman" w:eastAsia="宋体"/>
                      <w:color w:val="000000" w:themeColor="text1"/>
                    </w:rPr>
                    <w:t>排放主要工序密闭化水平，加强无组织排放收集，加大含</w:t>
                  </w:r>
                  <w:r>
                    <w:rPr>
                      <w:rFonts w:ascii="Times New Roman" w:hAnsi="Times New Roman" w:eastAsia="宋体"/>
                      <w:color w:val="000000" w:themeColor="text1"/>
                    </w:rPr>
                    <w:t>VOCs</w:t>
                  </w:r>
                  <w:r>
                    <w:rPr>
                      <w:rFonts w:hint="eastAsia" w:ascii="Times New Roman" w:hAnsi="Times New Roman" w:eastAsia="宋体"/>
                      <w:color w:val="000000" w:themeColor="text1"/>
                    </w:rPr>
                    <w:t>物料储存和装卸治理力度。废水储存、曝气池及其之前废水处理设施应按要求加盖封闭，实施废气收集与处理。密封点大于等于</w:t>
                  </w:r>
                  <w:r>
                    <w:rPr>
                      <w:rFonts w:ascii="Times New Roman" w:hAnsi="Times New Roman" w:eastAsia="宋体"/>
                      <w:color w:val="000000" w:themeColor="text1"/>
                    </w:rPr>
                    <w:t>2000</w:t>
                  </w:r>
                  <w:r>
                    <w:rPr>
                      <w:rFonts w:hint="eastAsia" w:ascii="Times New Roman" w:hAnsi="Times New Roman" w:eastAsia="宋体"/>
                      <w:color w:val="000000" w:themeColor="text1"/>
                    </w:rPr>
                    <w:t>个的，要开展</w:t>
                  </w:r>
                  <w:r>
                    <w:rPr>
                      <w:rFonts w:ascii="Times New Roman" w:hAnsi="Times New Roman" w:eastAsia="宋体"/>
                      <w:color w:val="000000" w:themeColor="text1"/>
                    </w:rPr>
                    <w:t>LDAR</w:t>
                  </w:r>
                  <w:r>
                    <w:rPr>
                      <w:rFonts w:hint="eastAsia" w:ascii="Times New Roman" w:hAnsi="Times New Roman" w:eastAsia="宋体"/>
                      <w:color w:val="000000" w:themeColor="text1"/>
                    </w:rPr>
                    <w:t>工作。</w:t>
                  </w:r>
                </w:p>
                <w:p>
                  <w:pPr>
                    <w:ind w:firstLine="420" w:firstLineChars="200"/>
                    <w:rPr>
                      <w:rFonts w:ascii="Times New Roman" w:hAnsi="Times New Roman" w:eastAsia="宋体"/>
                      <w:color w:val="000000" w:themeColor="text1"/>
                    </w:rPr>
                  </w:pPr>
                  <w:r>
                    <w:rPr>
                      <w:rFonts w:hint="eastAsia" w:ascii="Times New Roman" w:hAnsi="Times New Roman" w:eastAsia="宋体"/>
                      <w:color w:val="000000" w:themeColor="text1"/>
                    </w:rPr>
                    <w:t>实施废气分类收集处理。优先选用冷凝、吸附再生等回收技术；难以回收的，宜选用燃烧、吸附浓缩</w:t>
                  </w:r>
                  <w:r>
                    <w:rPr>
                      <w:rFonts w:ascii="Times New Roman" w:hAnsi="Times New Roman" w:eastAsia="宋体"/>
                      <w:color w:val="000000" w:themeColor="text1"/>
                    </w:rPr>
                    <w:t>+</w:t>
                  </w:r>
                  <w:r>
                    <w:rPr>
                      <w:rFonts w:hint="eastAsia" w:ascii="Times New Roman" w:hAnsi="Times New Roman" w:eastAsia="宋体"/>
                      <w:color w:val="000000" w:themeColor="text1"/>
                    </w:rPr>
                    <w:t>燃烧等高效治理技术。水溶性、酸碱</w:t>
                  </w:r>
                  <w:r>
                    <w:rPr>
                      <w:rFonts w:ascii="Times New Roman" w:hAnsi="Times New Roman" w:eastAsia="宋体"/>
                      <w:color w:val="000000" w:themeColor="text1"/>
                    </w:rPr>
                    <w:t>VOCs</w:t>
                  </w:r>
                  <w:r>
                    <w:rPr>
                      <w:rFonts w:hint="eastAsia" w:ascii="Times New Roman" w:hAnsi="Times New Roman" w:eastAsia="宋体"/>
                      <w:color w:val="000000" w:themeColor="text1"/>
                    </w:rPr>
                    <w:t>废气宜选用多级化学吸收等处理技术。恶臭类废气还应进一步加强除臭处理。</w:t>
                  </w:r>
                </w:p>
              </w:tc>
              <w:tc>
                <w:tcPr>
                  <w:tcW w:w="15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rPr>
                      <w:rFonts w:ascii="Times New Roman" w:hAnsi="Times New Roman" w:eastAsia="宋体"/>
                      <w:color w:val="000000" w:themeColor="text1"/>
                      <w:szCs w:val="21"/>
                    </w:rPr>
                  </w:pPr>
                  <w:r>
                    <w:rPr>
                      <w:rFonts w:hint="eastAsia" w:ascii="Times New Roman" w:hAnsi="Times New Roman" w:eastAsia="宋体"/>
                      <w:color w:val="000000" w:themeColor="text1"/>
                      <w:szCs w:val="21"/>
                    </w:rPr>
                    <w:t>本项目属于</w:t>
                  </w:r>
                  <w:r>
                    <w:rPr>
                      <w:rFonts w:hint="eastAsia" w:ascii="Times New Roman" w:hAnsi="Times New Roman" w:eastAsia="宋体"/>
                      <w:color w:val="000000" w:themeColor="text1"/>
                    </w:rPr>
                    <w:t>塑料制品</w:t>
                  </w:r>
                  <w:r>
                    <w:rPr>
                      <w:rFonts w:hint="eastAsia" w:ascii="Times New Roman" w:hAnsi="Times New Roman" w:eastAsia="宋体"/>
                      <w:color w:val="000000" w:themeColor="text1"/>
                      <w:szCs w:val="21"/>
                    </w:rPr>
                    <w:t>行业。</w:t>
                  </w:r>
                  <w:r>
                    <w:rPr>
                      <w:rFonts w:hint="eastAsia" w:ascii="Times New Roman" w:hAnsi="Times New Roman" w:eastAsia="宋体"/>
                      <w:bCs/>
                      <w:color w:val="000000" w:themeColor="text1"/>
                      <w:kern w:val="21"/>
                      <w:szCs w:val="21"/>
                    </w:rPr>
                    <w:t>压合工序位于封闭的生产车间内，</w:t>
                  </w:r>
                  <w:r>
                    <w:rPr>
                      <w:rFonts w:hint="eastAsia" w:ascii="Times New Roman" w:hAnsi="宋体" w:eastAsia="宋体"/>
                      <w:bCs/>
                      <w:color w:val="000000" w:themeColor="text1"/>
                      <w:szCs w:val="21"/>
                    </w:rPr>
                    <w:t>高周波塑熔机</w:t>
                  </w:r>
                  <w:r>
                    <w:rPr>
                      <w:rFonts w:hint="eastAsia" w:ascii="Times New Roman" w:eastAsia="宋体"/>
                      <w:color w:val="000000" w:themeColor="text1"/>
                      <w:szCs w:val="21"/>
                    </w:rPr>
                    <w:t>工作平台顶部安装封闭罩</w:t>
                  </w:r>
                  <w:r>
                    <w:rPr>
                      <w:rFonts w:hint="eastAsia" w:ascii="Times New Roman" w:hAnsi="Times New Roman" w:eastAsia="宋体"/>
                      <w:color w:val="000000" w:themeColor="text1"/>
                      <w:szCs w:val="21"/>
                    </w:rPr>
                    <w:t>。项目压合</w:t>
                  </w:r>
                  <w:r>
                    <w:rPr>
                      <w:rFonts w:ascii="Times New Roman" w:hAnsi="Times New Roman" w:eastAsia="宋体"/>
                      <w:color w:val="000000" w:themeColor="text1"/>
                      <w:szCs w:val="21"/>
                    </w:rPr>
                    <w:t>工序</w:t>
                  </w:r>
                  <w:r>
                    <w:rPr>
                      <w:rFonts w:hint="eastAsia" w:ascii="Times New Roman" w:hAnsi="Times New Roman" w:eastAsia="宋体"/>
                      <w:color w:val="000000" w:themeColor="text1"/>
                      <w:szCs w:val="21"/>
                    </w:rPr>
                    <w:t>产生的有机废气</w:t>
                  </w:r>
                  <w:r>
                    <w:rPr>
                      <w:rFonts w:hint="eastAsia" w:ascii="Times New Roman" w:eastAsia="宋体"/>
                      <w:color w:val="000000" w:themeColor="text1"/>
                      <w:szCs w:val="21"/>
                    </w:rPr>
                    <w:t>经</w:t>
                  </w:r>
                  <w:r>
                    <w:rPr>
                      <w:rFonts w:hint="eastAsia" w:ascii="Times New Roman" w:hAnsi="Times New Roman" w:eastAsia="宋体"/>
                      <w:color w:val="000000" w:themeColor="text1"/>
                      <w:szCs w:val="21"/>
                    </w:rPr>
                    <w:t>封闭集气罩（6个，新建）</w:t>
                  </w:r>
                  <w:r>
                    <w:rPr>
                      <w:rFonts w:hint="eastAsia" w:ascii="Times New Roman" w:eastAsia="宋体"/>
                      <w:color w:val="000000" w:themeColor="text1"/>
                      <w:szCs w:val="21"/>
                    </w:rPr>
                    <w:t>收集后进入</w:t>
                  </w:r>
                  <w:r>
                    <w:rPr>
                      <w:rFonts w:hint="eastAsia" w:ascii="Times New Roman" w:hAnsi="Times New Roman" w:eastAsia="宋体"/>
                      <w:color w:val="000000" w:themeColor="text1"/>
                      <w:szCs w:val="21"/>
                    </w:rPr>
                    <w:t>“</w:t>
                  </w:r>
                  <w:r>
                    <w:rPr>
                      <w:rFonts w:ascii="Times New Roman" w:hAnsi="Times New Roman" w:eastAsia="宋体"/>
                      <w:color w:val="000000" w:themeColor="text1"/>
                      <w:szCs w:val="21"/>
                    </w:rPr>
                    <w:t>UV光催化氧化</w:t>
                  </w:r>
                  <w:r>
                    <w:rPr>
                      <w:rFonts w:hint="eastAsia" w:ascii="Times New Roman" w:hAnsi="Times New Roman" w:eastAsia="宋体"/>
                      <w:color w:val="000000" w:themeColor="text1"/>
                      <w:szCs w:val="21"/>
                    </w:rPr>
                    <w:t>（原有）</w:t>
                  </w:r>
                  <w:r>
                    <w:rPr>
                      <w:rFonts w:ascii="Times New Roman" w:hAnsi="Times New Roman" w:eastAsia="宋体"/>
                      <w:color w:val="000000" w:themeColor="text1"/>
                      <w:szCs w:val="21"/>
                    </w:rPr>
                    <w:t>+活性炭吸附</w:t>
                  </w:r>
                  <w:r>
                    <w:rPr>
                      <w:rFonts w:hint="eastAsia" w:ascii="Times New Roman" w:hAnsi="Times New Roman" w:eastAsia="宋体"/>
                      <w:color w:val="000000" w:themeColor="text1"/>
                      <w:szCs w:val="21"/>
                    </w:rPr>
                    <w:t>（原有）+油烟净化器（原有）+水喷淋（整改新建）”装置进行处理。</w:t>
                  </w:r>
                </w:p>
              </w:tc>
              <w:tc>
                <w:tcPr>
                  <w:tcW w:w="372" w:type="pct"/>
                  <w:tcBorders>
                    <w:top w:val="single" w:color="auto" w:sz="4" w:space="0"/>
                    <w:left w:val="single" w:color="auto" w:sz="4" w:space="0"/>
                    <w:bottom w:val="single" w:color="auto" w:sz="4" w:space="0"/>
                    <w:right w:val="nil"/>
                  </w:tcBorders>
                  <w:vAlign w:val="center"/>
                </w:tcPr>
                <w:p>
                  <w:pPr>
                    <w:widowControl/>
                    <w:jc w:val="left"/>
                    <w:rPr>
                      <w:rFonts w:ascii="Times New Roman" w:hAnsi="Times New Roman" w:eastAsia="宋体"/>
                      <w:color w:val="000000" w:themeColor="text1"/>
                      <w:szCs w:val="21"/>
                    </w:rPr>
                  </w:pPr>
                  <w:r>
                    <w:rPr>
                      <w:rFonts w:hint="eastAsia" w:ascii="Times New Roman" w:hAnsi="Times New Roman" w:eastAsia="宋体"/>
                      <w:color w:val="000000" w:themeColor="text1"/>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4" w:type="pct"/>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eastAsia="宋体"/>
                      <w:color w:val="000000" w:themeColor="text1"/>
                      <w:kern w:val="0"/>
                      <w:szCs w:val="21"/>
                    </w:rPr>
                  </w:pPr>
                  <w:r>
                    <w:rPr>
                      <w:rFonts w:hint="eastAsia" w:ascii="Times New Roman" w:hAnsi="Times New Roman" w:eastAsia="宋体"/>
                      <w:color w:val="000000" w:themeColor="text1"/>
                    </w:rPr>
                    <w:t>《挥发性有机物无组织排放控制标准》（</w:t>
                  </w:r>
                  <w:r>
                    <w:rPr>
                      <w:rFonts w:ascii="Times New Roman" w:hAnsi="Times New Roman" w:eastAsia="宋体"/>
                      <w:color w:val="000000" w:themeColor="text1"/>
                    </w:rPr>
                    <w:t>GB 37822</w:t>
                  </w:r>
                  <w:r>
                    <w:rPr>
                      <w:rFonts w:hint="eastAsia" w:ascii="Times New Roman" w:hAnsi="Times New Roman" w:eastAsia="宋体"/>
                      <w:color w:val="000000" w:themeColor="text1"/>
                    </w:rPr>
                    <w:t>—</w:t>
                  </w:r>
                  <w:r>
                    <w:rPr>
                      <w:rFonts w:ascii="Times New Roman" w:hAnsi="Times New Roman" w:eastAsia="宋体"/>
                      <w:color w:val="000000" w:themeColor="text1"/>
                    </w:rPr>
                    <w:t>2019</w:t>
                  </w:r>
                  <w:r>
                    <w:rPr>
                      <w:rFonts w:hint="eastAsia" w:ascii="Times New Roman" w:hAnsi="Times New Roman" w:eastAsia="宋体"/>
                      <w:color w:val="000000" w:themeColor="text1"/>
                    </w:rPr>
                    <w:t>）</w:t>
                  </w:r>
                </w:p>
              </w:tc>
              <w:tc>
                <w:tcPr>
                  <w:tcW w:w="2422"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eastAsia="宋体"/>
                      <w:bCs/>
                      <w:color w:val="000000" w:themeColor="text1"/>
                      <w:szCs w:val="21"/>
                    </w:rPr>
                  </w:pPr>
                  <w:r>
                    <w:rPr>
                      <w:rFonts w:hint="eastAsia" w:ascii="Times New Roman" w:hAnsi="Times New Roman" w:eastAsia="宋体"/>
                      <w:bCs/>
                      <w:color w:val="000000" w:themeColor="text1"/>
                      <w:szCs w:val="21"/>
                    </w:rPr>
                    <w:t>7.工艺过程VOCs物料的化工生产过程</w:t>
                  </w:r>
                </w:p>
                <w:p>
                  <w:pPr>
                    <w:adjustRightInd w:val="0"/>
                    <w:snapToGrid w:val="0"/>
                    <w:rPr>
                      <w:rFonts w:ascii="Times New Roman" w:hAnsi="Times New Roman" w:eastAsia="宋体"/>
                      <w:bCs/>
                      <w:color w:val="000000" w:themeColor="text1"/>
                      <w:szCs w:val="21"/>
                    </w:rPr>
                  </w:pPr>
                  <w:r>
                    <w:rPr>
                      <w:rFonts w:hint="eastAsia" w:ascii="Times New Roman" w:hAnsi="Times New Roman" w:eastAsia="宋体"/>
                      <w:bCs/>
                      <w:color w:val="000000" w:themeColor="text1"/>
                      <w:szCs w:val="21"/>
                    </w:rPr>
                    <w:t>粉状、粒状VOCs物料应采用气力输送方式或采用密闭固体投料器等给料方式密闭投加。无法密闭投加的，应在密闭空间内操作，或进行局部气体收集，废气应排至除尘设施、VOCs废气收集处理系统。</w:t>
                  </w:r>
                </w:p>
                <w:p>
                  <w:pPr>
                    <w:adjustRightInd w:val="0"/>
                    <w:snapToGrid w:val="0"/>
                    <w:rPr>
                      <w:rFonts w:ascii="Times New Roman" w:hAnsi="Times New Roman" w:eastAsia="宋体"/>
                      <w:bCs/>
                      <w:color w:val="000000" w:themeColor="text1"/>
                      <w:szCs w:val="21"/>
                    </w:rPr>
                  </w:pPr>
                  <w:r>
                    <w:rPr>
                      <w:rFonts w:hint="eastAsia" w:ascii="Times New Roman" w:hAnsi="Times New Roman" w:eastAsia="宋体"/>
                      <w:bCs/>
                      <w:color w:val="000000" w:themeColor="text1"/>
                      <w:szCs w:val="21"/>
                    </w:rPr>
                    <w:t>7.2有机聚合物产品用于制品生产的过程，在混合/混炼、塑炼/塑化/熔化、加工成型（挤出、注射、压制、压延、发泡、纺丝）等作业中应采用密闭设备或在密闭空间内操作，废气应排至VOCs废气收集处理系统；无法密闭的，应采取局部气体收集措施，废气应排至VOCs废气收集处理系统</w:t>
                  </w:r>
                </w:p>
                <w:p>
                  <w:pPr>
                    <w:adjustRightInd w:val="0"/>
                    <w:snapToGrid w:val="0"/>
                    <w:rPr>
                      <w:rFonts w:ascii="Times New Roman" w:hAnsi="Times New Roman" w:eastAsia="宋体"/>
                      <w:bCs/>
                      <w:color w:val="000000" w:themeColor="text1"/>
                      <w:kern w:val="21"/>
                      <w:szCs w:val="21"/>
                    </w:rPr>
                  </w:pPr>
                  <w:r>
                    <w:rPr>
                      <w:rFonts w:hint="eastAsia" w:ascii="Times New Roman" w:hAnsi="Times New Roman" w:eastAsia="宋体"/>
                      <w:bCs/>
                      <w:color w:val="000000" w:themeColor="text1"/>
                      <w:kern w:val="21"/>
                      <w:szCs w:val="21"/>
                    </w:rPr>
                    <w:t>10.2废气收集系统要求</w:t>
                  </w:r>
                </w:p>
                <w:p>
                  <w:pPr>
                    <w:adjustRightInd w:val="0"/>
                    <w:snapToGrid w:val="0"/>
                    <w:rPr>
                      <w:rFonts w:ascii="Times New Roman" w:hAnsi="Times New Roman" w:eastAsia="宋体"/>
                      <w:bCs/>
                      <w:color w:val="000000" w:themeColor="text1"/>
                      <w:kern w:val="21"/>
                      <w:szCs w:val="21"/>
                    </w:rPr>
                  </w:pPr>
                  <w:r>
                    <w:rPr>
                      <w:rFonts w:hint="eastAsia" w:ascii="Times New Roman" w:hAnsi="Times New Roman" w:eastAsia="宋体"/>
                      <w:bCs/>
                      <w:color w:val="000000" w:themeColor="text1"/>
                      <w:kern w:val="21"/>
                      <w:szCs w:val="21"/>
                    </w:rPr>
                    <w:t>10.2.2废气收集系统排风罩（集气罩）的设置应符合GB/T16758的规定。采用外部排风罩的，应按GB/T16758、AQ/T4274-2016规定的方法测量控制风速，测量点应选取在距排风罩开口面最远处的VOCs无组织排放位置，控制风速不应低于0.3m/s（行业相关规范有具体规定的，按相关规定执行）。</w:t>
                  </w:r>
                </w:p>
                <w:p>
                  <w:pPr>
                    <w:adjustRightInd w:val="0"/>
                    <w:snapToGrid w:val="0"/>
                    <w:rPr>
                      <w:rFonts w:ascii="Times New Roman" w:hAnsi="Times New Roman" w:eastAsia="宋体"/>
                      <w:bCs/>
                      <w:color w:val="000000" w:themeColor="text1"/>
                      <w:szCs w:val="21"/>
                    </w:rPr>
                  </w:pPr>
                  <w:r>
                    <w:rPr>
                      <w:rFonts w:hint="eastAsia" w:ascii="Times New Roman" w:hAnsi="Times New Roman" w:eastAsia="宋体"/>
                      <w:bCs/>
                      <w:color w:val="000000" w:themeColor="text1"/>
                      <w:kern w:val="21"/>
                      <w:szCs w:val="21"/>
                    </w:rPr>
                    <w:t>10.3.2收集的废气中NMHC初始排放速率≥3kg/h时，应配置VOCs处理设施，处理效率不应低于80%；对于重点地区，收集的废气中NMHC初始排放速率≥2kg/h时，应配置VOCs处理设施，处理效率不应低于80%；采用的原辅材料符合国家有关低VOCs含量产品规定的除外。</w:t>
                  </w:r>
                </w:p>
              </w:tc>
              <w:tc>
                <w:tcPr>
                  <w:tcW w:w="15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rPr>
                      <w:rFonts w:ascii="Times New Roman" w:hAnsi="Times New Roman" w:eastAsia="宋体"/>
                      <w:color w:val="000000" w:themeColor="text1"/>
                      <w:szCs w:val="21"/>
                    </w:rPr>
                  </w:pPr>
                  <w:r>
                    <w:rPr>
                      <w:rFonts w:ascii="Times New Roman" w:hAnsi="Times New Roman" w:eastAsia="宋体"/>
                      <w:color w:val="000000" w:themeColor="text1"/>
                      <w:szCs w:val="21"/>
                    </w:rPr>
                    <w:t>本</w:t>
                  </w:r>
                  <w:r>
                    <w:rPr>
                      <w:rFonts w:hint="eastAsia" w:ascii="Times New Roman" w:hAnsi="Times New Roman" w:eastAsia="宋体"/>
                      <w:color w:val="000000" w:themeColor="text1"/>
                      <w:szCs w:val="21"/>
                    </w:rPr>
                    <w:t>项目</w:t>
                  </w:r>
                  <w:r>
                    <w:rPr>
                      <w:rFonts w:hint="eastAsia" w:ascii="Times New Roman" w:eastAsia="宋体"/>
                      <w:color w:val="000000" w:themeColor="text1"/>
                      <w:szCs w:val="21"/>
                    </w:rPr>
                    <w:t>压合</w:t>
                  </w:r>
                  <w:r>
                    <w:rPr>
                      <w:rFonts w:ascii="Times New Roman" w:eastAsia="宋体"/>
                      <w:color w:val="000000" w:themeColor="text1"/>
                      <w:szCs w:val="21"/>
                    </w:rPr>
                    <w:t>工序</w:t>
                  </w:r>
                  <w:r>
                    <w:rPr>
                      <w:rFonts w:hint="eastAsia" w:ascii="Times New Roman" w:eastAsia="宋体"/>
                      <w:color w:val="000000" w:themeColor="text1"/>
                      <w:szCs w:val="21"/>
                    </w:rPr>
                    <w:t>会产生有机废气，</w:t>
                  </w:r>
                  <w:r>
                    <w:rPr>
                      <w:rFonts w:hint="eastAsia" w:ascii="Times New Roman" w:eastAsia="宋体"/>
                      <w:bCs/>
                      <w:color w:val="000000" w:themeColor="text1"/>
                      <w:kern w:val="21"/>
                      <w:szCs w:val="21"/>
                    </w:rPr>
                    <w:t>压合工序位于封闭的生产车间内，</w:t>
                  </w:r>
                  <w:r>
                    <w:rPr>
                      <w:rFonts w:hint="eastAsia" w:ascii="Times New Roman" w:hAnsi="宋体" w:eastAsia="宋体"/>
                      <w:bCs/>
                      <w:color w:val="000000" w:themeColor="text1"/>
                      <w:szCs w:val="21"/>
                    </w:rPr>
                    <w:t>高周波塑熔机</w:t>
                  </w:r>
                  <w:r>
                    <w:rPr>
                      <w:rFonts w:hint="eastAsia" w:ascii="Times New Roman" w:eastAsia="宋体"/>
                      <w:color w:val="000000" w:themeColor="text1"/>
                      <w:szCs w:val="21"/>
                    </w:rPr>
                    <w:t>工作平台顶部安装封闭罩</w:t>
                  </w:r>
                  <w:r>
                    <w:rPr>
                      <w:rFonts w:hint="eastAsia" w:ascii="Times New Roman" w:hAnsi="Times New Roman" w:eastAsia="宋体"/>
                      <w:color w:val="000000" w:themeColor="text1"/>
                      <w:spacing w:val="-4"/>
                      <w:szCs w:val="21"/>
                    </w:rPr>
                    <w:t>。集气装置的进风口和设备顶部封闭罩连接；</w:t>
                  </w:r>
                  <w:r>
                    <w:rPr>
                      <w:rFonts w:hint="eastAsia" w:ascii="Times New Roman" w:hAnsi="Times New Roman" w:eastAsia="宋体"/>
                      <w:color w:val="000000" w:themeColor="text1"/>
                      <w:szCs w:val="21"/>
                    </w:rPr>
                    <w:t>有机废气产生速率为0.1507kg/h，产生浓度为75.35</w:t>
                  </w:r>
                  <w:r>
                    <w:rPr>
                      <w:rFonts w:ascii="Times New Roman" w:hAnsi="Times New Roman" w:eastAsia="宋体"/>
                      <w:color w:val="000000" w:themeColor="text1"/>
                      <w:szCs w:val="21"/>
                    </w:rPr>
                    <w:t>mg/m</w:t>
                  </w:r>
                  <w:r>
                    <w:rPr>
                      <w:rFonts w:ascii="Times New Roman" w:hAnsi="Times New Roman" w:eastAsia="宋体"/>
                      <w:color w:val="000000" w:themeColor="text1"/>
                      <w:szCs w:val="21"/>
                      <w:vertAlign w:val="superscript"/>
                    </w:rPr>
                    <w:t>3</w:t>
                  </w:r>
                  <w:r>
                    <w:rPr>
                      <w:rFonts w:hint="eastAsia" w:ascii="Times New Roman" w:hAnsi="Times New Roman" w:eastAsia="宋体"/>
                      <w:color w:val="000000" w:themeColor="text1"/>
                      <w:szCs w:val="21"/>
                    </w:rPr>
                    <w:t>，属于</w:t>
                  </w:r>
                  <w:r>
                    <w:rPr>
                      <w:rFonts w:ascii="Times New Roman" w:hAnsi="Times New Roman" w:eastAsia="宋体"/>
                      <w:color w:val="000000" w:themeColor="text1"/>
                      <w:szCs w:val="21"/>
                    </w:rPr>
                    <w:t>1000ppm</w:t>
                  </w:r>
                  <w:r>
                    <w:rPr>
                      <w:rFonts w:hint="eastAsia" w:ascii="Times New Roman" w:hAnsi="Times New Roman" w:eastAsia="宋体"/>
                      <w:color w:val="000000" w:themeColor="text1"/>
                      <w:szCs w:val="21"/>
                    </w:rPr>
                    <w:t>以下的低浓度有机废气；有机废气</w:t>
                  </w:r>
                  <w:r>
                    <w:rPr>
                      <w:rFonts w:hint="eastAsia" w:ascii="Times New Roman" w:eastAsia="宋体"/>
                      <w:color w:val="000000" w:themeColor="text1"/>
                      <w:szCs w:val="21"/>
                    </w:rPr>
                    <w:t>经</w:t>
                  </w:r>
                  <w:r>
                    <w:rPr>
                      <w:rFonts w:hint="eastAsia" w:ascii="Times New Roman" w:hAnsi="Times New Roman" w:eastAsia="宋体"/>
                      <w:color w:val="000000" w:themeColor="text1"/>
                      <w:szCs w:val="21"/>
                    </w:rPr>
                    <w:t>封闭集气罩（6个，新建）</w:t>
                  </w:r>
                  <w:r>
                    <w:rPr>
                      <w:rFonts w:hint="eastAsia" w:ascii="Times New Roman" w:eastAsia="宋体"/>
                      <w:color w:val="000000" w:themeColor="text1"/>
                      <w:szCs w:val="21"/>
                    </w:rPr>
                    <w:t>收集后进入</w:t>
                  </w:r>
                  <w:r>
                    <w:rPr>
                      <w:rFonts w:hint="eastAsia" w:ascii="Times New Roman" w:hAnsi="Times New Roman" w:eastAsia="宋体"/>
                      <w:color w:val="000000" w:themeColor="text1"/>
                      <w:szCs w:val="21"/>
                    </w:rPr>
                    <w:t>“</w:t>
                  </w:r>
                  <w:r>
                    <w:rPr>
                      <w:rFonts w:ascii="Times New Roman" w:hAnsi="Times New Roman" w:eastAsia="宋体"/>
                      <w:color w:val="000000" w:themeColor="text1"/>
                      <w:szCs w:val="21"/>
                    </w:rPr>
                    <w:t>UV光催化氧化</w:t>
                  </w:r>
                  <w:r>
                    <w:rPr>
                      <w:rFonts w:hint="eastAsia" w:ascii="Times New Roman" w:hAnsi="Times New Roman" w:eastAsia="宋体"/>
                      <w:color w:val="000000" w:themeColor="text1"/>
                      <w:szCs w:val="21"/>
                    </w:rPr>
                    <w:t>（原有）</w:t>
                  </w:r>
                  <w:r>
                    <w:rPr>
                      <w:rFonts w:ascii="Times New Roman" w:hAnsi="Times New Roman" w:eastAsia="宋体"/>
                      <w:color w:val="000000" w:themeColor="text1"/>
                      <w:szCs w:val="21"/>
                    </w:rPr>
                    <w:t>+活性炭吸附</w:t>
                  </w:r>
                  <w:r>
                    <w:rPr>
                      <w:rFonts w:hint="eastAsia" w:ascii="Times New Roman" w:hAnsi="Times New Roman" w:eastAsia="宋体"/>
                      <w:color w:val="000000" w:themeColor="text1"/>
                      <w:szCs w:val="21"/>
                    </w:rPr>
                    <w:t>（原有）+油烟净化器（原有）+水喷淋（整改新建）”装置进行处理；非甲烷总烃处理效率达80</w:t>
                  </w:r>
                  <w:r>
                    <w:rPr>
                      <w:rFonts w:ascii="Times New Roman" w:hAnsi="Times New Roman" w:eastAsia="宋体"/>
                      <w:color w:val="000000" w:themeColor="text1"/>
                      <w:szCs w:val="21"/>
                    </w:rPr>
                    <w:t>%</w:t>
                  </w:r>
                  <w:r>
                    <w:rPr>
                      <w:rFonts w:hint="eastAsia" w:ascii="Times New Roman" w:hAnsi="Times New Roman" w:eastAsia="宋体"/>
                      <w:color w:val="000000" w:themeColor="text1"/>
                      <w:szCs w:val="21"/>
                    </w:rPr>
                    <w:t>。</w:t>
                  </w:r>
                </w:p>
              </w:tc>
              <w:tc>
                <w:tcPr>
                  <w:tcW w:w="372" w:type="pct"/>
                  <w:tcBorders>
                    <w:top w:val="single" w:color="auto" w:sz="4" w:space="0"/>
                    <w:left w:val="single" w:color="auto" w:sz="4" w:space="0"/>
                    <w:bottom w:val="single" w:color="auto" w:sz="4" w:space="0"/>
                    <w:right w:val="nil"/>
                  </w:tcBorders>
                  <w:vAlign w:val="center"/>
                </w:tcPr>
                <w:p>
                  <w:pPr>
                    <w:widowControl/>
                    <w:jc w:val="left"/>
                    <w:rPr>
                      <w:rFonts w:ascii="Times New Roman" w:hAnsi="Times New Roman" w:eastAsia="宋体"/>
                      <w:color w:val="000000" w:themeColor="text1"/>
                      <w:szCs w:val="21"/>
                    </w:rPr>
                  </w:pPr>
                  <w:r>
                    <w:rPr>
                      <w:rFonts w:ascii="Times New Roman" w:hAnsi="Times New Roman" w:eastAsia="宋体"/>
                      <w:color w:val="000000" w:themeColor="text1"/>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4" w:type="pct"/>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eastAsia="宋体"/>
                      <w:color w:val="000000" w:themeColor="text1"/>
                      <w:kern w:val="0"/>
                      <w:szCs w:val="21"/>
                    </w:rPr>
                  </w:pPr>
                  <w:r>
                    <w:rPr>
                      <w:rFonts w:hint="eastAsia" w:ascii="Times New Roman" w:hAnsi="Times New Roman" w:eastAsia="宋体"/>
                      <w:color w:val="000000" w:themeColor="text1"/>
                      <w:kern w:val="0"/>
                      <w:szCs w:val="21"/>
                    </w:rPr>
                    <w:t>关于印发《京津冀及周边地区</w:t>
                  </w:r>
                  <w:r>
                    <w:rPr>
                      <w:rFonts w:ascii="Times New Roman" w:hAnsi="Times New Roman" w:eastAsia="宋体"/>
                      <w:color w:val="000000" w:themeColor="text1"/>
                      <w:kern w:val="0"/>
                      <w:szCs w:val="21"/>
                    </w:rPr>
                    <w:t>2019-2020</w:t>
                  </w:r>
                  <w:r>
                    <w:rPr>
                      <w:rFonts w:hint="eastAsia" w:ascii="Times New Roman" w:hAnsi="Times New Roman" w:eastAsia="宋体"/>
                      <w:color w:val="000000" w:themeColor="text1"/>
                      <w:kern w:val="0"/>
                      <w:szCs w:val="21"/>
                    </w:rPr>
                    <w:t>年秋冬季大气污染综合治理攻坚行动方案》的通知（环大气</w:t>
                  </w:r>
                  <w:r>
                    <w:rPr>
                      <w:rFonts w:ascii="Times New Roman" w:hAnsi="Times New Roman" w:eastAsia="宋体"/>
                      <w:color w:val="000000" w:themeColor="text1"/>
                      <w:kern w:val="0"/>
                      <w:szCs w:val="21"/>
                    </w:rPr>
                    <w:t>[2019]88</w:t>
                  </w:r>
                  <w:r>
                    <w:rPr>
                      <w:rFonts w:hint="eastAsia" w:ascii="Times New Roman" w:hAnsi="Times New Roman" w:eastAsia="宋体"/>
                      <w:color w:val="000000" w:themeColor="text1"/>
                      <w:kern w:val="0"/>
                      <w:szCs w:val="21"/>
                    </w:rPr>
                    <w:t>号）</w:t>
                  </w:r>
                </w:p>
              </w:tc>
              <w:tc>
                <w:tcPr>
                  <w:tcW w:w="2422" w:type="pct"/>
                  <w:tcBorders>
                    <w:top w:val="single" w:color="auto" w:sz="4" w:space="0"/>
                    <w:left w:val="single" w:color="auto" w:sz="4" w:space="0"/>
                    <w:bottom w:val="single" w:color="auto" w:sz="4" w:space="0"/>
                    <w:right w:val="single" w:color="auto" w:sz="4" w:space="0"/>
                  </w:tcBorders>
                  <w:vAlign w:val="center"/>
                </w:tcPr>
                <w:p>
                  <w:pPr>
                    <w:adjustRightInd w:val="0"/>
                    <w:snapToGrid w:val="0"/>
                    <w:rPr>
                      <w:rStyle w:val="27"/>
                      <w:rFonts w:ascii="Times New Roman" w:hAnsi="Times New Roman" w:eastAsia="宋体"/>
                      <w:b w:val="0"/>
                      <w:color w:val="000000" w:themeColor="text1"/>
                      <w:sz w:val="21"/>
                      <w:szCs w:val="21"/>
                    </w:rPr>
                  </w:pPr>
                  <w:r>
                    <w:rPr>
                      <w:rStyle w:val="27"/>
                      <w:rFonts w:hint="eastAsia" w:ascii="Times New Roman" w:hAnsi="Times New Roman" w:eastAsia="宋体"/>
                      <w:b w:val="0"/>
                      <w:color w:val="000000" w:themeColor="text1"/>
                      <w:sz w:val="21"/>
                      <w:szCs w:val="21"/>
                    </w:rPr>
                    <w:t>（一）调整优化产业结构</w:t>
                  </w:r>
                </w:p>
                <w:p>
                  <w:pPr>
                    <w:adjustRightInd w:val="0"/>
                    <w:snapToGrid w:val="0"/>
                    <w:rPr>
                      <w:rFonts w:ascii="Times New Roman" w:hAnsi="Times New Roman" w:eastAsia="宋体"/>
                      <w:color w:val="000000" w:themeColor="text1"/>
                    </w:rPr>
                  </w:pPr>
                  <w:r>
                    <w:rPr>
                      <w:rFonts w:hint="eastAsia" w:ascii="Times New Roman" w:hAnsi="Times New Roman" w:eastAsia="宋体"/>
                      <w:color w:val="000000" w:themeColor="text1"/>
                    </w:rPr>
                    <w:t>7.提升VOCs综合治理水平</w:t>
                  </w:r>
                </w:p>
                <w:p>
                  <w:pPr>
                    <w:adjustRightInd w:val="0"/>
                    <w:snapToGrid w:val="0"/>
                    <w:rPr>
                      <w:rFonts w:ascii="Times New Roman" w:hAnsi="Times New Roman" w:eastAsia="宋体"/>
                      <w:color w:val="000000" w:themeColor="text1"/>
                    </w:rPr>
                  </w:pPr>
                  <w:r>
                    <w:rPr>
                      <w:rFonts w:hint="eastAsia" w:ascii="Times New Roman" w:hAnsi="Times New Roman" w:eastAsia="宋体"/>
                      <w:color w:val="000000" w:themeColor="text1"/>
                    </w:rPr>
                    <w:t>各地要加强对企业帮扶指导，对本地VOCs排放量较大的企业，组织编制“一厂一策”方案。加大源头替代力度。2019年12月底前，市场监管总局出台低VOCs含量涂料产品技术要求。各地要大力推广使用低VOCs含量涂料、油墨、胶粘剂，在技术成熟的家具、集装箱、整车生产、船舶制造、机械设备制造、汽修、印刷等行业，全面推进企业实施源头替代。</w:t>
                  </w:r>
                </w:p>
                <w:p>
                  <w:pPr>
                    <w:adjustRightInd w:val="0"/>
                    <w:snapToGrid w:val="0"/>
                    <w:rPr>
                      <w:rFonts w:ascii="Times New Roman" w:hAnsi="Times New Roman" w:eastAsia="宋体"/>
                      <w:b/>
                      <w:bCs/>
                      <w:color w:val="000000" w:themeColor="text1"/>
                      <w:szCs w:val="21"/>
                    </w:rPr>
                  </w:pPr>
                  <w:r>
                    <w:rPr>
                      <w:rFonts w:hint="eastAsia" w:ascii="Times New Roman" w:hAnsi="Times New Roman" w:eastAsia="宋体"/>
                      <w:color w:val="000000" w:themeColor="text1"/>
                    </w:rPr>
                    <w:t>强化无组织排放管控。全面加强含VOCs物料储存、转移和输送、设备与管线组件泄漏、敞开液面逸散以及工艺过程等五类排放源VOCs管控。按照“应收尽收、分质收集”的原则，显著提高废气收集率。密封点数量大于等于2000个的，开展泄漏检测与修复（LDAR）工作。推进建设适宜高效的治理设施，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VOCs初始排放速率大于等于2千克/小时的，去除效率不应低于80%（采用的原辅材料符合国家有关低VOCs含量产品规定的除外）。2019年10月底前，各地开展一轮VOCs治理执法检查，将有机溶剂使用量较大的，存在敞开式作业的，末端治理仅使用一次活性炭吸附、水或水溶液喷淋吸收、等离子、光催化、光氧化等技术的企业作为重点，对不能稳定达到《挥发性有机物无组织排放控制标准》以及相关行业排放标准要求的，督促企业限期整改。</w:t>
                  </w:r>
                </w:p>
              </w:tc>
              <w:tc>
                <w:tcPr>
                  <w:tcW w:w="15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rPr>
                      <w:rFonts w:ascii="Times New Roman" w:hAnsi="Times New Roman" w:eastAsia="宋体"/>
                      <w:color w:val="000000" w:themeColor="text1"/>
                    </w:rPr>
                  </w:pPr>
                  <w:r>
                    <w:rPr>
                      <w:rFonts w:hint="eastAsia" w:ascii="Times New Roman" w:hAnsi="Times New Roman" w:eastAsia="宋体"/>
                      <w:color w:val="000000" w:themeColor="text1"/>
                      <w:szCs w:val="21"/>
                    </w:rPr>
                    <w:t>本项目为塑料制品项目，不属于</w:t>
                  </w:r>
                  <w:r>
                    <w:rPr>
                      <w:rFonts w:hint="eastAsia" w:ascii="Times New Roman" w:hAnsi="Times New Roman" w:eastAsia="宋体"/>
                      <w:color w:val="000000" w:themeColor="text1"/>
                    </w:rPr>
                    <w:t>集装箱、整车生产、船舶制造、机械设备制造、汽修、印刷等行业；</w:t>
                  </w:r>
                </w:p>
                <w:p>
                  <w:pPr>
                    <w:autoSpaceDE w:val="0"/>
                    <w:autoSpaceDN w:val="0"/>
                    <w:adjustRightInd w:val="0"/>
                    <w:snapToGrid w:val="0"/>
                    <w:rPr>
                      <w:rFonts w:ascii="Times New Roman" w:hAnsi="Times New Roman" w:eastAsia="宋体"/>
                      <w:color w:val="000000" w:themeColor="text1"/>
                      <w:szCs w:val="21"/>
                    </w:rPr>
                  </w:pPr>
                  <w:r>
                    <w:rPr>
                      <w:rFonts w:hint="eastAsia" w:ascii="Times New Roman" w:hAnsi="Times New Roman" w:eastAsia="宋体"/>
                      <w:color w:val="000000" w:themeColor="text1"/>
                      <w:szCs w:val="21"/>
                    </w:rPr>
                    <w:t>项目压合</w:t>
                  </w:r>
                  <w:r>
                    <w:rPr>
                      <w:rFonts w:ascii="Times New Roman" w:hAnsi="Times New Roman" w:eastAsia="宋体"/>
                      <w:color w:val="000000" w:themeColor="text1"/>
                      <w:szCs w:val="21"/>
                    </w:rPr>
                    <w:t>工序</w:t>
                  </w:r>
                  <w:r>
                    <w:rPr>
                      <w:rFonts w:hint="eastAsia" w:ascii="Times New Roman" w:hAnsi="Times New Roman" w:eastAsia="宋体"/>
                      <w:color w:val="000000" w:themeColor="text1"/>
                      <w:szCs w:val="21"/>
                    </w:rPr>
                    <w:t>设置风机风量为2000</w:t>
                  </w:r>
                  <w:r>
                    <w:rPr>
                      <w:rFonts w:ascii="Times New Roman" w:hAnsi="Times New Roman" w:eastAsia="宋体"/>
                      <w:color w:val="000000" w:themeColor="text1"/>
                      <w:szCs w:val="21"/>
                    </w:rPr>
                    <w:t>m</w:t>
                  </w:r>
                  <w:r>
                    <w:rPr>
                      <w:rFonts w:ascii="Times New Roman" w:hAnsi="Times New Roman" w:eastAsia="宋体"/>
                      <w:color w:val="000000" w:themeColor="text1"/>
                      <w:szCs w:val="21"/>
                      <w:vertAlign w:val="superscript"/>
                    </w:rPr>
                    <w:t>3</w:t>
                  </w:r>
                  <w:r>
                    <w:rPr>
                      <w:rFonts w:ascii="Times New Roman" w:hAnsi="Times New Roman" w:eastAsia="宋体"/>
                      <w:color w:val="000000" w:themeColor="text1"/>
                      <w:szCs w:val="21"/>
                    </w:rPr>
                    <w:t>/h</w:t>
                  </w:r>
                  <w:r>
                    <w:rPr>
                      <w:rFonts w:hint="eastAsia" w:ascii="Times New Roman" w:hAnsi="Times New Roman" w:eastAsia="宋体"/>
                      <w:color w:val="000000" w:themeColor="text1"/>
                      <w:szCs w:val="21"/>
                    </w:rPr>
                    <w:t>，产生速率为0.1507kg/h，产生浓度为75.35</w:t>
                  </w:r>
                  <w:r>
                    <w:rPr>
                      <w:rFonts w:ascii="Times New Roman" w:hAnsi="Times New Roman" w:eastAsia="宋体"/>
                      <w:color w:val="000000" w:themeColor="text1"/>
                      <w:szCs w:val="21"/>
                    </w:rPr>
                    <w:t>mg/m</w:t>
                  </w:r>
                  <w:r>
                    <w:rPr>
                      <w:rFonts w:ascii="Times New Roman" w:hAnsi="Times New Roman" w:eastAsia="宋体"/>
                      <w:color w:val="000000" w:themeColor="text1"/>
                      <w:szCs w:val="21"/>
                      <w:vertAlign w:val="superscript"/>
                    </w:rPr>
                    <w:t>3</w:t>
                  </w:r>
                  <w:r>
                    <w:rPr>
                      <w:rFonts w:hint="eastAsia" w:ascii="Times New Roman" w:hAnsi="Times New Roman" w:eastAsia="宋体"/>
                      <w:color w:val="000000" w:themeColor="text1"/>
                      <w:szCs w:val="21"/>
                    </w:rPr>
                    <w:t>，属于</w:t>
                  </w:r>
                  <w:r>
                    <w:rPr>
                      <w:rFonts w:ascii="Times New Roman" w:hAnsi="Times New Roman" w:eastAsia="宋体"/>
                      <w:color w:val="000000" w:themeColor="text1"/>
                      <w:szCs w:val="21"/>
                    </w:rPr>
                    <w:t>1000ppm</w:t>
                  </w:r>
                  <w:r>
                    <w:rPr>
                      <w:rFonts w:hint="eastAsia" w:ascii="Times New Roman" w:hAnsi="Times New Roman" w:eastAsia="宋体"/>
                      <w:color w:val="000000" w:themeColor="text1"/>
                      <w:szCs w:val="21"/>
                    </w:rPr>
                    <w:t>以下的低浓度有机废气。压合</w:t>
                  </w:r>
                  <w:r>
                    <w:rPr>
                      <w:rFonts w:ascii="Times New Roman" w:hAnsi="Times New Roman" w:eastAsia="宋体"/>
                      <w:color w:val="000000" w:themeColor="text1"/>
                      <w:szCs w:val="21"/>
                    </w:rPr>
                    <w:t>工序</w:t>
                  </w:r>
                  <w:r>
                    <w:rPr>
                      <w:rFonts w:hint="eastAsia" w:ascii="Times New Roman" w:hAnsi="Times New Roman" w:eastAsia="宋体"/>
                      <w:color w:val="000000" w:themeColor="text1"/>
                      <w:szCs w:val="21"/>
                    </w:rPr>
                    <w:t>外排废气温度在30℃左右。本项目选用“</w:t>
                  </w:r>
                  <w:r>
                    <w:rPr>
                      <w:rFonts w:ascii="Times New Roman" w:hAnsi="Times New Roman" w:eastAsia="宋体"/>
                      <w:color w:val="000000" w:themeColor="text1"/>
                      <w:szCs w:val="21"/>
                    </w:rPr>
                    <w:t>UV光催化氧化+活性炭吸附</w:t>
                  </w:r>
                  <w:r>
                    <w:rPr>
                      <w:rFonts w:hint="eastAsia" w:ascii="Times New Roman" w:hAnsi="Times New Roman" w:eastAsia="宋体"/>
                      <w:color w:val="000000" w:themeColor="text1"/>
                      <w:szCs w:val="21"/>
                    </w:rPr>
                    <w:t>+油烟净化器+水喷淋”装置联合处理工艺处理非甲烷总烃可行，非甲烷总烃处理效率达80</w:t>
                  </w:r>
                  <w:r>
                    <w:rPr>
                      <w:rFonts w:ascii="Times New Roman" w:hAnsi="Times New Roman" w:eastAsia="宋体"/>
                      <w:color w:val="000000" w:themeColor="text1"/>
                      <w:szCs w:val="21"/>
                    </w:rPr>
                    <w:t>%</w:t>
                  </w:r>
                  <w:r>
                    <w:rPr>
                      <w:rFonts w:hint="eastAsia" w:ascii="Times New Roman" w:hAnsi="Times New Roman" w:eastAsia="宋体"/>
                      <w:color w:val="000000" w:themeColor="text1"/>
                      <w:szCs w:val="21"/>
                    </w:rPr>
                    <w:t>。定期更换活性炭，更换下来的废活性炭暂存于危废暂存间内，定期交有资质单位处理。</w:t>
                  </w:r>
                </w:p>
              </w:tc>
              <w:tc>
                <w:tcPr>
                  <w:tcW w:w="372" w:type="pct"/>
                  <w:tcBorders>
                    <w:top w:val="single" w:color="auto" w:sz="4" w:space="0"/>
                    <w:left w:val="single" w:color="auto" w:sz="4" w:space="0"/>
                    <w:bottom w:val="single" w:color="auto" w:sz="4" w:space="0"/>
                    <w:right w:val="nil"/>
                  </w:tcBorders>
                  <w:vAlign w:val="center"/>
                </w:tcPr>
                <w:p>
                  <w:pPr>
                    <w:widowControl/>
                    <w:jc w:val="left"/>
                    <w:rPr>
                      <w:rFonts w:ascii="Times New Roman" w:hAnsi="Times New Roman" w:eastAsia="宋体"/>
                      <w:color w:val="000000" w:themeColor="text1"/>
                      <w:szCs w:val="21"/>
                    </w:rPr>
                  </w:pPr>
                  <w:r>
                    <w:rPr>
                      <w:rFonts w:ascii="Times New Roman" w:hAnsi="Times New Roman" w:eastAsia="宋体"/>
                      <w:color w:val="000000" w:themeColor="text1"/>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4" w:type="pct"/>
                  <w:vMerge w:val="restart"/>
                  <w:tcBorders>
                    <w:top w:val="single" w:color="auto" w:sz="4" w:space="0"/>
                    <w:left w:val="nil"/>
                    <w:right w:val="single" w:color="auto" w:sz="4" w:space="0"/>
                  </w:tcBorders>
                  <w:vAlign w:val="center"/>
                </w:tcPr>
                <w:p>
                  <w:pPr>
                    <w:widowControl/>
                    <w:jc w:val="left"/>
                    <w:rPr>
                      <w:rFonts w:ascii="Times New Roman" w:hAnsi="Times New Roman" w:eastAsia="宋体"/>
                      <w:color w:val="000000" w:themeColor="text1"/>
                      <w:kern w:val="0"/>
                      <w:szCs w:val="21"/>
                    </w:rPr>
                  </w:pPr>
                  <w:r>
                    <w:rPr>
                      <w:rFonts w:hint="eastAsia" w:ascii="Times New Roman" w:hAnsi="Times New Roman" w:eastAsia="宋体"/>
                      <w:color w:val="000000" w:themeColor="text1"/>
                      <w:kern w:val="0"/>
                      <w:szCs w:val="21"/>
                    </w:rPr>
                    <w:t>《河南省污染防治攻坚战领导小组办公室关于印发河南省</w:t>
                  </w:r>
                  <w:r>
                    <w:rPr>
                      <w:rFonts w:ascii="Times New Roman" w:hAnsi="Times New Roman" w:eastAsia="宋体"/>
                      <w:color w:val="000000" w:themeColor="text1"/>
                      <w:kern w:val="0"/>
                      <w:szCs w:val="21"/>
                    </w:rPr>
                    <w:t>2020</w:t>
                  </w:r>
                  <w:r>
                    <w:rPr>
                      <w:rFonts w:hint="eastAsia" w:ascii="Times New Roman" w:hAnsi="Times New Roman" w:eastAsia="宋体"/>
                      <w:color w:val="000000" w:themeColor="text1"/>
                      <w:kern w:val="0"/>
                      <w:szCs w:val="21"/>
                    </w:rPr>
                    <w:t>年大气、水、土壤污染防治攻坚战实施方案的通知》豫环攻坚办</w:t>
                  </w:r>
                  <w:r>
                    <w:rPr>
                      <w:rFonts w:ascii="Times New Roman" w:hAnsi="Times New Roman" w:eastAsia="宋体"/>
                      <w:color w:val="000000" w:themeColor="text1"/>
                      <w:kern w:val="0"/>
                      <w:szCs w:val="21"/>
                    </w:rPr>
                    <w:t>[2020]7</w:t>
                  </w:r>
                  <w:r>
                    <w:rPr>
                      <w:rFonts w:hint="eastAsia" w:ascii="Times New Roman" w:hAnsi="Times New Roman" w:eastAsia="宋体"/>
                      <w:color w:val="000000" w:themeColor="text1"/>
                      <w:kern w:val="0"/>
                      <w:szCs w:val="21"/>
                    </w:rPr>
                    <w:t>号）</w:t>
                  </w:r>
                </w:p>
              </w:tc>
              <w:tc>
                <w:tcPr>
                  <w:tcW w:w="2422"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eastAsia="宋体"/>
                      <w:bCs/>
                      <w:color w:val="000000" w:themeColor="text1"/>
                      <w:szCs w:val="21"/>
                    </w:rPr>
                  </w:pPr>
                  <w:r>
                    <w:rPr>
                      <w:rFonts w:ascii="Times New Roman" w:hAnsi="Times New Roman" w:eastAsia="宋体"/>
                      <w:bCs/>
                      <w:color w:val="000000" w:themeColor="text1"/>
                      <w:szCs w:val="21"/>
                    </w:rPr>
                    <w:t>37.</w:t>
                  </w:r>
                  <w:r>
                    <w:rPr>
                      <w:rFonts w:hint="eastAsia" w:ascii="Times New Roman" w:hAnsi="Times New Roman" w:eastAsia="宋体"/>
                      <w:bCs/>
                      <w:color w:val="000000" w:themeColor="text1"/>
                      <w:szCs w:val="21"/>
                    </w:rPr>
                    <w:t>实施源头替代。按照工业和信息化部、市场监管总局关于低</w:t>
                  </w:r>
                  <w:r>
                    <w:rPr>
                      <w:rFonts w:ascii="Times New Roman" w:hAnsi="Times New Roman" w:eastAsia="宋体"/>
                      <w:bCs/>
                      <w:color w:val="000000" w:themeColor="text1"/>
                      <w:szCs w:val="21"/>
                    </w:rPr>
                    <w:t>VOCs</w:t>
                  </w:r>
                  <w:r>
                    <w:rPr>
                      <w:rFonts w:hint="eastAsia" w:ascii="Times New Roman" w:hAnsi="Times New Roman" w:eastAsia="宋体"/>
                      <w:bCs/>
                      <w:color w:val="000000" w:themeColor="text1"/>
                      <w:szCs w:val="21"/>
                    </w:rPr>
                    <w:t>含量涂料产品的技术要求，大力推广使用低</w:t>
                  </w:r>
                  <w:r>
                    <w:rPr>
                      <w:rFonts w:ascii="Times New Roman" w:hAnsi="Times New Roman" w:eastAsia="宋体"/>
                      <w:bCs/>
                      <w:color w:val="000000" w:themeColor="text1"/>
                      <w:szCs w:val="21"/>
                    </w:rPr>
                    <w:t>VOCs</w:t>
                  </w:r>
                  <w:r>
                    <w:rPr>
                      <w:rFonts w:hint="eastAsia" w:ascii="Times New Roman" w:hAnsi="Times New Roman" w:eastAsia="宋体"/>
                      <w:bCs/>
                      <w:color w:val="000000" w:themeColor="text1"/>
                      <w:szCs w:val="21"/>
                    </w:rPr>
                    <w:t>含量涂料、油墨、胶黏剂，在技术成熟的家具、集装箱、整车生产、船舶制造、机械设备制造、汽修、印刷等行业，全面推进源头替代。企业采用符合国家有关低</w:t>
                  </w:r>
                  <w:r>
                    <w:rPr>
                      <w:rFonts w:ascii="Times New Roman" w:hAnsi="Times New Roman" w:eastAsia="宋体"/>
                      <w:bCs/>
                      <w:color w:val="000000" w:themeColor="text1"/>
                      <w:szCs w:val="21"/>
                    </w:rPr>
                    <w:t>VOCs</w:t>
                  </w:r>
                  <w:r>
                    <w:rPr>
                      <w:rFonts w:hint="eastAsia" w:ascii="Times New Roman" w:hAnsi="Times New Roman" w:eastAsia="宋体"/>
                      <w:bCs/>
                      <w:color w:val="000000" w:themeColor="text1"/>
                      <w:szCs w:val="21"/>
                    </w:rPr>
                    <w:t>含量产品规定的涂料、油墨、胶黏剂等，排放浓度稳定达标且排放速率、排放绩效等满足相关规定的，相应生产工序可不要求建设末端治理设施。使用的原辅材料</w:t>
                  </w:r>
                  <w:r>
                    <w:rPr>
                      <w:rFonts w:ascii="Times New Roman" w:hAnsi="Times New Roman" w:eastAsia="宋体"/>
                      <w:bCs/>
                      <w:color w:val="000000" w:themeColor="text1"/>
                      <w:szCs w:val="21"/>
                    </w:rPr>
                    <w:t>VOCs</w:t>
                  </w:r>
                  <w:r>
                    <w:rPr>
                      <w:rFonts w:hint="eastAsia" w:ascii="Times New Roman" w:hAnsi="Times New Roman" w:eastAsia="宋体"/>
                      <w:bCs/>
                      <w:color w:val="000000" w:themeColor="text1"/>
                      <w:szCs w:val="21"/>
                    </w:rPr>
                    <w:t>含量（质量比）低于</w:t>
                  </w:r>
                  <w:r>
                    <w:rPr>
                      <w:rFonts w:ascii="Times New Roman" w:hAnsi="Times New Roman" w:eastAsia="宋体"/>
                      <w:bCs/>
                      <w:color w:val="000000" w:themeColor="text1"/>
                      <w:szCs w:val="21"/>
                    </w:rPr>
                    <w:t>10%</w:t>
                  </w:r>
                  <w:r>
                    <w:rPr>
                      <w:rFonts w:hint="eastAsia" w:ascii="Times New Roman" w:hAnsi="Times New Roman" w:eastAsia="宋体"/>
                      <w:bCs/>
                      <w:color w:val="000000" w:themeColor="text1"/>
                      <w:szCs w:val="21"/>
                    </w:rPr>
                    <w:t>的工序，可不要求采取无组织排放收集措施。</w:t>
                  </w:r>
                </w:p>
              </w:tc>
              <w:tc>
                <w:tcPr>
                  <w:tcW w:w="15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rPr>
                      <w:rFonts w:ascii="Times New Roman" w:hAnsi="Times New Roman" w:eastAsia="宋体"/>
                      <w:color w:val="000000" w:themeColor="text1"/>
                      <w:szCs w:val="21"/>
                    </w:rPr>
                  </w:pPr>
                  <w:r>
                    <w:rPr>
                      <w:rFonts w:hint="eastAsia" w:ascii="Times New Roman" w:hAnsi="Times New Roman" w:eastAsia="宋体"/>
                      <w:color w:val="000000" w:themeColor="text1"/>
                      <w:szCs w:val="21"/>
                    </w:rPr>
                    <w:t>项目压合</w:t>
                  </w:r>
                  <w:r>
                    <w:rPr>
                      <w:rFonts w:ascii="Times New Roman" w:hAnsi="Times New Roman" w:eastAsia="宋体"/>
                      <w:color w:val="000000" w:themeColor="text1"/>
                      <w:szCs w:val="21"/>
                    </w:rPr>
                    <w:t>工序</w:t>
                  </w:r>
                  <w:r>
                    <w:rPr>
                      <w:rFonts w:hint="eastAsia" w:ascii="Times New Roman" w:hAnsi="Times New Roman" w:eastAsia="宋体"/>
                      <w:color w:val="000000" w:themeColor="text1"/>
                      <w:szCs w:val="21"/>
                    </w:rPr>
                    <w:t>产生的有机废气</w:t>
                  </w:r>
                  <w:r>
                    <w:rPr>
                      <w:rFonts w:hint="eastAsia" w:ascii="Times New Roman" w:eastAsia="宋体"/>
                      <w:color w:val="000000" w:themeColor="text1"/>
                      <w:szCs w:val="21"/>
                    </w:rPr>
                    <w:t>经</w:t>
                  </w:r>
                  <w:r>
                    <w:rPr>
                      <w:rFonts w:hint="eastAsia" w:ascii="Times New Roman" w:hAnsi="Times New Roman" w:eastAsia="宋体"/>
                      <w:color w:val="000000" w:themeColor="text1"/>
                      <w:szCs w:val="21"/>
                    </w:rPr>
                    <w:t>封闭集气罩（6个，新建）</w:t>
                  </w:r>
                  <w:r>
                    <w:rPr>
                      <w:rFonts w:hint="eastAsia" w:ascii="Times New Roman" w:eastAsia="宋体"/>
                      <w:color w:val="000000" w:themeColor="text1"/>
                      <w:szCs w:val="21"/>
                    </w:rPr>
                    <w:t>收集后进入</w:t>
                  </w:r>
                  <w:r>
                    <w:rPr>
                      <w:rFonts w:hint="eastAsia" w:ascii="Times New Roman" w:hAnsi="Times New Roman" w:eastAsia="宋体"/>
                      <w:color w:val="000000" w:themeColor="text1"/>
                      <w:szCs w:val="21"/>
                    </w:rPr>
                    <w:t>“</w:t>
                  </w:r>
                  <w:r>
                    <w:rPr>
                      <w:rFonts w:ascii="Times New Roman" w:hAnsi="Times New Roman" w:eastAsia="宋体"/>
                      <w:color w:val="000000" w:themeColor="text1"/>
                      <w:szCs w:val="21"/>
                    </w:rPr>
                    <w:t>UV光催化氧化</w:t>
                  </w:r>
                  <w:r>
                    <w:rPr>
                      <w:rFonts w:hint="eastAsia" w:ascii="Times New Roman" w:hAnsi="Times New Roman" w:eastAsia="宋体"/>
                      <w:color w:val="000000" w:themeColor="text1"/>
                      <w:szCs w:val="21"/>
                    </w:rPr>
                    <w:t>（原有）</w:t>
                  </w:r>
                  <w:r>
                    <w:rPr>
                      <w:rFonts w:ascii="Times New Roman" w:hAnsi="Times New Roman" w:eastAsia="宋体"/>
                      <w:color w:val="000000" w:themeColor="text1"/>
                      <w:szCs w:val="21"/>
                    </w:rPr>
                    <w:t>+活性炭吸附</w:t>
                  </w:r>
                  <w:r>
                    <w:rPr>
                      <w:rFonts w:hint="eastAsia" w:ascii="Times New Roman" w:hAnsi="Times New Roman" w:eastAsia="宋体"/>
                      <w:color w:val="000000" w:themeColor="text1"/>
                      <w:szCs w:val="21"/>
                    </w:rPr>
                    <w:t>（原有）+油烟净化器（原有）+水喷淋（整改新建）”装置进行处理，能够满足《关于全省开展工业企业挥发性有机物专项治理工作中排放建议值的通知》（豫环攻坚办</w:t>
                  </w:r>
                  <w:r>
                    <w:rPr>
                      <w:rFonts w:ascii="Times New Roman" w:hAnsi="Times New Roman" w:eastAsia="宋体"/>
                      <w:color w:val="000000" w:themeColor="text1"/>
                      <w:szCs w:val="21"/>
                    </w:rPr>
                    <w:t>[2017]162</w:t>
                  </w:r>
                  <w:r>
                    <w:rPr>
                      <w:rFonts w:hint="eastAsia" w:ascii="Times New Roman" w:hAnsi="Times New Roman" w:eastAsia="宋体"/>
                      <w:color w:val="000000" w:themeColor="text1"/>
                      <w:szCs w:val="21"/>
                    </w:rPr>
                    <w:t>号文）相关要求。企业有机废气排放口按照环保部门的相关要求，安装</w:t>
                  </w:r>
                  <w:r>
                    <w:rPr>
                      <w:rFonts w:ascii="Times New Roman" w:hAnsi="Times New Roman" w:eastAsia="宋体"/>
                      <w:color w:val="000000" w:themeColor="text1"/>
                      <w:szCs w:val="21"/>
                    </w:rPr>
                    <w:t>VOCs</w:t>
                  </w:r>
                  <w:r>
                    <w:rPr>
                      <w:rFonts w:hint="eastAsia" w:ascii="Times New Roman" w:hAnsi="Times New Roman" w:eastAsia="宋体"/>
                      <w:color w:val="000000" w:themeColor="text1"/>
                      <w:szCs w:val="21"/>
                    </w:rPr>
                    <w:t>在线监测设备并与环境监控中心监控平台联网。</w:t>
                  </w:r>
                </w:p>
              </w:tc>
              <w:tc>
                <w:tcPr>
                  <w:tcW w:w="372" w:type="pct"/>
                  <w:tcBorders>
                    <w:top w:val="single" w:color="auto" w:sz="4" w:space="0"/>
                    <w:left w:val="single" w:color="auto" w:sz="4" w:space="0"/>
                    <w:bottom w:val="single" w:color="auto" w:sz="4" w:space="0"/>
                    <w:right w:val="nil"/>
                  </w:tcBorders>
                  <w:vAlign w:val="center"/>
                </w:tcPr>
                <w:p>
                  <w:pPr>
                    <w:widowControl/>
                    <w:jc w:val="left"/>
                    <w:rPr>
                      <w:rFonts w:ascii="Times New Roman" w:hAnsi="Times New Roman" w:eastAsia="宋体"/>
                      <w:color w:val="000000" w:themeColor="text1"/>
                      <w:szCs w:val="21"/>
                    </w:rPr>
                  </w:pPr>
                  <w:r>
                    <w:rPr>
                      <w:rFonts w:hint="eastAsia" w:ascii="Times New Roman" w:hAnsi="Times New Roman" w:eastAsia="宋体"/>
                      <w:color w:val="000000" w:themeColor="text1"/>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4" w:type="pct"/>
                  <w:vMerge w:val="continue"/>
                  <w:tcBorders>
                    <w:left w:val="nil"/>
                    <w:right w:val="single" w:color="auto" w:sz="4" w:space="0"/>
                  </w:tcBorders>
                  <w:vAlign w:val="center"/>
                </w:tcPr>
                <w:p>
                  <w:pPr>
                    <w:widowControl/>
                    <w:jc w:val="left"/>
                    <w:rPr>
                      <w:rFonts w:ascii="Times New Roman" w:hAnsi="Times New Roman" w:eastAsia="宋体"/>
                      <w:color w:val="000000" w:themeColor="text1"/>
                      <w:kern w:val="0"/>
                      <w:szCs w:val="21"/>
                    </w:rPr>
                  </w:pPr>
                </w:p>
              </w:tc>
              <w:tc>
                <w:tcPr>
                  <w:tcW w:w="2422"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eastAsia="宋体"/>
                      <w:bCs/>
                      <w:color w:val="000000" w:themeColor="text1"/>
                      <w:szCs w:val="21"/>
                    </w:rPr>
                  </w:pPr>
                  <w:r>
                    <w:rPr>
                      <w:rFonts w:ascii="Times New Roman" w:hAnsi="Times New Roman" w:eastAsia="宋体"/>
                      <w:bCs/>
                      <w:color w:val="000000" w:themeColor="text1"/>
                      <w:szCs w:val="21"/>
                    </w:rPr>
                    <w:t>38.</w:t>
                  </w:r>
                  <w:r>
                    <w:rPr>
                      <w:rFonts w:hint="eastAsia" w:ascii="Times New Roman" w:hAnsi="Times New Roman" w:eastAsia="宋体"/>
                      <w:bCs/>
                      <w:color w:val="000000" w:themeColor="text1"/>
                      <w:szCs w:val="21"/>
                    </w:rPr>
                    <w:t>加强废气收集和处理。推进治污设施升级改造，通过采用全密闭、连续化、自动化等生产技术，以及高效工序与设备等，减少工艺过程无组织排放。提高废气收集率、遵循“应收仅收、分质收集”的原则，科学设计废气收集系统，将无组织排放转变为有组织排放进行控制，采用密闭空间作业的，除行业有特殊要求外，应保持微负压状态，并根据相关规范合理设置通风量；采用局部集气罩的，距集气罩开口面最远处的</w:t>
                  </w:r>
                  <w:r>
                    <w:rPr>
                      <w:rFonts w:ascii="Times New Roman" w:hAnsi="Times New Roman" w:eastAsia="宋体"/>
                      <w:bCs/>
                      <w:color w:val="000000" w:themeColor="text1"/>
                      <w:szCs w:val="21"/>
                    </w:rPr>
                    <w:t>VOCs</w:t>
                  </w:r>
                  <w:r>
                    <w:rPr>
                      <w:rFonts w:hint="eastAsia" w:ascii="Times New Roman" w:hAnsi="Times New Roman" w:eastAsia="宋体"/>
                      <w:bCs/>
                      <w:color w:val="000000" w:themeColor="text1"/>
                      <w:szCs w:val="21"/>
                    </w:rPr>
                    <w:t>无组织排放位置，控制风速应不低于</w:t>
                  </w:r>
                  <w:r>
                    <w:rPr>
                      <w:rFonts w:ascii="Times New Roman" w:hAnsi="Times New Roman" w:eastAsia="宋体"/>
                      <w:bCs/>
                      <w:color w:val="000000" w:themeColor="text1"/>
                      <w:szCs w:val="21"/>
                    </w:rPr>
                    <w:t>0.3</w:t>
                  </w:r>
                  <w:r>
                    <w:rPr>
                      <w:rFonts w:hint="eastAsia" w:ascii="Times New Roman" w:hAnsi="Times New Roman" w:eastAsia="宋体"/>
                      <w:bCs/>
                      <w:color w:val="000000" w:themeColor="text1"/>
                      <w:szCs w:val="21"/>
                    </w:rPr>
                    <w:t>米</w:t>
                  </w:r>
                  <w:r>
                    <w:rPr>
                      <w:rFonts w:ascii="Times New Roman" w:hAnsi="Times New Roman" w:eastAsia="宋体"/>
                      <w:bCs/>
                      <w:color w:val="000000" w:themeColor="text1"/>
                      <w:szCs w:val="21"/>
                    </w:rPr>
                    <w:t>/</w:t>
                  </w:r>
                  <w:r>
                    <w:rPr>
                      <w:rFonts w:hint="eastAsia" w:ascii="Times New Roman" w:hAnsi="Times New Roman" w:eastAsia="宋体"/>
                      <w:bCs/>
                      <w:color w:val="000000" w:themeColor="text1"/>
                      <w:szCs w:val="21"/>
                    </w:rPr>
                    <w:t>秒，有行业要求的按相关规定执行。车间或生产设施收集排放的废气，</w:t>
                  </w:r>
                  <w:r>
                    <w:rPr>
                      <w:rFonts w:ascii="Times New Roman" w:hAnsi="Times New Roman" w:eastAsia="宋体"/>
                      <w:bCs/>
                      <w:color w:val="000000" w:themeColor="text1"/>
                      <w:szCs w:val="21"/>
                    </w:rPr>
                    <w:t>VOCs</w:t>
                  </w:r>
                  <w:r>
                    <w:rPr>
                      <w:rFonts w:hint="eastAsia" w:ascii="Times New Roman" w:hAnsi="Times New Roman" w:eastAsia="宋体"/>
                      <w:bCs/>
                      <w:color w:val="000000" w:themeColor="text1"/>
                      <w:szCs w:val="21"/>
                    </w:rPr>
                    <w:t>初始排放速率大于等于</w:t>
                  </w:r>
                  <w:r>
                    <w:rPr>
                      <w:rFonts w:ascii="Times New Roman" w:hAnsi="Times New Roman" w:eastAsia="宋体"/>
                      <w:bCs/>
                      <w:color w:val="000000" w:themeColor="text1"/>
                      <w:szCs w:val="21"/>
                    </w:rPr>
                    <w:t>2</w:t>
                  </w:r>
                  <w:r>
                    <w:rPr>
                      <w:rFonts w:hint="eastAsia" w:ascii="Times New Roman" w:hAnsi="Times New Roman" w:eastAsia="宋体"/>
                      <w:bCs/>
                      <w:color w:val="000000" w:themeColor="text1"/>
                      <w:szCs w:val="21"/>
                    </w:rPr>
                    <w:t>千克</w:t>
                  </w:r>
                  <w:r>
                    <w:rPr>
                      <w:rFonts w:ascii="Times New Roman" w:hAnsi="Times New Roman" w:eastAsia="宋体"/>
                      <w:bCs/>
                      <w:color w:val="000000" w:themeColor="text1"/>
                      <w:szCs w:val="21"/>
                    </w:rPr>
                    <w:t>/</w:t>
                  </w:r>
                  <w:r>
                    <w:rPr>
                      <w:rFonts w:hint="eastAsia" w:ascii="Times New Roman" w:hAnsi="Times New Roman" w:eastAsia="宋体"/>
                      <w:bCs/>
                      <w:color w:val="000000" w:themeColor="text1"/>
                      <w:szCs w:val="21"/>
                    </w:rPr>
                    <w:t>小时，应加大控制力度，除确保排放浓度稳定达标外，还应实行去除率控制，去除率不低于</w:t>
                  </w:r>
                  <w:r>
                    <w:rPr>
                      <w:rFonts w:ascii="Times New Roman" w:hAnsi="Times New Roman" w:eastAsia="宋体"/>
                      <w:bCs/>
                      <w:color w:val="000000" w:themeColor="text1"/>
                      <w:szCs w:val="21"/>
                    </w:rPr>
                    <w:t>80%</w:t>
                  </w:r>
                  <w:r>
                    <w:rPr>
                      <w:rFonts w:hint="eastAsia" w:ascii="Times New Roman" w:hAnsi="Times New Roman" w:eastAsia="宋体"/>
                      <w:bCs/>
                      <w:color w:val="000000" w:themeColor="text1"/>
                      <w:szCs w:val="21"/>
                    </w:rPr>
                    <w:t>。</w:t>
                  </w:r>
                </w:p>
              </w:tc>
              <w:tc>
                <w:tcPr>
                  <w:tcW w:w="15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rPr>
                      <w:rFonts w:ascii="Times New Roman" w:hAnsi="Times New Roman" w:eastAsia="宋体"/>
                      <w:color w:val="000000" w:themeColor="text1"/>
                      <w:szCs w:val="21"/>
                      <w:highlight w:val="yellow"/>
                    </w:rPr>
                  </w:pPr>
                  <w:r>
                    <w:rPr>
                      <w:rFonts w:hint="eastAsia" w:ascii="Times New Roman" w:hAnsi="Times New Roman" w:eastAsia="宋体"/>
                      <w:color w:val="000000" w:themeColor="text1"/>
                      <w:szCs w:val="21"/>
                    </w:rPr>
                    <w:t>项目</w:t>
                  </w:r>
                  <w:r>
                    <w:rPr>
                      <w:rFonts w:hint="eastAsia" w:ascii="Times New Roman" w:eastAsia="宋体"/>
                      <w:color w:val="000000" w:themeColor="text1"/>
                      <w:szCs w:val="21"/>
                    </w:rPr>
                    <w:t>压合</w:t>
                  </w:r>
                  <w:r>
                    <w:rPr>
                      <w:rFonts w:ascii="Times New Roman" w:eastAsia="宋体"/>
                      <w:color w:val="000000" w:themeColor="text1"/>
                      <w:szCs w:val="21"/>
                    </w:rPr>
                    <w:t>工序</w:t>
                  </w:r>
                  <w:r>
                    <w:rPr>
                      <w:rFonts w:hint="eastAsia" w:ascii="Times New Roman" w:eastAsia="宋体"/>
                      <w:color w:val="000000" w:themeColor="text1"/>
                      <w:szCs w:val="21"/>
                    </w:rPr>
                    <w:t>会产生有机废气，</w:t>
                  </w:r>
                  <w:r>
                    <w:rPr>
                      <w:rFonts w:hint="eastAsia" w:ascii="Times New Roman" w:eastAsia="宋体"/>
                      <w:bCs/>
                      <w:color w:val="000000" w:themeColor="text1"/>
                      <w:kern w:val="21"/>
                      <w:szCs w:val="21"/>
                    </w:rPr>
                    <w:t>压合工序位于封闭的生产车间内，</w:t>
                  </w:r>
                  <w:r>
                    <w:rPr>
                      <w:rFonts w:hint="eastAsia" w:ascii="Times New Roman" w:hAnsi="宋体" w:eastAsia="宋体"/>
                      <w:bCs/>
                      <w:color w:val="000000" w:themeColor="text1"/>
                      <w:szCs w:val="21"/>
                    </w:rPr>
                    <w:t>高周波塑熔机</w:t>
                  </w:r>
                  <w:r>
                    <w:rPr>
                      <w:rFonts w:hint="eastAsia" w:ascii="Times New Roman" w:eastAsia="宋体"/>
                      <w:color w:val="000000" w:themeColor="text1"/>
                      <w:szCs w:val="21"/>
                    </w:rPr>
                    <w:t>工作平台顶部安装封闭罩</w:t>
                  </w:r>
                  <w:r>
                    <w:rPr>
                      <w:rFonts w:hint="eastAsia" w:ascii="Times New Roman" w:hAnsi="Times New Roman" w:eastAsia="宋体"/>
                      <w:color w:val="000000" w:themeColor="text1"/>
                      <w:spacing w:val="-4"/>
                      <w:szCs w:val="21"/>
                    </w:rPr>
                    <w:t>。集气装置的进风口和设备顶部封闭罩连接；</w:t>
                  </w:r>
                  <w:r>
                    <w:rPr>
                      <w:rFonts w:hint="eastAsia" w:ascii="Times New Roman" w:hAnsi="Times New Roman" w:eastAsia="宋体"/>
                      <w:color w:val="000000" w:themeColor="text1"/>
                      <w:szCs w:val="21"/>
                    </w:rPr>
                    <w:t>有机废气产生速率为0.1507kg/h，产生浓度为75.35</w:t>
                  </w:r>
                  <w:r>
                    <w:rPr>
                      <w:rFonts w:ascii="Times New Roman" w:hAnsi="Times New Roman" w:eastAsia="宋体"/>
                      <w:color w:val="000000" w:themeColor="text1"/>
                      <w:szCs w:val="21"/>
                    </w:rPr>
                    <w:t>mg/m</w:t>
                  </w:r>
                  <w:r>
                    <w:rPr>
                      <w:rFonts w:ascii="Times New Roman" w:hAnsi="Times New Roman" w:eastAsia="宋体"/>
                      <w:color w:val="000000" w:themeColor="text1"/>
                      <w:szCs w:val="21"/>
                      <w:vertAlign w:val="superscript"/>
                    </w:rPr>
                    <w:t>3</w:t>
                  </w:r>
                  <w:r>
                    <w:rPr>
                      <w:rFonts w:hint="eastAsia" w:ascii="Times New Roman" w:hAnsi="Times New Roman" w:eastAsia="宋体"/>
                      <w:color w:val="000000" w:themeColor="text1"/>
                      <w:szCs w:val="21"/>
                    </w:rPr>
                    <w:t>，属于</w:t>
                  </w:r>
                  <w:r>
                    <w:rPr>
                      <w:rFonts w:ascii="Times New Roman" w:hAnsi="Times New Roman" w:eastAsia="宋体"/>
                      <w:color w:val="000000" w:themeColor="text1"/>
                      <w:szCs w:val="21"/>
                    </w:rPr>
                    <w:t>1000ppm</w:t>
                  </w:r>
                  <w:r>
                    <w:rPr>
                      <w:rFonts w:hint="eastAsia" w:ascii="Times New Roman" w:hAnsi="Times New Roman" w:eastAsia="宋体"/>
                      <w:color w:val="000000" w:themeColor="text1"/>
                      <w:szCs w:val="21"/>
                    </w:rPr>
                    <w:t>以下的低浓度有机废气；有机废气</w:t>
                  </w:r>
                  <w:r>
                    <w:rPr>
                      <w:rFonts w:hint="eastAsia" w:ascii="Times New Roman" w:eastAsia="宋体"/>
                      <w:color w:val="000000" w:themeColor="text1"/>
                      <w:szCs w:val="21"/>
                    </w:rPr>
                    <w:t>经</w:t>
                  </w:r>
                  <w:r>
                    <w:rPr>
                      <w:rFonts w:hint="eastAsia" w:ascii="Times New Roman" w:hAnsi="Times New Roman" w:eastAsia="宋体"/>
                      <w:color w:val="000000" w:themeColor="text1"/>
                      <w:szCs w:val="21"/>
                    </w:rPr>
                    <w:t>封闭集气罩（6个，新建）</w:t>
                  </w:r>
                  <w:r>
                    <w:rPr>
                      <w:rFonts w:hint="eastAsia" w:ascii="Times New Roman" w:eastAsia="宋体"/>
                      <w:color w:val="000000" w:themeColor="text1"/>
                      <w:szCs w:val="21"/>
                    </w:rPr>
                    <w:t>收集后进入</w:t>
                  </w:r>
                  <w:r>
                    <w:rPr>
                      <w:rFonts w:hint="eastAsia" w:ascii="Times New Roman" w:hAnsi="Times New Roman" w:eastAsia="宋体"/>
                      <w:color w:val="000000" w:themeColor="text1"/>
                      <w:szCs w:val="21"/>
                    </w:rPr>
                    <w:t>“</w:t>
                  </w:r>
                  <w:r>
                    <w:rPr>
                      <w:rFonts w:ascii="Times New Roman" w:hAnsi="Times New Roman" w:eastAsia="宋体"/>
                      <w:color w:val="000000" w:themeColor="text1"/>
                      <w:szCs w:val="21"/>
                    </w:rPr>
                    <w:t>UV光催化氧化</w:t>
                  </w:r>
                  <w:r>
                    <w:rPr>
                      <w:rFonts w:hint="eastAsia" w:ascii="Times New Roman" w:hAnsi="Times New Roman" w:eastAsia="宋体"/>
                      <w:color w:val="000000" w:themeColor="text1"/>
                      <w:szCs w:val="21"/>
                    </w:rPr>
                    <w:t>（原有）</w:t>
                  </w:r>
                  <w:r>
                    <w:rPr>
                      <w:rFonts w:ascii="Times New Roman" w:hAnsi="Times New Roman" w:eastAsia="宋体"/>
                      <w:color w:val="000000" w:themeColor="text1"/>
                      <w:szCs w:val="21"/>
                    </w:rPr>
                    <w:t>+活性炭吸附</w:t>
                  </w:r>
                  <w:r>
                    <w:rPr>
                      <w:rFonts w:hint="eastAsia" w:ascii="Times New Roman" w:hAnsi="Times New Roman" w:eastAsia="宋体"/>
                      <w:color w:val="000000" w:themeColor="text1"/>
                      <w:szCs w:val="21"/>
                    </w:rPr>
                    <w:t>（原有）+油烟净化器（原有）+水喷淋（整改新建）”装置进行处理；非甲烷总烃处理效率达80</w:t>
                  </w:r>
                  <w:r>
                    <w:rPr>
                      <w:rFonts w:ascii="Times New Roman" w:hAnsi="Times New Roman" w:eastAsia="宋体"/>
                      <w:color w:val="000000" w:themeColor="text1"/>
                      <w:szCs w:val="21"/>
                    </w:rPr>
                    <w:t>%</w:t>
                  </w:r>
                  <w:r>
                    <w:rPr>
                      <w:rFonts w:hint="eastAsia" w:ascii="Times New Roman" w:hAnsi="Times New Roman" w:eastAsia="宋体"/>
                      <w:color w:val="000000" w:themeColor="text1"/>
                      <w:szCs w:val="21"/>
                    </w:rPr>
                    <w:t>。</w:t>
                  </w:r>
                </w:p>
              </w:tc>
              <w:tc>
                <w:tcPr>
                  <w:tcW w:w="372" w:type="pct"/>
                  <w:tcBorders>
                    <w:top w:val="single" w:color="auto" w:sz="4" w:space="0"/>
                    <w:left w:val="single" w:color="auto" w:sz="4" w:space="0"/>
                    <w:bottom w:val="single" w:color="auto" w:sz="4" w:space="0"/>
                    <w:right w:val="nil"/>
                  </w:tcBorders>
                  <w:vAlign w:val="center"/>
                </w:tcPr>
                <w:p>
                  <w:pPr>
                    <w:widowControl/>
                    <w:jc w:val="left"/>
                    <w:rPr>
                      <w:rFonts w:ascii="Times New Roman" w:hAnsi="Times New Roman" w:eastAsia="宋体"/>
                      <w:color w:val="000000" w:themeColor="text1"/>
                      <w:szCs w:val="21"/>
                    </w:rPr>
                  </w:pPr>
                  <w:r>
                    <w:rPr>
                      <w:rFonts w:hint="eastAsia" w:ascii="Times New Roman" w:hAnsi="Times New Roman" w:eastAsia="宋体"/>
                      <w:color w:val="000000" w:themeColor="text1"/>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4" w:type="pct"/>
                  <w:vMerge w:val="continue"/>
                  <w:tcBorders>
                    <w:left w:val="nil"/>
                    <w:right w:val="single" w:color="auto" w:sz="4" w:space="0"/>
                  </w:tcBorders>
                  <w:vAlign w:val="center"/>
                </w:tcPr>
                <w:p>
                  <w:pPr>
                    <w:widowControl/>
                    <w:jc w:val="left"/>
                    <w:rPr>
                      <w:rFonts w:ascii="Times New Roman" w:hAnsi="Times New Roman" w:eastAsia="宋体"/>
                      <w:color w:val="000000" w:themeColor="text1"/>
                      <w:kern w:val="0"/>
                      <w:szCs w:val="21"/>
                    </w:rPr>
                  </w:pPr>
                </w:p>
              </w:tc>
              <w:tc>
                <w:tcPr>
                  <w:tcW w:w="2422"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eastAsia="宋体"/>
                      <w:bCs/>
                      <w:color w:val="000000" w:themeColor="text1"/>
                      <w:szCs w:val="21"/>
                    </w:rPr>
                  </w:pPr>
                  <w:r>
                    <w:rPr>
                      <w:rFonts w:ascii="Times New Roman" w:hAnsi="Times New Roman" w:eastAsia="宋体"/>
                      <w:bCs/>
                      <w:color w:val="000000" w:themeColor="text1"/>
                      <w:szCs w:val="21"/>
                    </w:rPr>
                    <w:t>39.</w:t>
                  </w:r>
                  <w:r>
                    <w:rPr>
                      <w:rFonts w:hint="eastAsia" w:ascii="Times New Roman" w:hAnsi="Times New Roman" w:eastAsia="宋体"/>
                      <w:bCs/>
                      <w:color w:val="000000" w:themeColor="text1"/>
                      <w:szCs w:val="21"/>
                    </w:rPr>
                    <w:t>强化设施运行管理。企业应系统梳理</w:t>
                  </w:r>
                  <w:r>
                    <w:rPr>
                      <w:rFonts w:ascii="Times New Roman" w:hAnsi="Times New Roman" w:eastAsia="宋体"/>
                      <w:bCs/>
                      <w:color w:val="000000" w:themeColor="text1"/>
                      <w:szCs w:val="21"/>
                    </w:rPr>
                    <w:t>VOCs</w:t>
                  </w:r>
                  <w:r>
                    <w:rPr>
                      <w:rFonts w:hint="eastAsia" w:ascii="Times New Roman" w:hAnsi="Times New Roman" w:eastAsia="宋体"/>
                      <w:bCs/>
                      <w:color w:val="000000" w:themeColor="text1"/>
                      <w:szCs w:val="21"/>
                    </w:rPr>
                    <w:t>排放主要环节和工序，包括启停机、检维修作业等，指定具体操作规程，落实到具体责任人。健全内部考核制度。加强人员能力培训和技术交流。建立管理台账，记录企业生产和治污设施运行的关键参数，在线监控参数要确保能够实时调取，相关台账记录至少保存三年。</w:t>
                  </w:r>
                </w:p>
              </w:tc>
              <w:tc>
                <w:tcPr>
                  <w:tcW w:w="15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rPr>
                      <w:rFonts w:ascii="Times New Roman" w:hAnsi="Times New Roman" w:eastAsia="宋体"/>
                      <w:bCs/>
                      <w:color w:val="000000" w:themeColor="text1"/>
                      <w:szCs w:val="21"/>
                      <w:highlight w:val="yellow"/>
                    </w:rPr>
                  </w:pPr>
                  <w:r>
                    <w:rPr>
                      <w:rFonts w:hint="eastAsia" w:ascii="Times New Roman" w:hAnsi="Times New Roman" w:eastAsia="宋体"/>
                      <w:color w:val="000000" w:themeColor="text1"/>
                      <w:szCs w:val="21"/>
                    </w:rPr>
                    <w:t>本项目建成运营后，</w:t>
                  </w:r>
                  <w:r>
                    <w:rPr>
                      <w:rFonts w:hint="eastAsia" w:ascii="Times New Roman" w:hAnsi="Times New Roman" w:eastAsia="宋体"/>
                      <w:bCs/>
                      <w:color w:val="000000" w:themeColor="text1"/>
                      <w:szCs w:val="21"/>
                    </w:rPr>
                    <w:t>应建立台账，设置专人管理有机废气处理设施。</w:t>
                  </w:r>
                  <w:r>
                    <w:rPr>
                      <w:rFonts w:hint="eastAsia" w:ascii="Times New Roman" w:hAnsi="Times New Roman" w:eastAsia="宋体"/>
                      <w:color w:val="000000" w:themeColor="text1"/>
                      <w:szCs w:val="21"/>
                    </w:rPr>
                    <w:t>企业有机废气排放口按照环保部门的相关要求，安装</w:t>
                  </w:r>
                  <w:r>
                    <w:rPr>
                      <w:rFonts w:ascii="Times New Roman" w:hAnsi="Times New Roman" w:eastAsia="宋体"/>
                      <w:color w:val="000000" w:themeColor="text1"/>
                      <w:szCs w:val="21"/>
                    </w:rPr>
                    <w:t>VOCs</w:t>
                  </w:r>
                  <w:r>
                    <w:rPr>
                      <w:rFonts w:hint="eastAsia" w:ascii="Times New Roman" w:hAnsi="Times New Roman" w:eastAsia="宋体"/>
                      <w:color w:val="000000" w:themeColor="text1"/>
                      <w:szCs w:val="21"/>
                    </w:rPr>
                    <w:t>在线监测设备并与环境监控中心监控平台联网。</w:t>
                  </w:r>
                  <w:r>
                    <w:rPr>
                      <w:rFonts w:hint="eastAsia" w:ascii="Times New Roman" w:hAnsi="Times New Roman" w:eastAsia="宋体"/>
                      <w:bCs/>
                      <w:color w:val="000000" w:themeColor="text1"/>
                      <w:szCs w:val="21"/>
                    </w:rPr>
                    <w:t>监控参数设置</w:t>
                  </w:r>
                  <w:r>
                    <w:rPr>
                      <w:rFonts w:hint="eastAsia" w:ascii="Times New Roman" w:hAnsi="Times New Roman" w:eastAsia="宋体"/>
                      <w:bCs/>
                      <w:color w:val="000000" w:themeColor="text1"/>
                      <w:kern w:val="21"/>
                      <w:szCs w:val="21"/>
                    </w:rPr>
                    <w:t>台账，保存期限不小于</w:t>
                  </w:r>
                  <w:r>
                    <w:rPr>
                      <w:rFonts w:ascii="Times New Roman" w:hAnsi="Times New Roman" w:eastAsia="宋体"/>
                      <w:bCs/>
                      <w:color w:val="000000" w:themeColor="text1"/>
                      <w:kern w:val="21"/>
                      <w:szCs w:val="21"/>
                    </w:rPr>
                    <w:t>3</w:t>
                  </w:r>
                  <w:r>
                    <w:rPr>
                      <w:rFonts w:hint="eastAsia" w:ascii="Times New Roman" w:hAnsi="Times New Roman" w:eastAsia="宋体"/>
                      <w:bCs/>
                      <w:color w:val="000000" w:themeColor="text1"/>
                      <w:kern w:val="21"/>
                      <w:szCs w:val="21"/>
                    </w:rPr>
                    <w:t>年。</w:t>
                  </w:r>
                </w:p>
              </w:tc>
              <w:tc>
                <w:tcPr>
                  <w:tcW w:w="372" w:type="pct"/>
                  <w:tcBorders>
                    <w:top w:val="single" w:color="auto" w:sz="4" w:space="0"/>
                    <w:left w:val="single" w:color="auto" w:sz="4" w:space="0"/>
                    <w:bottom w:val="single" w:color="auto" w:sz="4" w:space="0"/>
                    <w:right w:val="nil"/>
                  </w:tcBorders>
                  <w:vAlign w:val="center"/>
                </w:tcPr>
                <w:p>
                  <w:pPr>
                    <w:widowControl/>
                    <w:jc w:val="left"/>
                    <w:rPr>
                      <w:rFonts w:ascii="Times New Roman" w:hAnsi="Times New Roman" w:eastAsia="宋体"/>
                      <w:color w:val="000000" w:themeColor="text1"/>
                      <w:szCs w:val="21"/>
                    </w:rPr>
                  </w:pPr>
                  <w:r>
                    <w:rPr>
                      <w:rFonts w:hint="eastAsia" w:ascii="Times New Roman" w:hAnsi="Times New Roman" w:eastAsia="宋体"/>
                      <w:color w:val="000000" w:themeColor="text1"/>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4" w:type="pct"/>
                  <w:vMerge w:val="restart"/>
                  <w:tcBorders>
                    <w:left w:val="nil"/>
                    <w:right w:val="single" w:color="auto" w:sz="4" w:space="0"/>
                  </w:tcBorders>
                  <w:vAlign w:val="center"/>
                </w:tcPr>
                <w:p>
                  <w:pPr>
                    <w:widowControl/>
                    <w:jc w:val="center"/>
                    <w:rPr>
                      <w:rFonts w:ascii="Times New Roman" w:hAnsi="Times New Roman" w:eastAsia="宋体"/>
                      <w:color w:val="000000" w:themeColor="text1"/>
                      <w:kern w:val="0"/>
                      <w:szCs w:val="21"/>
                    </w:rPr>
                  </w:pPr>
                  <w:r>
                    <w:rPr>
                      <w:rFonts w:ascii="Times New Roman" w:hAnsi="Times New Roman" w:eastAsia="宋体"/>
                      <w:color w:val="000000" w:themeColor="text1"/>
                      <w:szCs w:val="21"/>
                      <w:lang w:val="pt-BR"/>
                    </w:rPr>
                    <w:t>《</w:t>
                  </w:r>
                  <w:r>
                    <w:rPr>
                      <w:rFonts w:ascii="Times New Roman" w:hAnsi="Times New Roman" w:eastAsia="宋体"/>
                      <w:color w:val="000000" w:themeColor="text1"/>
                      <w:szCs w:val="21"/>
                    </w:rPr>
                    <w:t>新乡市2020年大气污染防治攻坚战实施方案</w:t>
                  </w:r>
                  <w:r>
                    <w:rPr>
                      <w:rFonts w:ascii="Times New Roman" w:hAnsi="Times New Roman" w:eastAsia="宋体"/>
                      <w:color w:val="000000" w:themeColor="text1"/>
                      <w:szCs w:val="21"/>
                      <w:lang w:val="pt-BR"/>
                    </w:rPr>
                    <w:t>》</w:t>
                  </w:r>
                  <w:r>
                    <w:rPr>
                      <w:rFonts w:ascii="Times New Roman" w:hAnsi="Times New Roman" w:eastAsia="宋体"/>
                      <w:color w:val="000000" w:themeColor="text1"/>
                      <w:szCs w:val="21"/>
                    </w:rPr>
                    <w:t>（新环攻坚办〔2020〕10号）</w:t>
                  </w:r>
                </w:p>
              </w:tc>
              <w:tc>
                <w:tcPr>
                  <w:tcW w:w="242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Times New Roman" w:hAnsi="Times New Roman" w:eastAsia="宋体"/>
                      <w:color w:val="000000" w:themeColor="text1"/>
                      <w:szCs w:val="21"/>
                    </w:rPr>
                  </w:pPr>
                  <w:r>
                    <w:rPr>
                      <w:rFonts w:hint="eastAsia" w:ascii="Times New Roman" w:hAnsi="Times New Roman" w:eastAsia="宋体"/>
                      <w:color w:val="000000" w:themeColor="text1"/>
                      <w:szCs w:val="21"/>
                    </w:rPr>
                    <w:t>5.</w:t>
                  </w:r>
                  <w:r>
                    <w:rPr>
                      <w:rFonts w:ascii="Times New Roman" w:hAnsi="Times New Roman" w:eastAsia="宋体"/>
                      <w:color w:val="000000" w:themeColor="text1"/>
                      <w:szCs w:val="21"/>
                    </w:rPr>
                    <w:t>严格新建项目准入管理</w:t>
                  </w:r>
                </w:p>
                <w:p>
                  <w:pPr>
                    <w:adjustRightInd w:val="0"/>
                    <w:snapToGrid w:val="0"/>
                    <w:rPr>
                      <w:rFonts w:ascii="Times New Roman" w:hAnsi="Times New Roman" w:eastAsia="宋体"/>
                      <w:bCs/>
                      <w:color w:val="000000" w:themeColor="text1"/>
                      <w:szCs w:val="21"/>
                    </w:rPr>
                  </w:pPr>
                  <w:r>
                    <w:rPr>
                      <w:rFonts w:ascii="Times New Roman" w:hAnsi="Times New Roman" w:eastAsia="宋体"/>
                      <w:color w:val="000000" w:themeColor="text1"/>
                      <w:szCs w:val="21"/>
                    </w:rPr>
                    <w:t>加强区域、流域规划环评管理，强化对项目环评的指导和约束，逐步构建起“三线一单”为空间管控基础、项目环评为环境准入把关、排污许可为企业运行守法依据的管理新框架，从源头预防环境污染和生态破坏。全省原则上禁止新增钢铁、电解铝、水泥、平板玻璃、传统煤化工（甲醇、合成氨）、焦化、铸造、铝用炭素、砖瓦窑、耐火材料等行业产能，原则上禁止新建燃料类煤气发生炉和35蒸吨/时及以下燃煤锅炉。对钢铁、水泥、电解铝、玻璃等行业严格落实国家、省有关产能置换规定，新建涉工业炉窑的建设项目，应进入园区，配套建设高效环保治理设施。</w:t>
                  </w:r>
                </w:p>
              </w:tc>
              <w:tc>
                <w:tcPr>
                  <w:tcW w:w="15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rPr>
                      <w:rFonts w:ascii="Times New Roman" w:hAnsi="Times New Roman" w:eastAsia="宋体"/>
                      <w:color w:val="000000" w:themeColor="text1"/>
                      <w:szCs w:val="21"/>
                    </w:rPr>
                  </w:pPr>
                  <w:r>
                    <w:rPr>
                      <w:rFonts w:ascii="Times New Roman" w:hAnsi="Times New Roman" w:eastAsia="宋体"/>
                      <w:color w:val="000000" w:themeColor="text1"/>
                      <w:kern w:val="0"/>
                      <w:szCs w:val="21"/>
                    </w:rPr>
                    <w:t>本项目属于</w:t>
                  </w:r>
                  <w:r>
                    <w:rPr>
                      <w:rFonts w:hint="eastAsia" w:ascii="Times New Roman" w:hAnsi="Times New Roman" w:eastAsia="宋体"/>
                      <w:color w:val="000000" w:themeColor="text1"/>
                      <w:szCs w:val="21"/>
                    </w:rPr>
                    <w:t>塑料制品项目</w:t>
                  </w:r>
                  <w:r>
                    <w:rPr>
                      <w:rFonts w:ascii="Times New Roman" w:hAnsi="Times New Roman" w:eastAsia="宋体"/>
                      <w:color w:val="000000" w:themeColor="text1"/>
                      <w:kern w:val="0"/>
                      <w:szCs w:val="21"/>
                    </w:rPr>
                    <w:t>，主要产品为塑料磁吸门帘，不属于禁止新增企业，不</w:t>
                  </w:r>
                  <w:r>
                    <w:rPr>
                      <w:rFonts w:hint="eastAsia" w:ascii="Times New Roman" w:hAnsi="Times New Roman" w:eastAsia="宋体"/>
                      <w:color w:val="000000" w:themeColor="text1"/>
                      <w:kern w:val="0"/>
                      <w:szCs w:val="21"/>
                    </w:rPr>
                    <w:t>新增</w:t>
                  </w:r>
                  <w:r>
                    <w:rPr>
                      <w:rFonts w:ascii="Times New Roman" w:hAnsi="Times New Roman" w:eastAsia="宋体"/>
                      <w:color w:val="000000" w:themeColor="text1"/>
                      <w:kern w:val="0"/>
                      <w:szCs w:val="21"/>
                    </w:rPr>
                    <w:t>锅炉、炉窑，不属于</w:t>
                  </w:r>
                  <w:r>
                    <w:rPr>
                      <w:rFonts w:ascii="Times New Roman" w:hAnsi="Times New Roman" w:eastAsia="宋体"/>
                      <w:color w:val="000000" w:themeColor="text1"/>
                      <w:szCs w:val="21"/>
                    </w:rPr>
                    <w:t>钢铁、水泥、电解铝、玻璃等行业。</w:t>
                  </w:r>
                </w:p>
              </w:tc>
              <w:tc>
                <w:tcPr>
                  <w:tcW w:w="372" w:type="pct"/>
                  <w:tcBorders>
                    <w:top w:val="single" w:color="auto" w:sz="4" w:space="0"/>
                    <w:left w:val="single" w:color="auto" w:sz="4" w:space="0"/>
                    <w:bottom w:val="single" w:color="auto" w:sz="4" w:space="0"/>
                    <w:right w:val="nil"/>
                  </w:tcBorders>
                  <w:vAlign w:val="center"/>
                </w:tcPr>
                <w:p>
                  <w:pPr>
                    <w:widowControl/>
                    <w:jc w:val="left"/>
                    <w:rPr>
                      <w:rFonts w:ascii="Times New Roman" w:hAnsi="Times New Roman" w:eastAsia="宋体"/>
                      <w:color w:val="000000" w:themeColor="text1"/>
                      <w:szCs w:val="21"/>
                    </w:rPr>
                  </w:pPr>
                  <w:r>
                    <w:rPr>
                      <w:rFonts w:hint="eastAsia" w:ascii="Times New Roman" w:hAnsi="Times New Roman" w:eastAsia="宋体"/>
                      <w:color w:val="000000" w:themeColor="text1"/>
                      <w:szCs w:val="21"/>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4" w:type="pct"/>
                  <w:vMerge w:val="continue"/>
                  <w:tcBorders>
                    <w:left w:val="nil"/>
                    <w:right w:val="single" w:color="auto" w:sz="4" w:space="0"/>
                  </w:tcBorders>
                  <w:vAlign w:val="center"/>
                </w:tcPr>
                <w:p>
                  <w:pPr>
                    <w:widowControl/>
                    <w:jc w:val="left"/>
                    <w:rPr>
                      <w:rFonts w:ascii="Times New Roman" w:hAnsi="Times New Roman" w:eastAsia="宋体"/>
                      <w:color w:val="000000" w:themeColor="text1"/>
                      <w:szCs w:val="21"/>
                      <w:lang w:val="pt-BR"/>
                    </w:rPr>
                  </w:pPr>
                </w:p>
              </w:tc>
              <w:tc>
                <w:tcPr>
                  <w:tcW w:w="242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Times New Roman" w:hAnsi="Times New Roman" w:eastAsia="宋体"/>
                      <w:color w:val="000000" w:themeColor="text1"/>
                      <w:szCs w:val="21"/>
                    </w:rPr>
                  </w:pPr>
                  <w:r>
                    <w:rPr>
                      <w:rFonts w:hint="eastAsia" w:ascii="Times New Roman" w:hAnsi="Times New Roman" w:eastAsia="宋体"/>
                      <w:color w:val="000000" w:themeColor="text1"/>
                      <w:szCs w:val="21"/>
                    </w:rPr>
                    <w:t>6.</w:t>
                  </w:r>
                  <w:r>
                    <w:rPr>
                      <w:rFonts w:ascii="Times New Roman" w:hAnsi="Times New Roman" w:eastAsia="宋体"/>
                      <w:color w:val="000000" w:themeColor="text1"/>
                      <w:szCs w:val="21"/>
                    </w:rPr>
                    <w:t>加快排污许可管理</w:t>
                  </w:r>
                </w:p>
                <w:p>
                  <w:pPr>
                    <w:adjustRightInd w:val="0"/>
                    <w:snapToGrid w:val="0"/>
                    <w:rPr>
                      <w:rFonts w:ascii="Times New Roman" w:hAnsi="Times New Roman" w:eastAsia="宋体"/>
                      <w:bCs/>
                      <w:color w:val="000000" w:themeColor="text1"/>
                      <w:szCs w:val="21"/>
                    </w:rPr>
                  </w:pPr>
                  <w:r>
                    <w:rPr>
                      <w:rFonts w:ascii="Times New Roman" w:hAnsi="Times New Roman" w:eastAsia="宋体"/>
                      <w:color w:val="000000" w:themeColor="text1"/>
                      <w:szCs w:val="21"/>
                    </w:rPr>
                    <w:t>深入实施固定污染源排污许可清理整顿工作，全面摸清2017-2019年排污许可证核发的重点行业排污单位情况，核准固定污染源底数，清理无证排污单位，实行登记管理，做到应发尽发。2020年底前，所有固定污染源全部纳入排污许可管理。严格依证监管，规范排污行为，加大执法处罚力度，对无证排污单位，依法严厉查处。（市生态环境局负责）</w:t>
                  </w:r>
                </w:p>
              </w:tc>
              <w:tc>
                <w:tcPr>
                  <w:tcW w:w="15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rPr>
                      <w:rFonts w:ascii="Times New Roman" w:hAnsi="Times New Roman" w:eastAsia="宋体"/>
                      <w:color w:val="000000" w:themeColor="text1"/>
                      <w:szCs w:val="21"/>
                    </w:rPr>
                  </w:pPr>
                  <w:r>
                    <w:rPr>
                      <w:rFonts w:ascii="Times New Roman" w:hAnsi="Times New Roman" w:eastAsia="宋体"/>
                      <w:color w:val="000000" w:themeColor="text1"/>
                      <w:kern w:val="0"/>
                      <w:szCs w:val="21"/>
                    </w:rPr>
                    <w:t>经查《固定污染源排污许可分类管理名录（2019年版）》（生态环境部令第11号），本项目属于二十四、橡胶和塑料制品业，</w:t>
                  </w:r>
                  <w:r>
                    <w:rPr>
                      <w:rFonts w:hint="eastAsia" w:ascii="Times New Roman" w:hAnsi="Times New Roman" w:eastAsia="宋体"/>
                      <w:color w:val="000000" w:themeColor="text1"/>
                      <w:kern w:val="0"/>
                      <w:szCs w:val="21"/>
                    </w:rPr>
                    <w:t>62</w:t>
                  </w:r>
                  <w:r>
                    <w:rPr>
                      <w:rFonts w:ascii="Times New Roman" w:hAnsi="Times New Roman" w:eastAsia="宋体"/>
                      <w:color w:val="000000" w:themeColor="text1"/>
                      <w:kern w:val="0"/>
                      <w:szCs w:val="21"/>
                    </w:rPr>
                    <w:t>款中“</w:t>
                  </w:r>
                  <w:r>
                    <w:rPr>
                      <w:rFonts w:hint="eastAsia" w:ascii="Times New Roman" w:hAnsi="Times New Roman" w:eastAsia="宋体"/>
                      <w:color w:val="000000" w:themeColor="text1"/>
                      <w:kern w:val="0"/>
                      <w:szCs w:val="21"/>
                    </w:rPr>
                    <w:t>塑料制品业</w:t>
                  </w:r>
                  <w:r>
                    <w:rPr>
                      <w:rFonts w:ascii="Times New Roman" w:hAnsi="Times New Roman" w:eastAsia="宋体"/>
                      <w:color w:val="000000" w:themeColor="text1"/>
                      <w:kern w:val="0"/>
                      <w:szCs w:val="21"/>
                    </w:rPr>
                    <w:t>”中的</w:t>
                  </w:r>
                  <w:r>
                    <w:rPr>
                      <w:rFonts w:hint="eastAsia" w:ascii="Times New Roman" w:hAnsi="Times New Roman" w:eastAsia="宋体"/>
                      <w:color w:val="000000" w:themeColor="text1"/>
                      <w:kern w:val="0"/>
                      <w:szCs w:val="21"/>
                    </w:rPr>
                    <w:t>“其他”</w:t>
                  </w:r>
                  <w:r>
                    <w:rPr>
                      <w:rFonts w:ascii="Times New Roman" w:hAnsi="Times New Roman" w:eastAsia="宋体"/>
                      <w:color w:val="000000" w:themeColor="text1"/>
                      <w:kern w:val="0"/>
                      <w:szCs w:val="21"/>
                    </w:rPr>
                    <w:t>，本项目为</w:t>
                  </w:r>
                  <w:r>
                    <w:rPr>
                      <w:rFonts w:hint="eastAsia" w:ascii="Times New Roman" w:hAnsi="Times New Roman" w:eastAsia="宋体"/>
                      <w:color w:val="000000" w:themeColor="text1"/>
                      <w:kern w:val="0"/>
                      <w:szCs w:val="21"/>
                    </w:rPr>
                    <w:t>登记</w:t>
                  </w:r>
                  <w:r>
                    <w:rPr>
                      <w:rFonts w:ascii="Times New Roman" w:hAnsi="Times New Roman" w:eastAsia="宋体"/>
                      <w:color w:val="000000" w:themeColor="text1"/>
                      <w:kern w:val="0"/>
                      <w:szCs w:val="21"/>
                    </w:rPr>
                    <w:t>管理项目，应在建成后、启动生产设施或者在实际排污之前申请取得排污许可手续。</w:t>
                  </w:r>
                </w:p>
              </w:tc>
              <w:tc>
                <w:tcPr>
                  <w:tcW w:w="372" w:type="pct"/>
                  <w:tcBorders>
                    <w:top w:val="single" w:color="auto" w:sz="4" w:space="0"/>
                    <w:left w:val="single" w:color="auto" w:sz="4" w:space="0"/>
                    <w:bottom w:val="single" w:color="auto" w:sz="4" w:space="0"/>
                    <w:right w:val="nil"/>
                  </w:tcBorders>
                  <w:vAlign w:val="center"/>
                </w:tcPr>
                <w:p>
                  <w:pPr>
                    <w:widowControl/>
                    <w:jc w:val="left"/>
                    <w:rPr>
                      <w:rFonts w:ascii="Times New Roman" w:hAnsi="Times New Roman" w:eastAsia="宋体"/>
                      <w:color w:val="000000" w:themeColor="text1"/>
                      <w:szCs w:val="21"/>
                    </w:rPr>
                  </w:pPr>
                  <w:r>
                    <w:rPr>
                      <w:rFonts w:ascii="Times New Roman" w:hAnsi="Times New Roman" w:eastAsia="宋体"/>
                      <w:color w:val="000000" w:themeColor="text1"/>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4" w:type="pct"/>
                  <w:vMerge w:val="continue"/>
                  <w:tcBorders>
                    <w:left w:val="nil"/>
                    <w:bottom w:val="single" w:color="auto" w:sz="8" w:space="0"/>
                    <w:right w:val="single" w:color="auto" w:sz="4" w:space="0"/>
                  </w:tcBorders>
                  <w:vAlign w:val="center"/>
                </w:tcPr>
                <w:p>
                  <w:pPr>
                    <w:widowControl/>
                    <w:rPr>
                      <w:rFonts w:ascii="Times New Roman" w:hAnsi="Times New Roman" w:eastAsia="宋体"/>
                      <w:color w:val="000000" w:themeColor="text1"/>
                      <w:szCs w:val="21"/>
                      <w:lang w:val="pt-BR"/>
                    </w:rPr>
                  </w:pPr>
                </w:p>
              </w:tc>
              <w:tc>
                <w:tcPr>
                  <w:tcW w:w="2422" w:type="pct"/>
                  <w:tcBorders>
                    <w:top w:val="single" w:color="auto" w:sz="4" w:space="0"/>
                    <w:left w:val="single" w:color="auto" w:sz="4" w:space="0"/>
                    <w:bottom w:val="single" w:color="auto" w:sz="8" w:space="0"/>
                    <w:right w:val="single" w:color="auto" w:sz="4" w:space="0"/>
                  </w:tcBorders>
                  <w:vAlign w:val="center"/>
                </w:tcPr>
                <w:p>
                  <w:pPr>
                    <w:adjustRightInd w:val="0"/>
                    <w:snapToGrid w:val="0"/>
                    <w:rPr>
                      <w:rFonts w:ascii="Times New Roman" w:hAnsi="Times New Roman" w:eastAsia="宋体"/>
                      <w:color w:val="000000" w:themeColor="text1"/>
                      <w:szCs w:val="21"/>
                    </w:rPr>
                  </w:pPr>
                  <w:r>
                    <w:rPr>
                      <w:rFonts w:hint="eastAsia" w:ascii="Times New Roman" w:hAnsi="Times New Roman" w:eastAsia="宋体"/>
                      <w:color w:val="000000" w:themeColor="text1"/>
                      <w:szCs w:val="21"/>
                    </w:rPr>
                    <w:t>36.加强废气收集和处理</w:t>
                  </w:r>
                </w:p>
                <w:p>
                  <w:pPr>
                    <w:pStyle w:val="2"/>
                    <w:spacing w:line="240" w:lineRule="auto"/>
                    <w:jc w:val="both"/>
                    <w:rPr>
                      <w:color w:val="000000" w:themeColor="text1"/>
                      <w:sz w:val="21"/>
                      <w:szCs w:val="21"/>
                    </w:rPr>
                  </w:pPr>
                  <w:r>
                    <w:rPr>
                      <w:rFonts w:ascii="Times New Roman" w:hAnsi="Times New Roman" w:eastAsia="宋体"/>
                      <w:color w:val="000000" w:themeColor="text1"/>
                      <w:sz w:val="21"/>
                      <w:szCs w:val="21"/>
                    </w:rPr>
                    <w:t>推进治污设施升级改造，通过采用全密闭、连续化、自动化等生产技术，以及高效工艺与设备等，减少工艺过程无组织排放。提高废气收集率，遵循“应收尽收、分质收集”的原则，科学设计废气收集系统，将无组织排放转变为有组织排放进行控制，采用密闭空间作业的，除行业有特殊要求外，应保持微负压状态，并根据相关规范合理设置通风量；采用局部集气罩的，距集气罩开口面最远处的VOCs无组织排放位置，控制风速应不低于0.3米/秒，有行业要求的按相关规定执行。</w:t>
                  </w:r>
                  <w:r>
                    <w:rPr>
                      <w:rFonts w:ascii="Times New Roman" w:hAnsi="Times New Roman" w:eastAsia="宋体"/>
                      <w:color w:val="000000" w:themeColor="text1"/>
                      <w:kern w:val="0"/>
                      <w:sz w:val="21"/>
                      <w:szCs w:val="21"/>
                      <w:shd w:val="clear" w:color="auto" w:fill="FFFFFF"/>
                    </w:rPr>
                    <w:t>车间或生产设施收集排放的废气，应加大控制力度，除确保排放浓度稳定达标外，还应实行去除效率控制，去除效率不低于80%。</w:t>
                  </w:r>
                </w:p>
              </w:tc>
              <w:tc>
                <w:tcPr>
                  <w:tcW w:w="1542" w:type="pct"/>
                  <w:tcBorders>
                    <w:top w:val="single" w:color="auto" w:sz="4" w:space="0"/>
                    <w:left w:val="single" w:color="auto" w:sz="4" w:space="0"/>
                    <w:bottom w:val="single" w:color="auto" w:sz="8" w:space="0"/>
                    <w:right w:val="single" w:color="auto" w:sz="4" w:space="0"/>
                  </w:tcBorders>
                  <w:vAlign w:val="center"/>
                </w:tcPr>
                <w:p>
                  <w:pPr>
                    <w:autoSpaceDE w:val="0"/>
                    <w:autoSpaceDN w:val="0"/>
                    <w:adjustRightInd w:val="0"/>
                    <w:snapToGrid w:val="0"/>
                    <w:rPr>
                      <w:rFonts w:ascii="Times New Roman" w:hAnsi="Times New Roman" w:eastAsia="宋体"/>
                      <w:color w:val="000000" w:themeColor="text1"/>
                      <w:kern w:val="0"/>
                      <w:szCs w:val="21"/>
                    </w:rPr>
                  </w:pPr>
                  <w:r>
                    <w:rPr>
                      <w:rFonts w:hint="eastAsia" w:ascii="Times New Roman" w:hAnsi="Times New Roman" w:eastAsia="宋体"/>
                      <w:bCs/>
                      <w:color w:val="000000" w:themeColor="text1"/>
                      <w:kern w:val="21"/>
                      <w:szCs w:val="21"/>
                    </w:rPr>
                    <w:t>本项目压合工序位于封闭的生产车间内，</w:t>
                  </w:r>
                  <w:r>
                    <w:rPr>
                      <w:rFonts w:hint="eastAsia" w:ascii="Times New Roman" w:hAnsi="宋体" w:eastAsia="宋体"/>
                      <w:bCs/>
                      <w:color w:val="000000" w:themeColor="text1"/>
                      <w:szCs w:val="21"/>
                    </w:rPr>
                    <w:t>高周波塑熔机</w:t>
                  </w:r>
                  <w:r>
                    <w:rPr>
                      <w:rFonts w:hint="eastAsia" w:ascii="Times New Roman" w:eastAsia="宋体"/>
                      <w:color w:val="000000" w:themeColor="text1"/>
                      <w:szCs w:val="21"/>
                    </w:rPr>
                    <w:t>工作平台顶部安装封闭罩</w:t>
                  </w:r>
                  <w:r>
                    <w:rPr>
                      <w:rFonts w:hint="eastAsia" w:ascii="Times New Roman" w:hAnsi="Times New Roman" w:eastAsia="宋体"/>
                      <w:color w:val="000000" w:themeColor="text1"/>
                      <w:szCs w:val="21"/>
                    </w:rPr>
                    <w:t>；</w:t>
                  </w:r>
                  <w:r>
                    <w:rPr>
                      <w:rFonts w:hint="eastAsia" w:ascii="Times New Roman" w:hAnsi="Times New Roman" w:eastAsia="宋体"/>
                      <w:color w:val="000000" w:themeColor="text1"/>
                      <w:spacing w:val="-4"/>
                      <w:szCs w:val="21"/>
                    </w:rPr>
                    <w:t>集气装置的进风口和设备顶部封闭罩连接；</w:t>
                  </w:r>
                  <w:r>
                    <w:rPr>
                      <w:rFonts w:hint="eastAsia" w:ascii="Times New Roman" w:hAnsi="Times New Roman" w:eastAsia="宋体"/>
                      <w:color w:val="000000" w:themeColor="text1"/>
                      <w:szCs w:val="21"/>
                    </w:rPr>
                    <w:t>项目压合</w:t>
                  </w:r>
                  <w:r>
                    <w:rPr>
                      <w:rFonts w:ascii="Times New Roman" w:hAnsi="Times New Roman" w:eastAsia="宋体"/>
                      <w:color w:val="000000" w:themeColor="text1"/>
                      <w:szCs w:val="21"/>
                    </w:rPr>
                    <w:t>工序</w:t>
                  </w:r>
                  <w:r>
                    <w:rPr>
                      <w:rFonts w:hint="eastAsia" w:ascii="Times New Roman" w:hAnsi="Times New Roman" w:eastAsia="宋体"/>
                      <w:color w:val="000000" w:themeColor="text1"/>
                      <w:szCs w:val="21"/>
                    </w:rPr>
                    <w:t>产生的有机废气</w:t>
                  </w:r>
                  <w:r>
                    <w:rPr>
                      <w:rFonts w:hint="eastAsia" w:ascii="Times New Roman" w:eastAsia="宋体"/>
                      <w:color w:val="000000" w:themeColor="text1"/>
                      <w:szCs w:val="21"/>
                    </w:rPr>
                    <w:t>经</w:t>
                  </w:r>
                  <w:r>
                    <w:rPr>
                      <w:rFonts w:hint="eastAsia" w:ascii="Times New Roman" w:hAnsi="Times New Roman" w:eastAsia="宋体"/>
                      <w:color w:val="000000" w:themeColor="text1"/>
                      <w:szCs w:val="21"/>
                    </w:rPr>
                    <w:t>封闭集气罩（6个，新建）</w:t>
                  </w:r>
                  <w:r>
                    <w:rPr>
                      <w:rFonts w:hint="eastAsia" w:ascii="Times New Roman" w:eastAsia="宋体"/>
                      <w:color w:val="000000" w:themeColor="text1"/>
                      <w:szCs w:val="21"/>
                    </w:rPr>
                    <w:t>收集后进入</w:t>
                  </w:r>
                  <w:r>
                    <w:rPr>
                      <w:rFonts w:hint="eastAsia" w:ascii="Times New Roman" w:hAnsi="Times New Roman" w:eastAsia="宋体"/>
                      <w:color w:val="000000" w:themeColor="text1"/>
                      <w:szCs w:val="21"/>
                    </w:rPr>
                    <w:t>“</w:t>
                  </w:r>
                  <w:r>
                    <w:rPr>
                      <w:rFonts w:ascii="Times New Roman" w:hAnsi="Times New Roman" w:eastAsia="宋体"/>
                      <w:color w:val="000000" w:themeColor="text1"/>
                      <w:szCs w:val="21"/>
                    </w:rPr>
                    <w:t>UV光催化氧化</w:t>
                  </w:r>
                  <w:r>
                    <w:rPr>
                      <w:rFonts w:hint="eastAsia" w:ascii="Times New Roman" w:hAnsi="Times New Roman" w:eastAsia="宋体"/>
                      <w:color w:val="000000" w:themeColor="text1"/>
                      <w:szCs w:val="21"/>
                    </w:rPr>
                    <w:t>（原有）</w:t>
                  </w:r>
                  <w:r>
                    <w:rPr>
                      <w:rFonts w:ascii="Times New Roman" w:hAnsi="Times New Roman" w:eastAsia="宋体"/>
                      <w:color w:val="000000" w:themeColor="text1"/>
                      <w:szCs w:val="21"/>
                    </w:rPr>
                    <w:t>+活性炭吸附</w:t>
                  </w:r>
                  <w:r>
                    <w:rPr>
                      <w:rFonts w:hint="eastAsia" w:ascii="Times New Roman" w:hAnsi="Times New Roman" w:eastAsia="宋体"/>
                      <w:color w:val="000000" w:themeColor="text1"/>
                      <w:szCs w:val="21"/>
                    </w:rPr>
                    <w:t>（原有）+油烟净化器（原有）+水喷淋（整改新建）”装置进行处理。</w:t>
                  </w:r>
                  <w:r>
                    <w:rPr>
                      <w:rFonts w:hint="eastAsia" w:ascii="Times New Roman" w:eastAsia="宋体"/>
                      <w:color w:val="000000" w:themeColor="text1"/>
                      <w:szCs w:val="21"/>
                    </w:rPr>
                    <w:t>能够满足《关于全省开展工业企业挥发性有机物专项治理工作中排放建议值的通知》（豫环攻坚办</w:t>
                  </w:r>
                  <w:r>
                    <w:rPr>
                      <w:rFonts w:ascii="Times New Roman" w:hAnsi="Times New Roman" w:eastAsia="宋体"/>
                      <w:color w:val="000000" w:themeColor="text1"/>
                      <w:szCs w:val="21"/>
                    </w:rPr>
                    <w:t>[2017]162</w:t>
                  </w:r>
                  <w:r>
                    <w:rPr>
                      <w:rFonts w:hint="eastAsia" w:ascii="Times New Roman" w:eastAsia="宋体"/>
                      <w:color w:val="000000" w:themeColor="text1"/>
                      <w:szCs w:val="21"/>
                    </w:rPr>
                    <w:t>号文）相关要求。</w:t>
                  </w:r>
                  <w:r>
                    <w:rPr>
                      <w:rFonts w:hint="eastAsia" w:ascii="Times New Roman" w:hAnsi="Times New Roman" w:eastAsia="宋体"/>
                      <w:color w:val="000000" w:themeColor="text1"/>
                      <w:szCs w:val="21"/>
                    </w:rPr>
                    <w:t>非甲烷总烃处理效率达80</w:t>
                  </w:r>
                  <w:r>
                    <w:rPr>
                      <w:rFonts w:ascii="Times New Roman" w:hAnsi="Times New Roman" w:eastAsia="宋体"/>
                      <w:color w:val="000000" w:themeColor="text1"/>
                      <w:szCs w:val="21"/>
                    </w:rPr>
                    <w:t>%</w:t>
                  </w:r>
                  <w:r>
                    <w:rPr>
                      <w:rFonts w:hint="eastAsia" w:ascii="Times New Roman" w:hAnsi="Times New Roman" w:eastAsia="宋体"/>
                      <w:color w:val="000000" w:themeColor="text1"/>
                      <w:szCs w:val="21"/>
                    </w:rPr>
                    <w:t>。</w:t>
                  </w:r>
                </w:p>
              </w:tc>
              <w:tc>
                <w:tcPr>
                  <w:tcW w:w="372" w:type="pct"/>
                  <w:tcBorders>
                    <w:top w:val="single" w:color="auto" w:sz="4" w:space="0"/>
                    <w:left w:val="single" w:color="auto" w:sz="4" w:space="0"/>
                    <w:bottom w:val="single" w:color="auto" w:sz="8" w:space="0"/>
                    <w:right w:val="nil"/>
                  </w:tcBorders>
                  <w:vAlign w:val="center"/>
                </w:tcPr>
                <w:p>
                  <w:pPr>
                    <w:widowControl/>
                    <w:jc w:val="left"/>
                    <w:rPr>
                      <w:rFonts w:ascii="Times New Roman" w:hAnsi="Times New Roman" w:eastAsia="宋体"/>
                      <w:color w:val="000000" w:themeColor="text1"/>
                      <w:szCs w:val="21"/>
                    </w:rPr>
                  </w:pPr>
                  <w:r>
                    <w:rPr>
                      <w:rFonts w:ascii="Times New Roman" w:hAnsi="Times New Roman" w:eastAsia="宋体"/>
                      <w:color w:val="000000" w:themeColor="text1"/>
                      <w:szCs w:val="21"/>
                    </w:rPr>
                    <w:t>相符</w:t>
                  </w:r>
                </w:p>
              </w:tc>
            </w:tr>
          </w:tbl>
          <w:p>
            <w:pPr>
              <w:spacing w:line="440" w:lineRule="exact"/>
              <w:ind w:firstLine="482" w:firstLineChars="200"/>
              <w:rPr>
                <w:rFonts w:ascii="Times New Roman" w:hAnsi="Times New Roman" w:eastAsia="宋体"/>
                <w:b/>
                <w:color w:val="000000" w:themeColor="text1"/>
                <w:sz w:val="24"/>
              </w:rPr>
            </w:pPr>
            <w:r>
              <w:rPr>
                <w:rFonts w:ascii="Times New Roman" w:hAnsi="Times New Roman" w:eastAsia="宋体"/>
                <w:b/>
                <w:color w:val="000000" w:themeColor="text1"/>
                <w:sz w:val="24"/>
              </w:rPr>
              <w:t>1</w:t>
            </w:r>
            <w:r>
              <w:rPr>
                <w:rFonts w:hint="eastAsia" w:ascii="Times New Roman" w:hAnsi="Times New Roman" w:eastAsia="宋体"/>
                <w:b/>
                <w:color w:val="000000" w:themeColor="text1"/>
                <w:sz w:val="24"/>
              </w:rPr>
              <w:t>0</w:t>
            </w:r>
            <w:r>
              <w:rPr>
                <w:rFonts w:ascii="Times New Roman" w:hAnsi="Times New Roman" w:eastAsia="宋体"/>
                <w:b/>
                <w:color w:val="000000" w:themeColor="text1"/>
                <w:sz w:val="24"/>
              </w:rPr>
              <w:t>、《新乡市生态环境局关于部署安装工业企业用电量监控系统的通知》（新环[2019]154号）对比分析</w:t>
            </w:r>
          </w:p>
          <w:p>
            <w:pPr>
              <w:spacing w:line="440" w:lineRule="exact"/>
              <w:jc w:val="center"/>
              <w:textAlignment w:val="baseline"/>
              <w:rPr>
                <w:rFonts w:ascii="Times New Roman" w:hAnsi="Times New Roman" w:eastAsia="宋体"/>
                <w:b/>
                <w:bCs/>
                <w:color w:val="000000" w:themeColor="text1"/>
                <w:sz w:val="24"/>
              </w:rPr>
            </w:pPr>
            <w:r>
              <w:rPr>
                <w:rFonts w:ascii="Times New Roman" w:hAnsi="Times New Roman" w:eastAsia="宋体"/>
                <w:b/>
                <w:bCs/>
                <w:color w:val="000000" w:themeColor="text1"/>
                <w:sz w:val="24"/>
              </w:rPr>
              <w:t>表1</w:t>
            </w:r>
            <w:r>
              <w:rPr>
                <w:rFonts w:hint="eastAsia" w:ascii="Times New Roman" w:hAnsi="Times New Roman" w:eastAsia="宋体"/>
                <w:b/>
                <w:bCs/>
                <w:color w:val="000000" w:themeColor="text1"/>
                <w:sz w:val="24"/>
              </w:rPr>
              <w:t>1</w:t>
            </w:r>
            <w:r>
              <w:rPr>
                <w:rFonts w:ascii="Times New Roman" w:hAnsi="Times New Roman" w:eastAsia="宋体"/>
                <w:b/>
                <w:bCs/>
                <w:color w:val="000000" w:themeColor="text1"/>
                <w:sz w:val="24"/>
              </w:rPr>
              <w:t xml:space="preserve">    与新环 [2019]154号文的对照分析</w:t>
            </w:r>
          </w:p>
          <w:tbl>
            <w:tblPr>
              <w:tblStyle w:val="24"/>
              <w:tblW w:w="9072" w:type="dxa"/>
              <w:jc w:val="center"/>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autofit"/>
              <w:tblCellMar>
                <w:top w:w="0" w:type="dxa"/>
                <w:left w:w="108" w:type="dxa"/>
                <w:bottom w:w="0" w:type="dxa"/>
                <w:right w:w="108" w:type="dxa"/>
              </w:tblCellMar>
            </w:tblPr>
            <w:tblGrid>
              <w:gridCol w:w="1221"/>
              <w:gridCol w:w="4593"/>
              <w:gridCol w:w="2361"/>
              <w:gridCol w:w="897"/>
            </w:tblGrid>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1221" w:type="dxa"/>
                  <w:vAlign w:val="center"/>
                </w:tcPr>
                <w:p>
                  <w:pPr>
                    <w:adjustRightInd w:val="0"/>
                    <w:snapToGrid w:val="0"/>
                    <w:jc w:val="center"/>
                    <w:textAlignment w:val="baseline"/>
                    <w:rPr>
                      <w:rFonts w:ascii="Times New Roman" w:hAnsi="Times New Roman" w:eastAsia="宋体"/>
                      <w:b/>
                      <w:color w:val="000000" w:themeColor="text1"/>
                      <w:szCs w:val="21"/>
                    </w:rPr>
                  </w:pPr>
                  <w:bookmarkStart w:id="0" w:name="_Hlk46848322"/>
                  <w:r>
                    <w:rPr>
                      <w:rFonts w:ascii="Times New Roman" w:hAnsi="Times New Roman" w:eastAsia="宋体"/>
                      <w:b/>
                      <w:color w:val="000000" w:themeColor="text1"/>
                      <w:szCs w:val="21"/>
                    </w:rPr>
                    <w:t>主要任务</w:t>
                  </w:r>
                </w:p>
              </w:tc>
              <w:tc>
                <w:tcPr>
                  <w:tcW w:w="4593" w:type="dxa"/>
                  <w:vAlign w:val="center"/>
                </w:tcPr>
                <w:p>
                  <w:pPr>
                    <w:adjustRightInd w:val="0"/>
                    <w:snapToGrid w:val="0"/>
                    <w:jc w:val="center"/>
                    <w:textAlignment w:val="baseline"/>
                    <w:rPr>
                      <w:rFonts w:ascii="Times New Roman" w:hAnsi="Times New Roman" w:eastAsia="宋体"/>
                      <w:b/>
                      <w:color w:val="000000" w:themeColor="text1"/>
                      <w:szCs w:val="21"/>
                    </w:rPr>
                  </w:pPr>
                  <w:r>
                    <w:rPr>
                      <w:rFonts w:ascii="Times New Roman" w:hAnsi="Times New Roman" w:eastAsia="宋体"/>
                      <w:b/>
                      <w:color w:val="000000" w:themeColor="text1"/>
                      <w:szCs w:val="21"/>
                    </w:rPr>
                    <w:t>与本项目相关条文</w:t>
                  </w:r>
                </w:p>
              </w:tc>
              <w:tc>
                <w:tcPr>
                  <w:tcW w:w="2361" w:type="dxa"/>
                  <w:vAlign w:val="center"/>
                </w:tcPr>
                <w:p>
                  <w:pPr>
                    <w:adjustRightInd w:val="0"/>
                    <w:snapToGrid w:val="0"/>
                    <w:jc w:val="center"/>
                    <w:textAlignment w:val="baseline"/>
                    <w:rPr>
                      <w:rFonts w:ascii="Times New Roman" w:hAnsi="Times New Roman" w:eastAsia="宋体"/>
                      <w:b/>
                      <w:color w:val="000000" w:themeColor="text1"/>
                      <w:szCs w:val="21"/>
                    </w:rPr>
                  </w:pPr>
                  <w:r>
                    <w:rPr>
                      <w:rFonts w:ascii="Times New Roman" w:hAnsi="Times New Roman" w:eastAsia="宋体"/>
                      <w:b/>
                      <w:color w:val="000000" w:themeColor="text1"/>
                      <w:szCs w:val="21"/>
                    </w:rPr>
                    <w:t>本项目情况</w:t>
                  </w:r>
                </w:p>
              </w:tc>
              <w:tc>
                <w:tcPr>
                  <w:tcW w:w="897" w:type="dxa"/>
                  <w:vAlign w:val="center"/>
                </w:tcPr>
                <w:p>
                  <w:pPr>
                    <w:adjustRightInd w:val="0"/>
                    <w:snapToGrid w:val="0"/>
                    <w:jc w:val="center"/>
                    <w:textAlignment w:val="baseline"/>
                    <w:rPr>
                      <w:rFonts w:ascii="Times New Roman" w:hAnsi="Times New Roman" w:eastAsia="宋体"/>
                      <w:b/>
                      <w:color w:val="000000" w:themeColor="text1"/>
                      <w:szCs w:val="21"/>
                    </w:rPr>
                  </w:pPr>
                  <w:r>
                    <w:rPr>
                      <w:rFonts w:ascii="Times New Roman" w:hAnsi="Times New Roman" w:eastAsia="宋体"/>
                      <w:b/>
                      <w:color w:val="000000" w:themeColor="text1"/>
                      <w:szCs w:val="21"/>
                    </w:rPr>
                    <w:t>相符性</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1221" w:type="dxa"/>
                  <w:vAlign w:val="center"/>
                </w:tcPr>
                <w:p>
                  <w:pPr>
                    <w:adjustRightInd w:val="0"/>
                    <w:snapToGrid w:val="0"/>
                    <w:textAlignment w:val="baseline"/>
                    <w:rPr>
                      <w:rFonts w:ascii="Times New Roman" w:hAnsi="Times New Roman" w:eastAsia="宋体"/>
                      <w:color w:val="000000" w:themeColor="text1"/>
                      <w:szCs w:val="21"/>
                    </w:rPr>
                  </w:pPr>
                  <w:r>
                    <w:rPr>
                      <w:rFonts w:ascii="Times New Roman" w:hAnsi="Times New Roman" w:eastAsia="宋体"/>
                      <w:color w:val="000000" w:themeColor="text1"/>
                      <w:szCs w:val="21"/>
                    </w:rPr>
                    <w:t>安装范围</w:t>
                  </w:r>
                </w:p>
              </w:tc>
              <w:tc>
                <w:tcPr>
                  <w:tcW w:w="4593" w:type="dxa"/>
                  <w:vAlign w:val="center"/>
                </w:tcPr>
                <w:p>
                  <w:pPr>
                    <w:adjustRightInd w:val="0"/>
                    <w:snapToGrid w:val="0"/>
                    <w:textAlignment w:val="baseline"/>
                    <w:rPr>
                      <w:rFonts w:ascii="Times New Roman" w:hAnsi="Times New Roman" w:eastAsia="宋体"/>
                      <w:color w:val="000000" w:themeColor="text1"/>
                      <w:szCs w:val="21"/>
                    </w:rPr>
                  </w:pPr>
                  <w:r>
                    <w:rPr>
                      <w:rFonts w:ascii="Times New Roman" w:hAnsi="Times New Roman" w:eastAsia="宋体"/>
                      <w:color w:val="000000" w:themeColor="text1"/>
                      <w:szCs w:val="21"/>
                    </w:rPr>
                    <w:t>所有排污企业的总用电控制位置、主要生产设施和污染治理设施必须安装用电量监控系统终端。</w:t>
                  </w:r>
                </w:p>
              </w:tc>
              <w:tc>
                <w:tcPr>
                  <w:tcW w:w="2361" w:type="dxa"/>
                  <w:vAlign w:val="center"/>
                </w:tcPr>
                <w:p>
                  <w:pPr>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本项目严格按照要求安装用电量监控系统终端。</w:t>
                  </w:r>
                </w:p>
              </w:tc>
              <w:tc>
                <w:tcPr>
                  <w:tcW w:w="897" w:type="dxa"/>
                  <w:vAlign w:val="center"/>
                </w:tcPr>
                <w:p>
                  <w:pPr>
                    <w:adjustRightInd w:val="0"/>
                    <w:snapToGrid w:val="0"/>
                    <w:jc w:val="center"/>
                    <w:textAlignment w:val="baseline"/>
                    <w:rPr>
                      <w:rFonts w:ascii="Times New Roman" w:hAnsi="Times New Roman" w:eastAsia="宋体"/>
                      <w:color w:val="000000" w:themeColor="text1"/>
                      <w:szCs w:val="21"/>
                    </w:rPr>
                  </w:pPr>
                  <w:r>
                    <w:rPr>
                      <w:rFonts w:ascii="Times New Roman" w:hAnsi="Times New Roman" w:eastAsia="宋体"/>
                      <w:color w:val="000000" w:themeColor="text1"/>
                      <w:szCs w:val="21"/>
                    </w:rPr>
                    <w:t>满足</w:t>
                  </w:r>
                </w:p>
              </w:tc>
            </w:tr>
            <w:bookmarkEnd w:id="0"/>
          </w:tbl>
          <w:p>
            <w:pPr>
              <w:adjustRightInd w:val="0"/>
              <w:snapToGrid w:val="0"/>
              <w:spacing w:line="440" w:lineRule="exact"/>
              <w:ind w:firstLine="480" w:firstLineChars="200"/>
              <w:textAlignment w:val="baseline"/>
              <w:rPr>
                <w:rFonts w:ascii="Times New Roman" w:hAnsi="Times New Roman" w:eastAsia="宋体"/>
                <w:color w:val="000000" w:themeColor="text1"/>
                <w:sz w:val="24"/>
              </w:rPr>
            </w:pPr>
            <w:r>
              <w:rPr>
                <w:rFonts w:ascii="Times New Roman" w:hAnsi="Times New Roman" w:eastAsia="宋体"/>
                <w:color w:val="000000" w:themeColor="text1"/>
                <w:sz w:val="24"/>
              </w:rPr>
              <w:t>由上表可知，本项目满足《新乡市生态环境局关于部署安装工业企业用电量监控系统的通知》新环 [2019]154号文的相关要求。</w:t>
            </w:r>
          </w:p>
          <w:p>
            <w:pPr>
              <w:adjustRightInd w:val="0"/>
              <w:snapToGrid w:val="0"/>
              <w:spacing w:line="440" w:lineRule="exact"/>
              <w:ind w:firstLine="482" w:firstLineChars="200"/>
              <w:textAlignment w:val="baseline"/>
              <w:rPr>
                <w:rFonts w:ascii="Times New Roman" w:hAnsi="Times New Roman" w:eastAsia="宋体"/>
                <w:b/>
                <w:color w:val="000000" w:themeColor="text1"/>
                <w:sz w:val="24"/>
              </w:rPr>
            </w:pPr>
            <w:r>
              <w:rPr>
                <w:rFonts w:hint="eastAsia" w:ascii="Times New Roman" w:hAnsi="Times New Roman" w:eastAsia="宋体"/>
                <w:b/>
                <w:color w:val="000000" w:themeColor="text1"/>
                <w:sz w:val="24"/>
              </w:rPr>
              <w:t>11</w:t>
            </w:r>
            <w:r>
              <w:rPr>
                <w:rFonts w:hint="eastAsia" w:ascii="Times New Roman" w:eastAsia="宋体"/>
                <w:b/>
                <w:color w:val="000000" w:themeColor="text1"/>
                <w:sz w:val="24"/>
              </w:rPr>
              <w:t>、本项目满足园区规划环评准入条件的要求</w:t>
            </w:r>
          </w:p>
          <w:p>
            <w:pPr>
              <w:pStyle w:val="5"/>
              <w:spacing w:line="440" w:lineRule="exact"/>
              <w:ind w:firstLine="480" w:firstLineChars="200"/>
              <w:jc w:val="left"/>
              <w:rPr>
                <w:rFonts w:ascii="Times New Roman" w:hAnsi="Times New Roman"/>
                <w:color w:val="000000" w:themeColor="text1"/>
                <w:szCs w:val="24"/>
              </w:rPr>
            </w:pPr>
            <w:r>
              <w:rPr>
                <w:rFonts w:hint="eastAsia" w:ascii="Times New Roman" w:cs="Arial"/>
                <w:color w:val="000000" w:themeColor="text1"/>
                <w:kern w:val="0"/>
                <w:szCs w:val="24"/>
              </w:rPr>
              <w:t>本项目建设地址位于</w:t>
            </w:r>
            <w:r>
              <w:rPr>
                <w:rFonts w:ascii="Times New Roman" w:hAnsi="Times New Roman"/>
                <w:bCs/>
                <w:color w:val="000000" w:themeColor="text1"/>
              </w:rPr>
              <w:t>新乡市新乡县七里营镇</w:t>
            </w:r>
            <w:r>
              <w:rPr>
                <w:rFonts w:hint="eastAsia" w:ascii="Times New Roman" w:hAnsi="Times New Roman"/>
                <w:bCs/>
                <w:color w:val="000000" w:themeColor="text1"/>
              </w:rPr>
              <w:t>107国道与胡韦线交叉口中原兴业产业园</w:t>
            </w:r>
            <w:r>
              <w:rPr>
                <w:rFonts w:hint="eastAsia" w:ascii="Times New Roman" w:cs="Arial"/>
                <w:color w:val="000000" w:themeColor="text1"/>
                <w:kern w:val="0"/>
                <w:szCs w:val="24"/>
              </w:rPr>
              <w:t>，位于</w:t>
            </w:r>
            <w:r>
              <w:rPr>
                <w:rFonts w:ascii="Times New Roman"/>
                <w:color w:val="000000" w:themeColor="text1"/>
                <w:szCs w:val="24"/>
              </w:rPr>
              <w:t>新乡经济技术产业集聚区</w:t>
            </w:r>
            <w:r>
              <w:rPr>
                <w:rFonts w:hint="eastAsia" w:ascii="Times New Roman"/>
                <w:color w:val="000000" w:themeColor="text1"/>
                <w:szCs w:val="24"/>
              </w:rPr>
              <w:t>纸制品印刷包装产业园内。</w:t>
            </w:r>
          </w:p>
          <w:p>
            <w:pPr>
              <w:adjustRightInd w:val="0"/>
              <w:snapToGrid w:val="0"/>
              <w:spacing w:line="440" w:lineRule="exact"/>
              <w:ind w:firstLine="480" w:firstLineChars="200"/>
              <w:rPr>
                <w:rFonts w:ascii="Times New Roman" w:hAnsi="Times New Roman" w:eastAsia="宋体"/>
                <w:color w:val="000000" w:themeColor="text1"/>
                <w:sz w:val="24"/>
              </w:rPr>
            </w:pPr>
            <w:r>
              <w:rPr>
                <w:rFonts w:ascii="Times New Roman" w:hAnsi="宋体" w:eastAsia="宋体"/>
                <w:color w:val="000000" w:themeColor="text1"/>
                <w:sz w:val="24"/>
              </w:rPr>
              <w:t>新乡经济技术产业集聚区是在</w:t>
            </w:r>
            <w:r>
              <w:rPr>
                <w:rFonts w:ascii="Times New Roman" w:hAnsi="Times New Roman" w:eastAsia="宋体"/>
                <w:color w:val="000000" w:themeColor="text1"/>
                <w:sz w:val="24"/>
              </w:rPr>
              <w:t>2002</w:t>
            </w:r>
            <w:r>
              <w:rPr>
                <w:rFonts w:ascii="Times New Roman" w:hAnsi="宋体" w:eastAsia="宋体"/>
                <w:color w:val="000000" w:themeColor="text1"/>
                <w:sz w:val="24"/>
              </w:rPr>
              <w:t>年省政府批准设立的新乡高新技术开发区西区的基础上，经</w:t>
            </w:r>
            <w:r>
              <w:rPr>
                <w:rFonts w:ascii="Times New Roman" w:hAnsi="Times New Roman" w:eastAsia="宋体"/>
                <w:color w:val="000000" w:themeColor="text1"/>
                <w:sz w:val="24"/>
              </w:rPr>
              <w:t>2005</w:t>
            </w:r>
            <w:r>
              <w:rPr>
                <w:rFonts w:ascii="Times New Roman" w:hAnsi="宋体" w:eastAsia="宋体"/>
                <w:color w:val="000000" w:themeColor="text1"/>
                <w:sz w:val="24"/>
              </w:rPr>
              <w:t>年国家发改委审核确定的省级开发区，直接管理张青、魏庄、王屯、李庄、娄村、闫庄、苗庄、许庄、大兴、杨屯等</w:t>
            </w:r>
            <w:r>
              <w:rPr>
                <w:rFonts w:ascii="Times New Roman" w:hAnsi="Times New Roman" w:eastAsia="宋体"/>
                <w:color w:val="000000" w:themeColor="text1"/>
                <w:sz w:val="24"/>
              </w:rPr>
              <w:t>10</w:t>
            </w:r>
            <w:r>
              <w:rPr>
                <w:rFonts w:ascii="Times New Roman" w:hAnsi="宋体" w:eastAsia="宋体"/>
                <w:color w:val="000000" w:themeColor="text1"/>
                <w:sz w:val="24"/>
              </w:rPr>
              <w:t>个行政村。新乡经济技术产业集聚区是</w:t>
            </w:r>
            <w:r>
              <w:rPr>
                <w:rFonts w:ascii="Times New Roman" w:hAnsi="Times New Roman" w:eastAsia="宋体"/>
                <w:color w:val="000000" w:themeColor="text1"/>
                <w:sz w:val="24"/>
              </w:rPr>
              <w:t>2009</w:t>
            </w:r>
            <w:r>
              <w:rPr>
                <w:rFonts w:ascii="Times New Roman" w:hAnsi="宋体" w:eastAsia="宋体"/>
                <w:color w:val="000000" w:themeColor="text1"/>
                <w:sz w:val="24"/>
              </w:rPr>
              <w:t>年经省政府批准设立以新乡经济技术产业集聚区为核心，规划涵盖七里营、朗公庙等部分区域的第一批省级产业集聚区。</w:t>
            </w:r>
            <w:r>
              <w:rPr>
                <w:rFonts w:ascii="Times New Roman" w:hAnsi="Times New Roman" w:eastAsia="宋体"/>
                <w:color w:val="000000" w:themeColor="text1"/>
                <w:sz w:val="24"/>
              </w:rPr>
              <w:t>2017</w:t>
            </w:r>
            <w:r>
              <w:rPr>
                <w:rFonts w:ascii="Times New Roman" w:hAnsi="宋体" w:eastAsia="宋体"/>
                <w:color w:val="000000" w:themeColor="text1"/>
                <w:sz w:val="24"/>
              </w:rPr>
              <w:t>年新批准的总规划面积</w:t>
            </w:r>
            <w:r>
              <w:rPr>
                <w:rFonts w:ascii="Times New Roman" w:hAnsi="Times New Roman" w:eastAsia="宋体"/>
                <w:color w:val="000000" w:themeColor="text1"/>
                <w:sz w:val="24"/>
              </w:rPr>
              <w:t>19.9</w:t>
            </w:r>
            <w:r>
              <w:rPr>
                <w:rFonts w:ascii="Times New Roman" w:hAnsi="宋体" w:eastAsia="宋体"/>
                <w:color w:val="000000" w:themeColor="text1"/>
                <w:sz w:val="24"/>
              </w:rPr>
              <w:t>平方公里，目前已建成面积</w:t>
            </w:r>
            <w:r>
              <w:rPr>
                <w:rFonts w:ascii="Times New Roman" w:hAnsi="Times New Roman" w:eastAsia="宋体"/>
                <w:color w:val="000000" w:themeColor="text1"/>
                <w:sz w:val="24"/>
              </w:rPr>
              <w:t>8.3</w:t>
            </w:r>
            <w:r>
              <w:rPr>
                <w:rFonts w:ascii="Times New Roman" w:hAnsi="宋体" w:eastAsia="宋体"/>
                <w:color w:val="000000" w:themeColor="text1"/>
                <w:sz w:val="24"/>
              </w:rPr>
              <w:t>平方公里。</w:t>
            </w:r>
          </w:p>
          <w:p>
            <w:pPr>
              <w:adjustRightInd w:val="0"/>
              <w:snapToGrid w:val="0"/>
              <w:spacing w:line="440" w:lineRule="exact"/>
              <w:ind w:firstLine="480" w:firstLineChars="200"/>
              <w:rPr>
                <w:rFonts w:ascii="Times New Roman" w:hAnsi="Times New Roman" w:eastAsia="宋体"/>
                <w:color w:val="000000" w:themeColor="text1"/>
                <w:sz w:val="24"/>
              </w:rPr>
            </w:pPr>
            <w:r>
              <w:rPr>
                <w:rFonts w:ascii="Times New Roman" w:eastAsia="宋体"/>
                <w:color w:val="000000" w:themeColor="text1"/>
                <w:sz w:val="24"/>
              </w:rPr>
              <w:t>新乡经济技术产业集聚区特色产业突出，形成了以装备制造、医药及化工两大主导产业。以河南心连心化肥有限公司为龙头的煤化工产业规模稳居全国同行业前三位</w:t>
            </w:r>
            <w:r>
              <w:rPr>
                <w:rFonts w:ascii="Times New Roman" w:hAnsi="Times New Roman" w:eastAsia="宋体"/>
                <w:color w:val="000000" w:themeColor="text1"/>
                <w:sz w:val="24"/>
              </w:rPr>
              <w:t>;</w:t>
            </w:r>
            <w:r>
              <w:rPr>
                <w:rFonts w:ascii="Times New Roman" w:eastAsia="宋体"/>
                <w:color w:val="000000" w:themeColor="text1"/>
                <w:sz w:val="24"/>
              </w:rPr>
              <w:t>以华星药业、新谊药业、恒久远等为龙头的现代新医药产业是全国最大的县级生物与新医药生产基地</w:t>
            </w:r>
            <w:r>
              <w:rPr>
                <w:rFonts w:ascii="Times New Roman" w:hAnsi="Times New Roman" w:eastAsia="宋体"/>
                <w:color w:val="000000" w:themeColor="text1"/>
                <w:sz w:val="24"/>
              </w:rPr>
              <w:t>;</w:t>
            </w:r>
            <w:r>
              <w:rPr>
                <w:rFonts w:ascii="Times New Roman" w:eastAsia="宋体"/>
                <w:color w:val="000000" w:themeColor="text1"/>
                <w:sz w:val="24"/>
              </w:rPr>
              <w:t>振动机械产业是全国最大的高科技振动设备制造基地，被誉为</w:t>
            </w:r>
            <w:r>
              <w:rPr>
                <w:rFonts w:ascii="Times New Roman" w:hAnsi="Times New Roman" w:eastAsia="宋体"/>
                <w:color w:val="000000" w:themeColor="text1"/>
                <w:sz w:val="24"/>
              </w:rPr>
              <w:t>“</w:t>
            </w:r>
            <w:r>
              <w:rPr>
                <w:rFonts w:ascii="Times New Roman" w:eastAsia="宋体"/>
                <w:color w:val="000000" w:themeColor="text1"/>
                <w:sz w:val="24"/>
              </w:rPr>
              <w:t>全国振动机械之乡</w:t>
            </w:r>
            <w:r>
              <w:rPr>
                <w:rFonts w:ascii="Times New Roman" w:hAnsi="Times New Roman" w:eastAsia="宋体"/>
                <w:color w:val="000000" w:themeColor="text1"/>
                <w:sz w:val="24"/>
              </w:rPr>
              <w:t>”</w:t>
            </w:r>
            <w:r>
              <w:rPr>
                <w:rFonts w:ascii="Times New Roman" w:eastAsia="宋体"/>
                <w:color w:val="000000" w:themeColor="text1"/>
                <w:sz w:val="24"/>
              </w:rPr>
              <w:t>。区内规划建设了心连心煤化工循环经济产业园、新乡智能家电产业园、河南</w:t>
            </w:r>
            <w:r>
              <w:rPr>
                <w:rFonts w:ascii="Times New Roman" w:hAnsi="Times New Roman" w:eastAsia="宋体"/>
                <w:color w:val="000000" w:themeColor="text1"/>
                <w:sz w:val="24"/>
              </w:rPr>
              <w:t>863</w:t>
            </w:r>
            <w:r>
              <w:rPr>
                <w:rFonts w:ascii="Times New Roman" w:eastAsia="宋体"/>
                <w:color w:val="000000" w:themeColor="text1"/>
                <w:sz w:val="24"/>
              </w:rPr>
              <w:t>新开电商科技园、中原兴业产业园、冷藏冷冻特色食品等一批特色园区，其中新乡智能家电产业园为全市</w:t>
            </w:r>
            <w:r>
              <w:rPr>
                <w:rFonts w:ascii="Times New Roman" w:hAnsi="Times New Roman" w:eastAsia="宋体"/>
                <w:color w:val="000000" w:themeColor="text1"/>
                <w:sz w:val="24"/>
              </w:rPr>
              <w:t>10</w:t>
            </w:r>
            <w:r>
              <w:rPr>
                <w:rFonts w:ascii="Times New Roman" w:eastAsia="宋体"/>
                <w:color w:val="000000" w:themeColor="text1"/>
                <w:sz w:val="24"/>
              </w:rPr>
              <w:t>大先进制造业专业园区中唯一落在县区的园区，是全市唯一拥有</w:t>
            </w:r>
            <w:r>
              <w:rPr>
                <w:rFonts w:ascii="Times New Roman" w:hAnsi="Times New Roman" w:eastAsia="宋体"/>
                <w:color w:val="000000" w:themeColor="text1"/>
                <w:sz w:val="24"/>
              </w:rPr>
              <w:t>“</w:t>
            </w:r>
            <w:r>
              <w:rPr>
                <w:rFonts w:ascii="Times New Roman" w:eastAsia="宋体"/>
                <w:color w:val="000000" w:themeColor="text1"/>
                <w:sz w:val="24"/>
              </w:rPr>
              <w:t>新飞</w:t>
            </w:r>
            <w:r>
              <w:rPr>
                <w:rFonts w:ascii="Times New Roman" w:hAnsi="Times New Roman" w:eastAsia="宋体"/>
                <w:color w:val="000000" w:themeColor="text1"/>
                <w:sz w:val="24"/>
              </w:rPr>
              <w:t>”</w:t>
            </w:r>
            <w:r>
              <w:rPr>
                <w:rFonts w:ascii="Times New Roman" w:eastAsia="宋体"/>
                <w:color w:val="000000" w:themeColor="text1"/>
                <w:sz w:val="24"/>
              </w:rPr>
              <w:t>商标使用权的专业园区，引进入驻了河南虚拟电商产业园、阿里巴巴农村淘宝、广东思埠、菜鸟物流等一批新业态企业。截至目前，全区入驻企业</w:t>
            </w:r>
            <w:r>
              <w:rPr>
                <w:rFonts w:ascii="Times New Roman" w:hAnsi="Times New Roman" w:eastAsia="宋体"/>
                <w:color w:val="000000" w:themeColor="text1"/>
                <w:sz w:val="24"/>
              </w:rPr>
              <w:t>560</w:t>
            </w:r>
            <w:r>
              <w:rPr>
                <w:rFonts w:ascii="Times New Roman" w:eastAsia="宋体"/>
                <w:color w:val="000000" w:themeColor="text1"/>
                <w:sz w:val="24"/>
              </w:rPr>
              <w:t>余家，其中规模以上企业</w:t>
            </w:r>
            <w:r>
              <w:rPr>
                <w:rFonts w:ascii="Times New Roman" w:hAnsi="Times New Roman" w:eastAsia="宋体"/>
                <w:color w:val="000000" w:themeColor="text1"/>
                <w:sz w:val="24"/>
              </w:rPr>
              <w:t>102</w:t>
            </w:r>
            <w:r>
              <w:rPr>
                <w:rFonts w:ascii="Times New Roman" w:eastAsia="宋体"/>
                <w:color w:val="000000" w:themeColor="text1"/>
                <w:sz w:val="24"/>
              </w:rPr>
              <w:t>家，上市企业</w:t>
            </w:r>
            <w:r>
              <w:rPr>
                <w:rFonts w:ascii="Times New Roman" w:hAnsi="Times New Roman" w:eastAsia="宋体"/>
                <w:color w:val="000000" w:themeColor="text1"/>
                <w:sz w:val="24"/>
              </w:rPr>
              <w:t>6</w:t>
            </w:r>
            <w:r>
              <w:rPr>
                <w:rFonts w:ascii="Times New Roman" w:eastAsia="宋体"/>
                <w:color w:val="000000" w:themeColor="text1"/>
                <w:sz w:val="24"/>
              </w:rPr>
              <w:t>家，省科技企业和高新技术企业</w:t>
            </w:r>
            <w:r>
              <w:rPr>
                <w:rFonts w:ascii="Times New Roman" w:hAnsi="Times New Roman" w:eastAsia="宋体"/>
                <w:color w:val="000000" w:themeColor="text1"/>
                <w:sz w:val="24"/>
              </w:rPr>
              <w:t>15</w:t>
            </w:r>
            <w:r>
              <w:rPr>
                <w:rFonts w:ascii="Times New Roman" w:eastAsia="宋体"/>
                <w:color w:val="000000" w:themeColor="text1"/>
                <w:sz w:val="24"/>
              </w:rPr>
              <w:t>家，其中河南心连心化肥有限公司分别在新加坡和香港两地上市，新谊药业与上海凯宝、恒久远药业与北京乐普医疗成功合作重组上市，吉恩镍业在上海证交所上市，威猛振动、百川锁业在</w:t>
            </w:r>
            <w:r>
              <w:rPr>
                <w:rFonts w:hint="eastAsia" w:ascii="Times New Roman" w:hAnsi="Times New Roman" w:eastAsia="宋体"/>
                <w:color w:val="000000" w:themeColor="text1"/>
                <w:sz w:val="24"/>
              </w:rPr>
              <w:t>“</w:t>
            </w:r>
            <w:r>
              <w:rPr>
                <w:rFonts w:ascii="Times New Roman" w:eastAsia="宋体"/>
                <w:color w:val="000000" w:themeColor="text1"/>
                <w:sz w:val="24"/>
              </w:rPr>
              <w:t>新三板</w:t>
            </w:r>
            <w:r>
              <w:rPr>
                <w:rFonts w:hint="eastAsia" w:ascii="Times New Roman" w:hAnsi="Times New Roman" w:eastAsia="宋体"/>
                <w:color w:val="000000" w:themeColor="text1"/>
                <w:sz w:val="24"/>
              </w:rPr>
              <w:t>”</w:t>
            </w:r>
            <w:r>
              <w:rPr>
                <w:rFonts w:ascii="Times New Roman" w:eastAsia="宋体"/>
                <w:color w:val="000000" w:themeColor="text1"/>
                <w:sz w:val="24"/>
              </w:rPr>
              <w:t>上市。</w:t>
            </w:r>
          </w:p>
          <w:p>
            <w:pPr>
              <w:pStyle w:val="144"/>
              <w:spacing w:line="440" w:lineRule="exact"/>
              <w:ind w:firstLine="480" w:firstLineChars="200"/>
              <w:rPr>
                <w:bCs/>
                <w:color w:val="000000" w:themeColor="text1"/>
                <w:sz w:val="24"/>
              </w:rPr>
            </w:pPr>
            <w:bookmarkStart w:id="1" w:name="_Toc21677"/>
            <w:r>
              <w:rPr>
                <w:bCs/>
                <w:color w:val="000000" w:themeColor="text1"/>
                <w:sz w:val="24"/>
              </w:rPr>
              <w:t>（1）规划范围与规划期限</w:t>
            </w:r>
            <w:bookmarkEnd w:id="1"/>
          </w:p>
          <w:p>
            <w:pPr>
              <w:pStyle w:val="144"/>
              <w:spacing w:line="440" w:lineRule="exact"/>
              <w:ind w:firstLine="480" w:firstLineChars="200"/>
              <w:rPr>
                <w:bCs/>
                <w:color w:val="000000" w:themeColor="text1"/>
                <w:sz w:val="24"/>
              </w:rPr>
            </w:pPr>
            <w:r>
              <w:rPr>
                <w:bCs/>
                <w:color w:val="000000" w:themeColor="text1"/>
                <w:sz w:val="24"/>
              </w:rPr>
              <w:t>根据《新乡经济技术产业集聚区总体发展规划（2015-2025）》可知，本次规划分为北、中、南三个区。总规划总面积为19.9平方公里。具体规划范围如下：</w:t>
            </w:r>
          </w:p>
          <w:p>
            <w:pPr>
              <w:pStyle w:val="144"/>
              <w:spacing w:line="440" w:lineRule="exact"/>
              <w:ind w:firstLine="480" w:firstLineChars="200"/>
              <w:rPr>
                <w:bCs/>
                <w:color w:val="000000" w:themeColor="text1"/>
                <w:sz w:val="24"/>
                <w:szCs w:val="24"/>
              </w:rPr>
            </w:pPr>
            <w:r>
              <w:rPr>
                <w:bCs/>
                <w:color w:val="000000" w:themeColor="text1"/>
                <w:sz w:val="24"/>
                <w:szCs w:val="24"/>
              </w:rPr>
              <w:fldChar w:fldCharType="begin"/>
            </w:r>
            <w:r>
              <w:rPr>
                <w:bCs/>
                <w:color w:val="000000" w:themeColor="text1"/>
                <w:sz w:val="24"/>
                <w:szCs w:val="24"/>
              </w:rPr>
              <w:instrText xml:space="preserve"> = 1 \* GB3 \* MERGEFORMAT </w:instrText>
            </w:r>
            <w:r>
              <w:rPr>
                <w:bCs/>
                <w:color w:val="000000" w:themeColor="text1"/>
                <w:sz w:val="24"/>
                <w:szCs w:val="24"/>
              </w:rPr>
              <w:fldChar w:fldCharType="separate"/>
            </w:r>
            <w:r>
              <w:rPr>
                <w:rFonts w:hint="eastAsia" w:cs="宋体"/>
                <w:bCs/>
                <w:color w:val="000000" w:themeColor="text1"/>
                <w:sz w:val="24"/>
                <w:szCs w:val="24"/>
              </w:rPr>
              <w:t>①</w:t>
            </w:r>
            <w:r>
              <w:rPr>
                <w:bCs/>
                <w:color w:val="000000" w:themeColor="text1"/>
                <w:sz w:val="24"/>
                <w:szCs w:val="24"/>
              </w:rPr>
              <w:fldChar w:fldCharType="end"/>
            </w:r>
            <w:r>
              <w:rPr>
                <w:bCs/>
                <w:color w:val="000000" w:themeColor="text1"/>
                <w:sz w:val="24"/>
                <w:szCs w:val="24"/>
              </w:rPr>
              <w:t>北区规划范围——东至新乡市文化路南延段、南以青龙路为界、西至新乡县消防大队西墙，北到新荷铁路南侧规划路，总面积3.71平方公里。</w:t>
            </w:r>
          </w:p>
          <w:p>
            <w:pPr>
              <w:pStyle w:val="144"/>
              <w:spacing w:line="440" w:lineRule="exact"/>
              <w:ind w:firstLine="480" w:firstLineChars="200"/>
              <w:rPr>
                <w:bCs/>
                <w:color w:val="000000" w:themeColor="text1"/>
                <w:sz w:val="24"/>
                <w:szCs w:val="24"/>
              </w:rPr>
            </w:pPr>
            <w:r>
              <w:rPr>
                <w:bCs/>
                <w:color w:val="000000" w:themeColor="text1"/>
                <w:sz w:val="24"/>
                <w:szCs w:val="24"/>
              </w:rPr>
              <w:fldChar w:fldCharType="begin"/>
            </w:r>
            <w:r>
              <w:rPr>
                <w:bCs/>
                <w:color w:val="000000" w:themeColor="text1"/>
                <w:sz w:val="24"/>
                <w:szCs w:val="24"/>
              </w:rPr>
              <w:instrText xml:space="preserve"> = 2 \* GB3 \* MERGEFORMAT </w:instrText>
            </w:r>
            <w:r>
              <w:rPr>
                <w:bCs/>
                <w:color w:val="000000" w:themeColor="text1"/>
                <w:sz w:val="24"/>
                <w:szCs w:val="24"/>
              </w:rPr>
              <w:fldChar w:fldCharType="separate"/>
            </w:r>
            <w:r>
              <w:rPr>
                <w:rFonts w:hint="eastAsia" w:cs="宋体"/>
                <w:bCs/>
                <w:color w:val="000000" w:themeColor="text1"/>
                <w:sz w:val="24"/>
                <w:szCs w:val="24"/>
              </w:rPr>
              <w:t>②</w:t>
            </w:r>
            <w:r>
              <w:rPr>
                <w:bCs/>
                <w:color w:val="000000" w:themeColor="text1"/>
                <w:sz w:val="24"/>
                <w:szCs w:val="24"/>
              </w:rPr>
              <w:fldChar w:fldCharType="end"/>
            </w:r>
            <w:r>
              <w:rPr>
                <w:bCs/>
                <w:color w:val="000000" w:themeColor="text1"/>
                <w:sz w:val="24"/>
                <w:szCs w:val="24"/>
              </w:rPr>
              <w:t>中区规划范围——西至胡韦线，北以七里营镇南环路为界，东北至县商务中心东侧，东南至青年路，南至二支排，规划面积13.03平方公里。</w:t>
            </w:r>
          </w:p>
          <w:p>
            <w:pPr>
              <w:pStyle w:val="144"/>
              <w:spacing w:line="440" w:lineRule="exact"/>
              <w:ind w:firstLine="480" w:firstLineChars="200"/>
              <w:rPr>
                <w:bCs/>
                <w:color w:val="000000" w:themeColor="text1"/>
                <w:sz w:val="24"/>
              </w:rPr>
            </w:pPr>
            <w:r>
              <w:rPr>
                <w:bCs/>
                <w:color w:val="000000" w:themeColor="text1"/>
                <w:sz w:val="24"/>
                <w:szCs w:val="24"/>
              </w:rPr>
              <w:fldChar w:fldCharType="begin"/>
            </w:r>
            <w:r>
              <w:rPr>
                <w:bCs/>
                <w:color w:val="000000" w:themeColor="text1"/>
                <w:sz w:val="24"/>
                <w:szCs w:val="24"/>
              </w:rPr>
              <w:instrText xml:space="preserve"> = 3 \* GB3 \* MERGEFORMAT </w:instrText>
            </w:r>
            <w:r>
              <w:rPr>
                <w:bCs/>
                <w:color w:val="000000" w:themeColor="text1"/>
                <w:sz w:val="24"/>
                <w:szCs w:val="24"/>
              </w:rPr>
              <w:fldChar w:fldCharType="separate"/>
            </w:r>
            <w:r>
              <w:rPr>
                <w:rFonts w:hint="eastAsia" w:cs="宋体"/>
                <w:bCs/>
                <w:color w:val="000000" w:themeColor="text1"/>
                <w:sz w:val="24"/>
                <w:szCs w:val="24"/>
              </w:rPr>
              <w:t>③</w:t>
            </w:r>
            <w:r>
              <w:rPr>
                <w:bCs/>
                <w:color w:val="000000" w:themeColor="text1"/>
                <w:sz w:val="24"/>
                <w:szCs w:val="24"/>
              </w:rPr>
              <w:fldChar w:fldCharType="end"/>
            </w:r>
            <w:r>
              <w:rPr>
                <w:bCs/>
                <w:color w:val="000000" w:themeColor="text1"/>
                <w:sz w:val="24"/>
                <w:szCs w:val="24"/>
              </w:rPr>
              <w:t>南区规划范围——东以壮年路南延段为界，南至胡韦线，西至胡韦线、大赵庄村，北至府庄村南，规划面积3.1</w:t>
            </w:r>
            <w:r>
              <w:rPr>
                <w:bCs/>
                <w:color w:val="000000" w:themeColor="text1"/>
                <w:sz w:val="24"/>
              </w:rPr>
              <w:t>6平方公里。</w:t>
            </w:r>
          </w:p>
          <w:p>
            <w:pPr>
              <w:pStyle w:val="144"/>
              <w:spacing w:line="440" w:lineRule="exact"/>
              <w:ind w:firstLine="480" w:firstLineChars="200"/>
              <w:rPr>
                <w:bCs/>
                <w:color w:val="000000" w:themeColor="text1"/>
                <w:sz w:val="24"/>
              </w:rPr>
            </w:pPr>
            <w:r>
              <w:rPr>
                <w:bCs/>
                <w:color w:val="000000" w:themeColor="text1"/>
                <w:sz w:val="24"/>
              </w:rPr>
              <w:t>规划期限为2015年—2025年，分为近期和远期。近期期限为2015—2020年；远期期限为2021—2025年。</w:t>
            </w:r>
          </w:p>
          <w:p>
            <w:pPr>
              <w:pStyle w:val="144"/>
              <w:spacing w:line="440" w:lineRule="exact"/>
              <w:ind w:firstLine="480" w:firstLineChars="200"/>
              <w:rPr>
                <w:bCs/>
                <w:color w:val="000000" w:themeColor="text1"/>
                <w:sz w:val="24"/>
                <w:szCs w:val="24"/>
              </w:rPr>
            </w:pPr>
            <w:bookmarkStart w:id="2" w:name="_Toc23201"/>
            <w:r>
              <w:rPr>
                <w:bCs/>
                <w:color w:val="000000" w:themeColor="text1"/>
                <w:sz w:val="24"/>
                <w:szCs w:val="24"/>
              </w:rPr>
              <w:t>（2）产业定位</w:t>
            </w:r>
            <w:bookmarkEnd w:id="2"/>
          </w:p>
          <w:p>
            <w:pPr>
              <w:pStyle w:val="144"/>
              <w:spacing w:line="440" w:lineRule="exact"/>
              <w:ind w:firstLine="200"/>
              <w:rPr>
                <w:bCs/>
                <w:color w:val="000000" w:themeColor="text1"/>
                <w:sz w:val="24"/>
                <w:szCs w:val="24"/>
              </w:rPr>
            </w:pPr>
            <w:bookmarkStart w:id="3" w:name="_Toc234314137"/>
            <w:bookmarkStart w:id="4" w:name="_Toc170788112"/>
            <w:bookmarkStart w:id="5" w:name="_Toc234313836"/>
            <w:bookmarkStart w:id="6" w:name="_Toc184624081"/>
            <w:r>
              <w:rPr>
                <w:bCs/>
                <w:color w:val="000000" w:themeColor="text1"/>
                <w:sz w:val="24"/>
                <w:szCs w:val="24"/>
              </w:rPr>
              <w:t xml:space="preserve">    </w:t>
            </w:r>
            <w:r>
              <w:rPr>
                <w:bCs/>
                <w:color w:val="000000" w:themeColor="text1"/>
                <w:sz w:val="24"/>
                <w:szCs w:val="24"/>
              </w:rPr>
              <w:fldChar w:fldCharType="begin"/>
            </w:r>
            <w:r>
              <w:rPr>
                <w:bCs/>
                <w:color w:val="000000" w:themeColor="text1"/>
                <w:sz w:val="24"/>
                <w:szCs w:val="24"/>
              </w:rPr>
              <w:instrText xml:space="preserve"> = 1 \* GB3 \* MERGEFORMAT </w:instrText>
            </w:r>
            <w:r>
              <w:rPr>
                <w:bCs/>
                <w:color w:val="000000" w:themeColor="text1"/>
                <w:sz w:val="24"/>
                <w:szCs w:val="24"/>
              </w:rPr>
              <w:fldChar w:fldCharType="separate"/>
            </w:r>
            <w:r>
              <w:rPr>
                <w:rFonts w:hint="eastAsia" w:cs="宋体"/>
                <w:bCs/>
                <w:color w:val="000000" w:themeColor="text1"/>
                <w:sz w:val="24"/>
                <w:szCs w:val="24"/>
              </w:rPr>
              <w:t>①</w:t>
            </w:r>
            <w:r>
              <w:rPr>
                <w:bCs/>
                <w:color w:val="000000" w:themeColor="text1"/>
                <w:sz w:val="24"/>
                <w:szCs w:val="24"/>
              </w:rPr>
              <w:fldChar w:fldCharType="end"/>
            </w:r>
            <w:r>
              <w:rPr>
                <w:bCs/>
                <w:color w:val="000000" w:themeColor="text1"/>
                <w:sz w:val="24"/>
                <w:szCs w:val="24"/>
              </w:rPr>
              <w:t>总体定位</w:t>
            </w:r>
          </w:p>
          <w:p>
            <w:pPr>
              <w:pStyle w:val="144"/>
              <w:spacing w:line="440" w:lineRule="exact"/>
              <w:ind w:firstLine="480" w:firstLineChars="200"/>
              <w:rPr>
                <w:bCs/>
                <w:color w:val="000000" w:themeColor="text1"/>
                <w:sz w:val="24"/>
                <w:szCs w:val="24"/>
              </w:rPr>
            </w:pPr>
            <w:r>
              <w:rPr>
                <w:bCs/>
                <w:color w:val="000000" w:themeColor="text1"/>
                <w:sz w:val="24"/>
              </w:rPr>
              <w:t>新乡经济技术产业集聚区</w:t>
            </w:r>
            <w:r>
              <w:rPr>
                <w:bCs/>
                <w:color w:val="000000" w:themeColor="text1"/>
                <w:sz w:val="24"/>
                <w:szCs w:val="24"/>
              </w:rPr>
              <w:t>具有竞争活力的产业集聚高地，以化工、医药、装备制造产业为主导的综合性产业聚集区和现代化城市功能服务区。</w:t>
            </w:r>
          </w:p>
          <w:p>
            <w:pPr>
              <w:pStyle w:val="144"/>
              <w:spacing w:line="440" w:lineRule="exact"/>
              <w:ind w:firstLine="200"/>
              <w:rPr>
                <w:bCs/>
                <w:color w:val="000000" w:themeColor="text1"/>
                <w:sz w:val="24"/>
                <w:szCs w:val="24"/>
              </w:rPr>
            </w:pPr>
            <w:r>
              <w:rPr>
                <w:bCs/>
                <w:color w:val="000000" w:themeColor="text1"/>
                <w:sz w:val="24"/>
                <w:szCs w:val="24"/>
              </w:rPr>
              <w:t xml:space="preserve">    </w:t>
            </w:r>
            <w:r>
              <w:rPr>
                <w:bCs/>
                <w:color w:val="000000" w:themeColor="text1"/>
                <w:sz w:val="24"/>
                <w:szCs w:val="24"/>
              </w:rPr>
              <w:fldChar w:fldCharType="begin"/>
            </w:r>
            <w:r>
              <w:rPr>
                <w:bCs/>
                <w:color w:val="000000" w:themeColor="text1"/>
                <w:sz w:val="24"/>
                <w:szCs w:val="24"/>
              </w:rPr>
              <w:instrText xml:space="preserve"> = 2 \* GB3 \* MERGEFORMAT </w:instrText>
            </w:r>
            <w:r>
              <w:rPr>
                <w:bCs/>
                <w:color w:val="000000" w:themeColor="text1"/>
                <w:sz w:val="24"/>
                <w:szCs w:val="24"/>
              </w:rPr>
              <w:fldChar w:fldCharType="separate"/>
            </w:r>
            <w:r>
              <w:rPr>
                <w:rFonts w:hint="eastAsia" w:cs="宋体"/>
                <w:bCs/>
                <w:color w:val="000000" w:themeColor="text1"/>
                <w:sz w:val="24"/>
                <w:szCs w:val="24"/>
              </w:rPr>
              <w:t>②</w:t>
            </w:r>
            <w:r>
              <w:rPr>
                <w:bCs/>
                <w:color w:val="000000" w:themeColor="text1"/>
                <w:sz w:val="24"/>
                <w:szCs w:val="24"/>
              </w:rPr>
              <w:fldChar w:fldCharType="end"/>
            </w:r>
            <w:r>
              <w:rPr>
                <w:bCs/>
                <w:color w:val="000000" w:themeColor="text1"/>
                <w:sz w:val="24"/>
                <w:szCs w:val="24"/>
              </w:rPr>
              <w:t>产业选择</w:t>
            </w:r>
          </w:p>
          <w:p>
            <w:pPr>
              <w:pStyle w:val="144"/>
              <w:spacing w:line="440" w:lineRule="exact"/>
              <w:ind w:firstLine="480" w:firstLineChars="200"/>
              <w:rPr>
                <w:bCs/>
                <w:color w:val="000000" w:themeColor="text1"/>
                <w:sz w:val="24"/>
                <w:szCs w:val="24"/>
              </w:rPr>
            </w:pPr>
            <w:r>
              <w:rPr>
                <w:bCs/>
                <w:color w:val="000000" w:themeColor="text1"/>
                <w:sz w:val="24"/>
                <w:szCs w:val="24"/>
              </w:rPr>
              <w:t>本次集聚区规划主导产业为装备制造、医药及化工，重点培育智能装备产业集群、医药产业集群、化工产业集群，同时培育现代纸制品印刷包装、家用电器和现代服务业产业集群。</w:t>
            </w:r>
          </w:p>
          <w:p>
            <w:pPr>
              <w:pStyle w:val="144"/>
              <w:spacing w:line="440" w:lineRule="exact"/>
              <w:ind w:firstLine="480" w:firstLineChars="200"/>
              <w:rPr>
                <w:bCs/>
                <w:color w:val="000000" w:themeColor="text1"/>
                <w:sz w:val="24"/>
                <w:szCs w:val="24"/>
              </w:rPr>
            </w:pPr>
            <w:r>
              <w:rPr>
                <w:bCs/>
                <w:color w:val="000000" w:themeColor="text1"/>
                <w:sz w:val="24"/>
                <w:szCs w:val="24"/>
              </w:rPr>
              <w:t>（3） 空间布局结构</w:t>
            </w:r>
          </w:p>
          <w:p>
            <w:pPr>
              <w:pStyle w:val="144"/>
              <w:spacing w:line="440" w:lineRule="exact"/>
              <w:ind w:firstLine="480" w:firstLineChars="200"/>
              <w:rPr>
                <w:bCs/>
                <w:color w:val="000000" w:themeColor="text1"/>
                <w:sz w:val="24"/>
                <w:szCs w:val="24"/>
              </w:rPr>
            </w:pPr>
            <w:r>
              <w:rPr>
                <w:bCs/>
                <w:color w:val="000000" w:themeColor="text1"/>
                <w:sz w:val="24"/>
                <w:szCs w:val="24"/>
              </w:rPr>
              <w:t>规划结构概括为“四轴、三区、多园”。</w:t>
            </w:r>
          </w:p>
          <w:p>
            <w:pPr>
              <w:pStyle w:val="144"/>
              <w:spacing w:line="440" w:lineRule="exact"/>
              <w:ind w:firstLine="480" w:firstLineChars="200"/>
              <w:rPr>
                <w:bCs/>
                <w:color w:val="000000" w:themeColor="text1"/>
                <w:sz w:val="24"/>
                <w:szCs w:val="24"/>
              </w:rPr>
            </w:pPr>
            <w:r>
              <w:rPr>
                <w:bCs/>
                <w:color w:val="000000" w:themeColor="text1"/>
                <w:sz w:val="24"/>
                <w:szCs w:val="24"/>
              </w:rPr>
              <w:t>“四轴”是指沿产业集聚区南北向的胡韦线、大成路两条道路轴线，沿二支排规划的二支排路空间联系轴以及青龙路道路轴线；</w:t>
            </w:r>
          </w:p>
          <w:p>
            <w:pPr>
              <w:pStyle w:val="144"/>
              <w:spacing w:line="440" w:lineRule="exact"/>
              <w:ind w:firstLine="480" w:firstLineChars="200"/>
              <w:rPr>
                <w:bCs/>
                <w:color w:val="000000" w:themeColor="text1"/>
                <w:sz w:val="24"/>
                <w:szCs w:val="24"/>
              </w:rPr>
            </w:pPr>
            <w:r>
              <w:rPr>
                <w:bCs/>
                <w:color w:val="000000" w:themeColor="text1"/>
                <w:sz w:val="24"/>
                <w:szCs w:val="24"/>
              </w:rPr>
              <w:t>“三区”是指产业集聚区的南区、中区和北区；</w:t>
            </w:r>
          </w:p>
          <w:p>
            <w:pPr>
              <w:pStyle w:val="144"/>
              <w:spacing w:line="440" w:lineRule="exact"/>
              <w:ind w:firstLine="480" w:firstLineChars="200"/>
              <w:rPr>
                <w:bCs/>
                <w:color w:val="000000" w:themeColor="text1"/>
                <w:sz w:val="24"/>
                <w:szCs w:val="24"/>
              </w:rPr>
            </w:pPr>
            <w:r>
              <w:rPr>
                <w:bCs/>
                <w:color w:val="000000" w:themeColor="text1"/>
                <w:sz w:val="24"/>
                <w:szCs w:val="24"/>
              </w:rPr>
              <w:t>“多园” 是指北区的化工产业园区，中区的装备制造产业园和医药产业园、南区的纸制品产业园和装备制造产业园等多个园区。</w:t>
            </w:r>
          </w:p>
          <w:p>
            <w:pPr>
              <w:spacing w:line="440" w:lineRule="exact"/>
              <w:ind w:firstLine="480" w:firstLineChars="200"/>
              <w:rPr>
                <w:rFonts w:ascii="Times New Roman" w:hAnsi="Times New Roman" w:eastAsia="宋体"/>
                <w:bCs/>
                <w:color w:val="000000" w:themeColor="text1"/>
                <w:sz w:val="24"/>
              </w:rPr>
            </w:pPr>
            <w:r>
              <w:rPr>
                <w:rFonts w:ascii="Times New Roman" w:eastAsia="宋体"/>
                <w:bCs/>
                <w:color w:val="000000" w:themeColor="text1"/>
                <w:sz w:val="24"/>
              </w:rPr>
              <w:t>（</w:t>
            </w:r>
            <w:r>
              <w:rPr>
                <w:rFonts w:ascii="Times New Roman" w:hAnsi="Times New Roman" w:eastAsia="宋体"/>
                <w:bCs/>
                <w:color w:val="000000" w:themeColor="text1"/>
                <w:sz w:val="24"/>
              </w:rPr>
              <w:t>4</w:t>
            </w:r>
            <w:r>
              <w:rPr>
                <w:rFonts w:ascii="Times New Roman" w:eastAsia="宋体"/>
                <w:bCs/>
                <w:color w:val="000000" w:themeColor="text1"/>
                <w:sz w:val="24"/>
              </w:rPr>
              <w:t>）基础设施建设情况</w:t>
            </w:r>
          </w:p>
          <w:p>
            <w:pPr>
              <w:spacing w:line="440" w:lineRule="exact"/>
              <w:ind w:firstLine="480" w:firstLineChars="200"/>
              <w:textAlignment w:val="baseline"/>
              <w:rPr>
                <w:rFonts w:ascii="Times New Roman" w:hAnsi="Times New Roman" w:eastAsia="宋体"/>
                <w:bCs/>
                <w:color w:val="000000" w:themeColor="text1"/>
                <w:sz w:val="24"/>
              </w:rPr>
            </w:pPr>
            <w:r>
              <w:rPr>
                <w:rFonts w:ascii="Times New Roman" w:hAnsi="Times New Roman" w:eastAsia="宋体"/>
                <w:bCs/>
                <w:color w:val="000000" w:themeColor="text1"/>
                <w:sz w:val="24"/>
              </w:rPr>
              <w:fldChar w:fldCharType="begin"/>
            </w:r>
            <w:r>
              <w:rPr>
                <w:rFonts w:ascii="Times New Roman" w:hAnsi="Times New Roman" w:eastAsia="宋体"/>
                <w:bCs/>
                <w:color w:val="000000" w:themeColor="text1"/>
                <w:sz w:val="24"/>
              </w:rPr>
              <w:instrText xml:space="preserve"> = 1 \* GB3 \* MERGEFORMAT </w:instrText>
            </w:r>
            <w:r>
              <w:rPr>
                <w:rFonts w:ascii="Times New Roman" w:hAnsi="Times New Roman" w:eastAsia="宋体"/>
                <w:bCs/>
                <w:color w:val="000000" w:themeColor="text1"/>
                <w:sz w:val="24"/>
              </w:rPr>
              <w:fldChar w:fldCharType="separate"/>
            </w:r>
            <w:r>
              <w:rPr>
                <w:rFonts w:hint="eastAsia" w:ascii="Times New Roman" w:eastAsia="宋体" w:cs="宋体"/>
                <w:bCs/>
                <w:color w:val="000000" w:themeColor="text1"/>
                <w:sz w:val="24"/>
              </w:rPr>
              <w:t>①</w:t>
            </w:r>
            <w:r>
              <w:rPr>
                <w:rFonts w:ascii="Times New Roman" w:hAnsi="Times New Roman" w:eastAsia="宋体"/>
                <w:bCs/>
                <w:color w:val="000000" w:themeColor="text1"/>
                <w:sz w:val="24"/>
              </w:rPr>
              <w:fldChar w:fldCharType="end"/>
            </w:r>
            <w:r>
              <w:rPr>
                <w:rFonts w:ascii="Times New Roman" w:eastAsia="宋体"/>
                <w:bCs/>
                <w:color w:val="000000" w:themeColor="text1"/>
                <w:sz w:val="24"/>
              </w:rPr>
              <w:t>供水</w:t>
            </w:r>
          </w:p>
          <w:p>
            <w:pPr>
              <w:pStyle w:val="144"/>
              <w:spacing w:line="440" w:lineRule="exact"/>
              <w:ind w:firstLine="480" w:firstLineChars="200"/>
              <w:rPr>
                <w:bCs/>
                <w:color w:val="000000" w:themeColor="text1"/>
                <w:sz w:val="24"/>
                <w:szCs w:val="24"/>
              </w:rPr>
            </w:pPr>
            <w:r>
              <w:rPr>
                <w:bCs/>
                <w:color w:val="000000" w:themeColor="text1"/>
                <w:sz w:val="24"/>
                <w:szCs w:val="24"/>
              </w:rPr>
              <w:t>依托新乡县水厂供水，新乡县水厂规划水源近期以黄河水和地下水作为水源，远期逐步关闭地下水源，以南水北调水及黄河水作为水源。目前采用水源为地下水，黄河水作为应急备用水源。</w:t>
            </w:r>
          </w:p>
          <w:p>
            <w:pPr>
              <w:autoSpaceDE w:val="0"/>
              <w:autoSpaceDN w:val="0"/>
              <w:spacing w:line="440" w:lineRule="exact"/>
              <w:ind w:firstLine="480" w:firstLineChars="200"/>
              <w:jc w:val="left"/>
              <w:rPr>
                <w:rFonts w:ascii="Times New Roman" w:hAnsi="Times New Roman" w:eastAsia="宋体"/>
                <w:bCs/>
                <w:color w:val="000000" w:themeColor="text1"/>
                <w:sz w:val="24"/>
              </w:rPr>
            </w:pPr>
            <w:r>
              <w:rPr>
                <w:rFonts w:ascii="Times New Roman" w:hAnsi="Times New Roman" w:eastAsia="宋体"/>
                <w:bCs/>
                <w:color w:val="000000" w:themeColor="text1"/>
                <w:sz w:val="24"/>
              </w:rPr>
              <w:fldChar w:fldCharType="begin"/>
            </w:r>
            <w:r>
              <w:rPr>
                <w:rFonts w:ascii="Times New Roman" w:hAnsi="Times New Roman" w:eastAsia="宋体"/>
                <w:bCs/>
                <w:color w:val="000000" w:themeColor="text1"/>
                <w:sz w:val="24"/>
              </w:rPr>
              <w:instrText xml:space="preserve"> = 2 \* GB3 \* MERGEFORMAT </w:instrText>
            </w:r>
            <w:r>
              <w:rPr>
                <w:rFonts w:ascii="Times New Roman" w:hAnsi="Times New Roman" w:eastAsia="宋体"/>
                <w:bCs/>
                <w:color w:val="000000" w:themeColor="text1"/>
                <w:sz w:val="24"/>
              </w:rPr>
              <w:fldChar w:fldCharType="separate"/>
            </w:r>
            <w:r>
              <w:rPr>
                <w:rFonts w:hint="eastAsia" w:ascii="Times New Roman" w:eastAsia="宋体" w:cs="宋体"/>
                <w:bCs/>
                <w:color w:val="000000" w:themeColor="text1"/>
                <w:sz w:val="24"/>
              </w:rPr>
              <w:t>②</w:t>
            </w:r>
            <w:r>
              <w:rPr>
                <w:rFonts w:ascii="Times New Roman" w:hAnsi="Times New Roman" w:eastAsia="宋体"/>
                <w:bCs/>
                <w:color w:val="000000" w:themeColor="text1"/>
                <w:sz w:val="24"/>
              </w:rPr>
              <w:fldChar w:fldCharType="end"/>
            </w:r>
            <w:r>
              <w:rPr>
                <w:rFonts w:ascii="Times New Roman" w:eastAsia="宋体"/>
                <w:bCs/>
                <w:color w:val="000000" w:themeColor="text1"/>
                <w:sz w:val="24"/>
              </w:rPr>
              <w:t>排水规划方案</w:t>
            </w:r>
          </w:p>
          <w:p>
            <w:pPr>
              <w:autoSpaceDE w:val="0"/>
              <w:autoSpaceDN w:val="0"/>
              <w:spacing w:line="440" w:lineRule="exact"/>
              <w:ind w:firstLine="480" w:firstLineChars="200"/>
              <w:jc w:val="left"/>
              <w:rPr>
                <w:rFonts w:ascii="Times New Roman" w:hAnsi="Times New Roman" w:eastAsia="宋体"/>
                <w:bCs/>
                <w:color w:val="000000" w:themeColor="text1"/>
                <w:sz w:val="24"/>
              </w:rPr>
            </w:pPr>
            <w:r>
              <w:rPr>
                <w:rFonts w:ascii="Times New Roman" w:eastAsia="宋体"/>
                <w:bCs/>
                <w:color w:val="000000" w:themeColor="text1"/>
                <w:sz w:val="24"/>
              </w:rPr>
              <w:t>根据规划方案污染源预测，规划期末集聚区预计污水产生量约为</w:t>
            </w:r>
            <w:r>
              <w:rPr>
                <w:rFonts w:ascii="Times New Roman" w:hAnsi="Times New Roman" w:eastAsia="宋体"/>
                <w:bCs/>
                <w:color w:val="000000" w:themeColor="text1"/>
                <w:sz w:val="24"/>
              </w:rPr>
              <w:t>8.96</w:t>
            </w:r>
            <w:r>
              <w:rPr>
                <w:rFonts w:ascii="Times New Roman" w:eastAsia="宋体"/>
                <w:bCs/>
                <w:color w:val="000000" w:themeColor="text1"/>
                <w:sz w:val="24"/>
              </w:rPr>
              <w:t>万</w:t>
            </w:r>
            <w:r>
              <w:rPr>
                <w:rFonts w:ascii="Times New Roman" w:hAnsi="Times New Roman" w:eastAsia="宋体"/>
                <w:bCs/>
                <w:color w:val="000000" w:themeColor="text1"/>
                <w:sz w:val="24"/>
              </w:rPr>
              <w:t>m</w:t>
            </w:r>
            <w:r>
              <w:rPr>
                <w:rFonts w:ascii="Times New Roman" w:hAnsi="Times New Roman" w:eastAsia="宋体"/>
                <w:bCs/>
                <w:color w:val="000000" w:themeColor="text1"/>
                <w:sz w:val="24"/>
                <w:vertAlign w:val="superscript"/>
              </w:rPr>
              <w:t>3</w:t>
            </w:r>
            <w:r>
              <w:rPr>
                <w:rFonts w:ascii="Times New Roman" w:hAnsi="Times New Roman" w:eastAsia="宋体"/>
                <w:bCs/>
                <w:color w:val="000000" w:themeColor="text1"/>
                <w:sz w:val="24"/>
              </w:rPr>
              <w:t>/d</w:t>
            </w:r>
            <w:r>
              <w:rPr>
                <w:rFonts w:ascii="Times New Roman" w:eastAsia="宋体"/>
                <w:bCs/>
                <w:color w:val="000000" w:themeColor="text1"/>
                <w:sz w:val="24"/>
              </w:rPr>
              <w:t>，规划全部进入贾屯污水处理厂。</w:t>
            </w:r>
          </w:p>
          <w:p>
            <w:pPr>
              <w:tabs>
                <w:tab w:val="left" w:pos="1995"/>
              </w:tabs>
              <w:spacing w:line="440" w:lineRule="exact"/>
              <w:ind w:firstLine="480" w:firstLineChars="200"/>
              <w:rPr>
                <w:rFonts w:ascii="Times New Roman" w:hAnsi="Times New Roman" w:eastAsia="宋体"/>
                <w:bCs/>
                <w:color w:val="000000" w:themeColor="text1"/>
                <w:sz w:val="24"/>
              </w:rPr>
            </w:pPr>
            <w:r>
              <w:rPr>
                <w:rFonts w:ascii="Times New Roman" w:hAnsi="Times New Roman" w:eastAsia="宋体"/>
                <w:bCs/>
                <w:color w:val="000000" w:themeColor="text1"/>
                <w:sz w:val="24"/>
              </w:rPr>
              <w:fldChar w:fldCharType="begin"/>
            </w:r>
            <w:r>
              <w:rPr>
                <w:rFonts w:ascii="Times New Roman" w:hAnsi="Times New Roman" w:eastAsia="宋体"/>
                <w:bCs/>
                <w:color w:val="000000" w:themeColor="text1"/>
                <w:sz w:val="24"/>
              </w:rPr>
              <w:instrText xml:space="preserve"> = 3 \* GB3 \* MERGEFORMAT </w:instrText>
            </w:r>
            <w:r>
              <w:rPr>
                <w:rFonts w:ascii="Times New Roman" w:hAnsi="Times New Roman" w:eastAsia="宋体"/>
                <w:bCs/>
                <w:color w:val="000000" w:themeColor="text1"/>
                <w:sz w:val="24"/>
              </w:rPr>
              <w:fldChar w:fldCharType="separate"/>
            </w:r>
            <w:r>
              <w:rPr>
                <w:rFonts w:hint="eastAsia" w:ascii="Times New Roman" w:eastAsia="宋体" w:cs="宋体"/>
                <w:bCs/>
                <w:color w:val="000000" w:themeColor="text1"/>
                <w:sz w:val="24"/>
              </w:rPr>
              <w:t>③</w:t>
            </w:r>
            <w:r>
              <w:rPr>
                <w:rFonts w:ascii="Times New Roman" w:hAnsi="Times New Roman" w:eastAsia="宋体"/>
                <w:bCs/>
                <w:color w:val="000000" w:themeColor="text1"/>
                <w:sz w:val="24"/>
              </w:rPr>
              <w:fldChar w:fldCharType="end"/>
            </w:r>
            <w:r>
              <w:rPr>
                <w:rFonts w:ascii="Times New Roman" w:eastAsia="宋体"/>
                <w:bCs/>
                <w:color w:val="000000" w:themeColor="text1"/>
                <w:sz w:val="24"/>
              </w:rPr>
              <w:t>供热工程规划</w:t>
            </w:r>
          </w:p>
          <w:p>
            <w:pPr>
              <w:tabs>
                <w:tab w:val="left" w:pos="1995"/>
              </w:tabs>
              <w:spacing w:line="440" w:lineRule="exact"/>
              <w:ind w:firstLine="480" w:firstLineChars="200"/>
              <w:rPr>
                <w:rFonts w:ascii="Times New Roman" w:hAnsi="Times New Roman" w:eastAsia="宋体"/>
                <w:bCs/>
                <w:color w:val="000000" w:themeColor="text1"/>
                <w:sz w:val="24"/>
              </w:rPr>
            </w:pPr>
            <w:r>
              <w:rPr>
                <w:rFonts w:ascii="Times New Roman" w:eastAsia="宋体"/>
                <w:bCs/>
                <w:color w:val="000000" w:themeColor="text1"/>
                <w:sz w:val="24"/>
              </w:rPr>
              <w:t>根据集聚区规划，集聚区总需热量</w:t>
            </w:r>
            <w:r>
              <w:rPr>
                <w:rFonts w:ascii="Times New Roman" w:hAnsi="Times New Roman" w:eastAsia="宋体"/>
                <w:bCs/>
                <w:color w:val="000000" w:themeColor="text1"/>
                <w:sz w:val="24"/>
              </w:rPr>
              <w:t>308.41MW</w:t>
            </w:r>
            <w:r>
              <w:rPr>
                <w:rFonts w:ascii="Times New Roman" w:eastAsia="宋体"/>
                <w:bCs/>
                <w:color w:val="000000" w:themeColor="text1"/>
                <w:sz w:val="24"/>
              </w:rPr>
              <w:t>，依托新乡县县城集中供热设施。鉴于新乡县县城尚未实施城市集中供热，该规划将整个供热区域划分为五个供热分区：供热</w:t>
            </w:r>
            <w:r>
              <w:rPr>
                <w:rFonts w:ascii="Times New Roman" w:hAnsi="Times New Roman" w:eastAsia="宋体"/>
                <w:bCs/>
                <w:color w:val="000000" w:themeColor="text1"/>
                <w:sz w:val="24"/>
              </w:rPr>
              <w:t>A</w:t>
            </w:r>
            <w:r>
              <w:rPr>
                <w:rFonts w:ascii="Times New Roman" w:eastAsia="宋体"/>
                <w:bCs/>
                <w:color w:val="000000" w:themeColor="text1"/>
                <w:sz w:val="24"/>
              </w:rPr>
              <w:t>区、供热</w:t>
            </w:r>
            <w:r>
              <w:rPr>
                <w:rFonts w:ascii="Times New Roman" w:hAnsi="Times New Roman" w:eastAsia="宋体"/>
                <w:bCs/>
                <w:color w:val="000000" w:themeColor="text1"/>
                <w:sz w:val="24"/>
              </w:rPr>
              <w:t>B</w:t>
            </w:r>
            <w:r>
              <w:rPr>
                <w:rFonts w:ascii="Times New Roman" w:eastAsia="宋体"/>
                <w:bCs/>
                <w:color w:val="000000" w:themeColor="text1"/>
                <w:sz w:val="24"/>
              </w:rPr>
              <w:t>区、供热</w:t>
            </w:r>
            <w:r>
              <w:rPr>
                <w:rFonts w:ascii="Times New Roman" w:hAnsi="Times New Roman" w:eastAsia="宋体"/>
                <w:bCs/>
                <w:color w:val="000000" w:themeColor="text1"/>
                <w:sz w:val="24"/>
              </w:rPr>
              <w:t>C</w:t>
            </w:r>
            <w:r>
              <w:rPr>
                <w:rFonts w:ascii="Times New Roman" w:eastAsia="宋体"/>
                <w:bCs/>
                <w:color w:val="000000" w:themeColor="text1"/>
                <w:sz w:val="24"/>
              </w:rPr>
              <w:t>区、供热</w:t>
            </w:r>
            <w:r>
              <w:rPr>
                <w:rFonts w:ascii="Times New Roman" w:hAnsi="Times New Roman" w:eastAsia="宋体"/>
                <w:bCs/>
                <w:color w:val="000000" w:themeColor="text1"/>
                <w:sz w:val="24"/>
              </w:rPr>
              <w:t>D</w:t>
            </w:r>
            <w:r>
              <w:rPr>
                <w:rFonts w:ascii="Times New Roman" w:eastAsia="宋体"/>
                <w:bCs/>
                <w:color w:val="000000" w:themeColor="text1"/>
                <w:sz w:val="24"/>
              </w:rPr>
              <w:t>区、供热</w:t>
            </w:r>
            <w:r>
              <w:rPr>
                <w:rFonts w:ascii="Times New Roman" w:hAnsi="Times New Roman" w:eastAsia="宋体"/>
                <w:bCs/>
                <w:color w:val="000000" w:themeColor="text1"/>
                <w:sz w:val="24"/>
              </w:rPr>
              <w:t>E</w:t>
            </w:r>
            <w:r>
              <w:rPr>
                <w:rFonts w:ascii="Times New Roman" w:eastAsia="宋体"/>
                <w:bCs/>
                <w:color w:val="000000" w:themeColor="text1"/>
                <w:sz w:val="24"/>
              </w:rPr>
              <w:t>区五个供热分区。各分区供热热源规划以区内现有大型热源企业供热锅炉提供。</w:t>
            </w:r>
          </w:p>
          <w:p>
            <w:pPr>
              <w:pStyle w:val="144"/>
              <w:spacing w:line="440" w:lineRule="exact"/>
              <w:ind w:firstLine="480" w:firstLineChars="200"/>
              <w:rPr>
                <w:bCs/>
                <w:color w:val="000000" w:themeColor="text1"/>
                <w:sz w:val="24"/>
                <w:szCs w:val="24"/>
              </w:rPr>
            </w:pPr>
            <w:r>
              <w:rPr>
                <w:bCs/>
                <w:color w:val="000000" w:themeColor="text1"/>
                <w:sz w:val="24"/>
                <w:szCs w:val="24"/>
              </w:rPr>
              <w:fldChar w:fldCharType="begin"/>
            </w:r>
            <w:r>
              <w:rPr>
                <w:bCs/>
                <w:color w:val="000000" w:themeColor="text1"/>
                <w:sz w:val="24"/>
                <w:szCs w:val="24"/>
              </w:rPr>
              <w:instrText xml:space="preserve"> = 4 \* GB3 \* MERGEFORMAT </w:instrText>
            </w:r>
            <w:r>
              <w:rPr>
                <w:bCs/>
                <w:color w:val="000000" w:themeColor="text1"/>
                <w:sz w:val="24"/>
                <w:szCs w:val="24"/>
              </w:rPr>
              <w:fldChar w:fldCharType="separate"/>
            </w:r>
            <w:r>
              <w:rPr>
                <w:rFonts w:hint="eastAsia" w:cs="宋体"/>
                <w:bCs/>
                <w:color w:val="000000" w:themeColor="text1"/>
                <w:sz w:val="24"/>
                <w:szCs w:val="24"/>
              </w:rPr>
              <w:t>④</w:t>
            </w:r>
            <w:r>
              <w:rPr>
                <w:bCs/>
                <w:color w:val="000000" w:themeColor="text1"/>
                <w:sz w:val="24"/>
                <w:szCs w:val="24"/>
              </w:rPr>
              <w:fldChar w:fldCharType="end"/>
            </w:r>
            <w:r>
              <w:rPr>
                <w:bCs/>
                <w:color w:val="000000" w:themeColor="text1"/>
                <w:sz w:val="24"/>
                <w:szCs w:val="24"/>
              </w:rPr>
              <w:t>燃气工程规划</w:t>
            </w:r>
          </w:p>
          <w:p>
            <w:pPr>
              <w:pStyle w:val="144"/>
              <w:spacing w:line="440" w:lineRule="exact"/>
              <w:ind w:firstLine="480" w:firstLineChars="200"/>
              <w:rPr>
                <w:bCs/>
                <w:color w:val="000000" w:themeColor="text1"/>
                <w:sz w:val="24"/>
                <w:szCs w:val="24"/>
              </w:rPr>
            </w:pPr>
            <w:r>
              <w:rPr>
                <w:bCs/>
                <w:color w:val="000000" w:themeColor="text1"/>
                <w:sz w:val="24"/>
                <w:szCs w:val="24"/>
              </w:rPr>
              <w:t>结合新乡县新县城总体规划，在东孟姜女河和青龙路交叉口规划一处天燃气调压站作为集聚区的气源，在中央大道敷设主干管，向人民胜利渠以西地区供气；另外，新奥燃气公司由东干道经青龙路敷设主干管向人民胜利渠以东地区供气，作为集聚区的第二个气源。</w:t>
            </w:r>
          </w:p>
          <w:p>
            <w:pPr>
              <w:spacing w:line="440" w:lineRule="exact"/>
              <w:ind w:firstLine="480" w:firstLineChars="200"/>
              <w:rPr>
                <w:rStyle w:val="35"/>
                <w:rFonts w:ascii="Times New Roman" w:hAnsi="Times New Roman" w:eastAsia="宋体"/>
                <w:color w:val="000000" w:themeColor="text1"/>
              </w:rPr>
            </w:pPr>
            <w:r>
              <w:rPr>
                <w:rFonts w:ascii="Times New Roman" w:eastAsia="宋体"/>
                <w:color w:val="000000" w:themeColor="text1"/>
                <w:sz w:val="24"/>
              </w:rPr>
              <w:t>（</w:t>
            </w:r>
            <w:r>
              <w:rPr>
                <w:rFonts w:ascii="Times New Roman" w:hAnsi="Times New Roman" w:eastAsia="宋体"/>
                <w:color w:val="000000" w:themeColor="text1"/>
                <w:sz w:val="24"/>
              </w:rPr>
              <w:t>5</w:t>
            </w:r>
            <w:r>
              <w:rPr>
                <w:rFonts w:ascii="Times New Roman" w:eastAsia="宋体"/>
                <w:color w:val="000000" w:themeColor="text1"/>
                <w:sz w:val="24"/>
              </w:rPr>
              <w:t>）规划相符性分析</w:t>
            </w:r>
            <w:bookmarkEnd w:id="3"/>
            <w:bookmarkEnd w:id="4"/>
            <w:bookmarkEnd w:id="5"/>
            <w:bookmarkEnd w:id="6"/>
            <w:bookmarkStart w:id="7" w:name="_Toc28408"/>
            <w:bookmarkStart w:id="8" w:name="_Toc32496"/>
            <w:bookmarkStart w:id="9" w:name="_Toc27245"/>
          </w:p>
          <w:bookmarkEnd w:id="7"/>
          <w:bookmarkEnd w:id="8"/>
          <w:bookmarkEnd w:id="9"/>
          <w:p>
            <w:pPr>
              <w:spacing w:line="440" w:lineRule="exact"/>
              <w:ind w:firstLine="480" w:firstLineChars="200"/>
              <w:rPr>
                <w:rFonts w:ascii="Times New Roman" w:hAnsi="Times New Roman" w:eastAsia="宋体"/>
                <w:color w:val="000000" w:themeColor="text1"/>
                <w:sz w:val="24"/>
              </w:rPr>
            </w:pPr>
            <w:r>
              <w:rPr>
                <w:rFonts w:ascii="Times New Roman" w:eastAsia="宋体"/>
                <w:color w:val="000000" w:themeColor="text1"/>
                <w:sz w:val="24"/>
              </w:rPr>
              <w:t>本项目与</w:t>
            </w:r>
            <w:r>
              <w:rPr>
                <w:rFonts w:hint="eastAsia" w:ascii="Times New Roman" w:eastAsia="宋体"/>
                <w:color w:val="000000" w:themeColor="text1"/>
                <w:sz w:val="24"/>
              </w:rPr>
              <w:t>产业集聚区和</w:t>
            </w:r>
            <w:r>
              <w:rPr>
                <w:rFonts w:ascii="Times New Roman" w:eastAsia="宋体"/>
                <w:color w:val="000000" w:themeColor="text1"/>
                <w:sz w:val="24"/>
              </w:rPr>
              <w:t>园区环境准入条件相符性对比见</w:t>
            </w:r>
            <w:r>
              <w:rPr>
                <w:rFonts w:hint="eastAsia" w:ascii="Times New Roman" w:eastAsia="宋体"/>
                <w:color w:val="000000" w:themeColor="text1"/>
                <w:sz w:val="24"/>
              </w:rPr>
              <w:t>下表</w:t>
            </w:r>
            <w:r>
              <w:rPr>
                <w:rFonts w:ascii="Times New Roman" w:eastAsia="宋体"/>
                <w:color w:val="000000" w:themeColor="text1"/>
                <w:sz w:val="24"/>
              </w:rPr>
              <w:t>。</w:t>
            </w:r>
          </w:p>
          <w:p>
            <w:pPr>
              <w:spacing w:line="440" w:lineRule="exact"/>
              <w:jc w:val="center"/>
              <w:rPr>
                <w:rFonts w:ascii="Times New Roman" w:hAnsi="Times New Roman" w:eastAsia="宋体"/>
                <w:b/>
                <w:bCs/>
                <w:color w:val="000000" w:themeColor="text1"/>
                <w:sz w:val="24"/>
              </w:rPr>
            </w:pPr>
            <w:r>
              <w:rPr>
                <w:rFonts w:ascii="Times New Roman" w:hAnsi="宋体" w:eastAsia="宋体"/>
                <w:b/>
                <w:bCs/>
                <w:color w:val="000000" w:themeColor="text1"/>
                <w:sz w:val="24"/>
              </w:rPr>
              <w:t>表</w:t>
            </w:r>
            <w:r>
              <w:rPr>
                <w:rFonts w:ascii="Times New Roman" w:hAnsi="Times New Roman" w:eastAsia="宋体"/>
                <w:b/>
                <w:bCs/>
                <w:color w:val="000000" w:themeColor="text1"/>
                <w:sz w:val="24"/>
              </w:rPr>
              <w:t>1</w:t>
            </w:r>
            <w:r>
              <w:rPr>
                <w:rFonts w:hint="eastAsia" w:ascii="Times New Roman" w:hAnsi="Times New Roman" w:eastAsia="宋体"/>
                <w:b/>
                <w:bCs/>
                <w:color w:val="000000" w:themeColor="text1"/>
                <w:sz w:val="24"/>
              </w:rPr>
              <w:t xml:space="preserve">2    </w:t>
            </w:r>
            <w:r>
              <w:rPr>
                <w:rFonts w:ascii="Times New Roman" w:hAnsi="宋体" w:eastAsia="宋体"/>
                <w:b/>
                <w:bCs/>
                <w:color w:val="000000" w:themeColor="text1"/>
                <w:sz w:val="24"/>
              </w:rPr>
              <w:t>项目与集聚区准入条件对照分析一览表</w:t>
            </w:r>
          </w:p>
          <w:tbl>
            <w:tblPr>
              <w:tblStyle w:val="24"/>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4823"/>
              <w:gridCol w:w="2547"/>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8" w:type="dxa"/>
                  <w:gridSpan w:val="2"/>
                  <w:tcBorders>
                    <w:top w:val="single" w:color="auto" w:sz="8" w:space="0"/>
                    <w:left w:val="nil"/>
                    <w:bottom w:val="single" w:color="auto" w:sz="8" w:space="0"/>
                    <w:right w:val="single" w:color="auto" w:sz="4" w:space="0"/>
                  </w:tcBorders>
                  <w:vAlign w:val="center"/>
                </w:tcPr>
                <w:p>
                  <w:pPr>
                    <w:jc w:val="center"/>
                    <w:rPr>
                      <w:rFonts w:ascii="Times New Roman" w:hAnsi="Times New Roman" w:eastAsia="宋体"/>
                      <w:b/>
                      <w:bCs/>
                      <w:color w:val="000000" w:themeColor="text1"/>
                      <w:spacing w:val="8"/>
                      <w:szCs w:val="21"/>
                    </w:rPr>
                  </w:pPr>
                  <w:r>
                    <w:rPr>
                      <w:rFonts w:ascii="Times New Roman" w:eastAsia="宋体"/>
                      <w:b/>
                      <w:bCs/>
                      <w:color w:val="000000" w:themeColor="text1"/>
                    </w:rPr>
                    <w:t>集聚区规划</w:t>
                  </w:r>
                </w:p>
              </w:tc>
              <w:tc>
                <w:tcPr>
                  <w:tcW w:w="2531" w:type="dxa"/>
                  <w:tcBorders>
                    <w:top w:val="single" w:color="auto" w:sz="8" w:space="0"/>
                    <w:left w:val="nil"/>
                    <w:bottom w:val="single" w:color="auto" w:sz="8" w:space="0"/>
                    <w:right w:val="single" w:color="auto" w:sz="4" w:space="0"/>
                  </w:tcBorders>
                  <w:vAlign w:val="center"/>
                </w:tcPr>
                <w:p>
                  <w:pPr>
                    <w:jc w:val="center"/>
                    <w:rPr>
                      <w:rFonts w:ascii="Times New Roman" w:hAnsi="Times New Roman" w:eastAsia="宋体"/>
                      <w:b/>
                      <w:bCs/>
                      <w:color w:val="000000" w:themeColor="text1"/>
                      <w:spacing w:val="8"/>
                      <w:szCs w:val="21"/>
                    </w:rPr>
                  </w:pPr>
                  <w:r>
                    <w:rPr>
                      <w:rFonts w:ascii="Times New Roman" w:eastAsia="宋体"/>
                      <w:b/>
                      <w:bCs/>
                      <w:color w:val="000000" w:themeColor="text1"/>
                    </w:rPr>
                    <w:t>本项目情况</w:t>
                  </w:r>
                </w:p>
              </w:tc>
              <w:tc>
                <w:tcPr>
                  <w:tcW w:w="927" w:type="dxa"/>
                  <w:tcBorders>
                    <w:top w:val="single" w:color="auto" w:sz="8" w:space="0"/>
                    <w:left w:val="nil"/>
                    <w:bottom w:val="single" w:color="auto" w:sz="8" w:space="0"/>
                    <w:right w:val="nil"/>
                  </w:tcBorders>
                  <w:vAlign w:val="center"/>
                </w:tcPr>
                <w:p>
                  <w:pPr>
                    <w:jc w:val="center"/>
                    <w:rPr>
                      <w:rFonts w:ascii="Times New Roman" w:hAnsi="Times New Roman" w:eastAsia="宋体"/>
                      <w:b/>
                      <w:bCs/>
                      <w:color w:val="000000" w:themeColor="text1"/>
                      <w:spacing w:val="8"/>
                      <w:szCs w:val="21"/>
                    </w:rPr>
                  </w:pPr>
                  <w:r>
                    <w:rPr>
                      <w:rFonts w:ascii="Times New Roman" w:eastAsia="宋体"/>
                      <w:b/>
                      <w:bCs/>
                      <w:color w:val="000000" w:themeColor="text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5" w:type="dxa"/>
                  <w:vMerge w:val="restart"/>
                  <w:tcBorders>
                    <w:top w:val="single" w:color="auto" w:sz="8" w:space="0"/>
                    <w:left w:val="nil"/>
                    <w:bottom w:val="single" w:color="auto" w:sz="4" w:space="0"/>
                    <w:right w:val="single" w:color="auto" w:sz="4" w:space="0"/>
                  </w:tcBorders>
                  <w:vAlign w:val="center"/>
                </w:tcPr>
                <w:p>
                  <w:pPr>
                    <w:rPr>
                      <w:rFonts w:ascii="Times New Roman" w:hAnsi="Times New Roman" w:eastAsia="宋体"/>
                      <w:color w:val="000000" w:themeColor="text1"/>
                      <w:spacing w:val="8"/>
                      <w:szCs w:val="21"/>
                    </w:rPr>
                  </w:pPr>
                  <w:r>
                    <w:rPr>
                      <w:rFonts w:ascii="Times New Roman" w:eastAsia="宋体"/>
                      <w:color w:val="000000" w:themeColor="text1"/>
                    </w:rPr>
                    <w:t>产业政策</w:t>
                  </w:r>
                </w:p>
              </w:tc>
              <w:tc>
                <w:tcPr>
                  <w:tcW w:w="4793" w:type="dxa"/>
                  <w:tcBorders>
                    <w:top w:val="single" w:color="auto" w:sz="8" w:space="0"/>
                    <w:left w:val="nil"/>
                    <w:bottom w:val="single" w:color="auto" w:sz="4" w:space="0"/>
                    <w:right w:val="single" w:color="auto" w:sz="4" w:space="0"/>
                  </w:tcBorders>
                  <w:vAlign w:val="center"/>
                </w:tcPr>
                <w:p>
                  <w:pPr>
                    <w:rPr>
                      <w:rFonts w:ascii="Times New Roman" w:hAnsi="Times New Roman" w:eastAsia="宋体"/>
                      <w:color w:val="000000" w:themeColor="text1"/>
                    </w:rPr>
                  </w:pPr>
                  <w:r>
                    <w:rPr>
                      <w:rFonts w:ascii="Times New Roman" w:eastAsia="宋体"/>
                      <w:color w:val="000000" w:themeColor="text1"/>
                    </w:rPr>
                    <w:t>（</w:t>
                  </w:r>
                  <w:r>
                    <w:rPr>
                      <w:rFonts w:ascii="Times New Roman" w:hAnsi="Times New Roman" w:eastAsia="宋体"/>
                      <w:color w:val="000000" w:themeColor="text1"/>
                    </w:rPr>
                    <w:t>1</w:t>
                  </w:r>
                  <w:r>
                    <w:rPr>
                      <w:rFonts w:ascii="Times New Roman" w:hAnsi="宋体" w:eastAsia="宋体"/>
                      <w:color w:val="000000" w:themeColor="text1"/>
                    </w:rPr>
                    <w:t>）鼓励引进的项目和优先发展行业：</w:t>
                  </w:r>
                </w:p>
                <w:p>
                  <w:pPr>
                    <w:rPr>
                      <w:rFonts w:ascii="Times New Roman" w:hAnsi="Times New Roman" w:eastAsia="宋体"/>
                      <w:color w:val="000000" w:themeColor="text1"/>
                    </w:rPr>
                  </w:pPr>
                  <w:r>
                    <w:rPr>
                      <w:rFonts w:hint="eastAsia" w:ascii="Times New Roman" w:hAnsi="宋体" w:eastAsia="宋体" w:cs="宋体"/>
                      <w:color w:val="000000" w:themeColor="text1"/>
                    </w:rPr>
                    <w:t>①</w:t>
                  </w:r>
                  <w:r>
                    <w:rPr>
                      <w:rFonts w:ascii="Times New Roman" w:hAnsi="宋体" w:eastAsia="宋体"/>
                      <w:color w:val="000000" w:themeColor="text1"/>
                    </w:rPr>
                    <w:t>集聚区已按照主导产业及辅助产业对各园区功能布局进行合理布局，企业入驻应按照产业政策要求优先入驻与主导产业相符的产业，鼓励入驻《产业结构调整指导目录》鼓励类项目。</w:t>
                  </w:r>
                </w:p>
                <w:p>
                  <w:pPr>
                    <w:rPr>
                      <w:rFonts w:ascii="Times New Roman" w:hAnsi="Times New Roman" w:eastAsia="宋体"/>
                      <w:color w:val="000000" w:themeColor="text1"/>
                    </w:rPr>
                  </w:pPr>
                  <w:r>
                    <w:rPr>
                      <w:rFonts w:hint="eastAsia" w:ascii="Times New Roman" w:hAnsi="宋体" w:eastAsia="宋体" w:cs="宋体"/>
                      <w:color w:val="000000" w:themeColor="text1"/>
                    </w:rPr>
                    <w:t>②</w:t>
                  </w:r>
                  <w:r>
                    <w:rPr>
                      <w:rFonts w:ascii="Times New Roman" w:hAnsi="宋体" w:eastAsia="宋体"/>
                      <w:color w:val="000000" w:themeColor="text1"/>
                    </w:rPr>
                    <w:t>鼓励中水回用项目、污水深度治理等基础设施、资源综合利用项目入驻集聚区。</w:t>
                  </w:r>
                </w:p>
                <w:p>
                  <w:pPr>
                    <w:rPr>
                      <w:rFonts w:ascii="Times New Roman" w:hAnsi="Times New Roman" w:eastAsia="宋体"/>
                      <w:color w:val="000000" w:themeColor="text1"/>
                    </w:rPr>
                  </w:pPr>
                  <w:r>
                    <w:rPr>
                      <w:rFonts w:hint="eastAsia" w:ascii="Times New Roman" w:hAnsi="宋体" w:eastAsia="宋体" w:cs="宋体"/>
                      <w:color w:val="000000" w:themeColor="text1"/>
                    </w:rPr>
                    <w:t>③</w:t>
                  </w:r>
                  <w:r>
                    <w:rPr>
                      <w:rFonts w:ascii="Times New Roman" w:hAnsi="宋体" w:eastAsia="宋体"/>
                      <w:color w:val="000000" w:themeColor="text1"/>
                    </w:rPr>
                    <w:t>鼓励清洁生产水平较高，且能够进一步拉长集聚区产业链，符合集聚区产业定位的企业入驻集聚区。</w:t>
                  </w:r>
                </w:p>
                <w:p>
                  <w:pPr>
                    <w:rPr>
                      <w:rFonts w:ascii="Times New Roman" w:hAnsi="Times New Roman" w:eastAsia="宋体"/>
                      <w:color w:val="000000" w:themeColor="text1"/>
                    </w:rPr>
                  </w:pPr>
                  <w:r>
                    <w:rPr>
                      <w:rFonts w:hint="eastAsia" w:ascii="Times New Roman" w:hAnsi="宋体" w:eastAsia="宋体" w:cs="宋体"/>
                      <w:color w:val="000000" w:themeColor="text1"/>
                    </w:rPr>
                    <w:t>④</w:t>
                  </w:r>
                  <w:r>
                    <w:rPr>
                      <w:rFonts w:ascii="Times New Roman" w:hAnsi="宋体" w:eastAsia="宋体"/>
                      <w:color w:val="000000" w:themeColor="text1"/>
                    </w:rPr>
                    <w:t>鼓励园区内符合产业定位的现有企业对产品进行提升，延长产业链条。</w:t>
                  </w:r>
                </w:p>
                <w:p>
                  <w:pPr>
                    <w:rPr>
                      <w:rFonts w:ascii="Times New Roman" w:hAnsi="Times New Roman" w:eastAsia="宋体"/>
                      <w:color w:val="000000" w:themeColor="text1"/>
                    </w:rPr>
                  </w:pPr>
                  <w:r>
                    <w:rPr>
                      <w:rFonts w:hint="eastAsia" w:ascii="Times New Roman" w:hAnsi="宋体" w:eastAsia="宋体" w:cs="宋体"/>
                      <w:color w:val="000000" w:themeColor="text1"/>
                    </w:rPr>
                    <w:t>⑤</w:t>
                  </w:r>
                  <w:r>
                    <w:rPr>
                      <w:rFonts w:ascii="Times New Roman" w:hAnsi="宋体" w:eastAsia="宋体"/>
                      <w:color w:val="000000" w:themeColor="text1"/>
                    </w:rPr>
                    <w:t>以化工、医药、装备制造作为主导产业。</w:t>
                  </w:r>
                </w:p>
                <w:p>
                  <w:pPr>
                    <w:rPr>
                      <w:rFonts w:ascii="Times New Roman" w:hAnsi="Times New Roman" w:eastAsia="宋体"/>
                      <w:color w:val="000000" w:themeColor="text1"/>
                      <w:szCs w:val="21"/>
                    </w:rPr>
                  </w:pPr>
                  <w:r>
                    <w:rPr>
                      <w:rFonts w:hint="eastAsia" w:ascii="Times New Roman" w:hAnsi="宋体" w:eastAsia="宋体" w:cs="宋体"/>
                      <w:color w:val="000000" w:themeColor="text1"/>
                    </w:rPr>
                    <w:t>⑥</w:t>
                  </w:r>
                  <w:r>
                    <w:rPr>
                      <w:rFonts w:ascii="Times New Roman" w:hAnsi="宋体" w:eastAsia="宋体"/>
                      <w:color w:val="000000" w:themeColor="text1"/>
                    </w:rPr>
                    <w:t>允许入驻符合集聚区产业定位及产业类别的医药、装备制造以及煤化工的下游企业，符合集聚区循环经济发展产业链上下游产业的补链项目。</w:t>
                  </w:r>
                </w:p>
              </w:tc>
              <w:tc>
                <w:tcPr>
                  <w:tcW w:w="2531" w:type="dxa"/>
                  <w:tcBorders>
                    <w:top w:val="single" w:color="auto" w:sz="8" w:space="0"/>
                    <w:left w:val="nil"/>
                    <w:bottom w:val="single" w:color="auto" w:sz="4" w:space="0"/>
                    <w:right w:val="single" w:color="auto" w:sz="4" w:space="0"/>
                  </w:tcBorders>
                  <w:vAlign w:val="center"/>
                </w:tcPr>
                <w:p>
                  <w:pPr>
                    <w:rPr>
                      <w:rFonts w:ascii="Times New Roman" w:hAnsi="Times New Roman" w:eastAsia="宋体"/>
                      <w:color w:val="000000" w:themeColor="text1"/>
                    </w:rPr>
                  </w:pPr>
                  <w:r>
                    <w:rPr>
                      <w:rFonts w:ascii="Times New Roman" w:hAnsi="Times New Roman" w:eastAsia="宋体"/>
                      <w:color w:val="000000" w:themeColor="text1"/>
                    </w:rPr>
                    <w:fldChar w:fldCharType="begin"/>
                  </w:r>
                  <w:r>
                    <w:rPr>
                      <w:rFonts w:ascii="Times New Roman" w:hAnsi="Times New Roman" w:eastAsia="宋体"/>
                      <w:color w:val="000000" w:themeColor="text1"/>
                    </w:rPr>
                    <w:instrText xml:space="preserve"> </w:instrText>
                  </w:r>
                  <w:r>
                    <w:rPr>
                      <w:rFonts w:hint="eastAsia" w:ascii="Times New Roman" w:hAnsi="Times New Roman" w:eastAsia="宋体"/>
                      <w:color w:val="000000" w:themeColor="text1"/>
                    </w:rPr>
                    <w:instrText xml:space="preserve">= 1 \* GB3</w:instrText>
                  </w:r>
                  <w:r>
                    <w:rPr>
                      <w:rFonts w:ascii="Times New Roman" w:hAnsi="Times New Roman" w:eastAsia="宋体"/>
                      <w:color w:val="000000" w:themeColor="text1"/>
                    </w:rPr>
                    <w:instrText xml:space="preserve"> </w:instrText>
                  </w:r>
                  <w:r>
                    <w:rPr>
                      <w:rFonts w:ascii="Times New Roman" w:hAnsi="Times New Roman" w:eastAsia="宋体"/>
                      <w:color w:val="000000" w:themeColor="text1"/>
                    </w:rPr>
                    <w:fldChar w:fldCharType="separate"/>
                  </w:r>
                  <w:r>
                    <w:rPr>
                      <w:rFonts w:hint="eastAsia" w:ascii="Times New Roman" w:hAnsi="宋体" w:eastAsia="宋体"/>
                      <w:color w:val="000000" w:themeColor="text1"/>
                    </w:rPr>
                    <w:t>①</w:t>
                  </w:r>
                  <w:r>
                    <w:rPr>
                      <w:rFonts w:ascii="Times New Roman" w:hAnsi="Times New Roman" w:eastAsia="宋体"/>
                      <w:color w:val="000000" w:themeColor="text1"/>
                    </w:rPr>
                    <w:fldChar w:fldCharType="end"/>
                  </w:r>
                  <w:r>
                    <w:rPr>
                      <w:rFonts w:ascii="Times New Roman" w:hAnsi="宋体" w:eastAsia="宋体"/>
                      <w:color w:val="000000" w:themeColor="text1"/>
                    </w:rPr>
                    <w:t>本项目</w:t>
                  </w:r>
                  <w:r>
                    <w:rPr>
                      <w:rFonts w:hint="eastAsia" w:ascii="Times New Roman" w:eastAsia="宋体"/>
                      <w:color w:val="000000" w:themeColor="text1"/>
                    </w:rPr>
                    <w:t>不在限制类、淘汰类之列，属于允许类</w:t>
                  </w:r>
                  <w:r>
                    <w:rPr>
                      <w:rFonts w:ascii="Times New Roman" w:eastAsia="宋体"/>
                      <w:color w:val="000000" w:themeColor="text1"/>
                    </w:rPr>
                    <w:t>，</w:t>
                  </w:r>
                  <w:r>
                    <w:rPr>
                      <w:rFonts w:hint="eastAsia" w:ascii="Times New Roman" w:eastAsia="宋体"/>
                      <w:color w:val="000000" w:themeColor="text1"/>
                    </w:rPr>
                    <w:t>符合国家产业政策。</w:t>
                  </w:r>
                </w:p>
                <w:p>
                  <w:pPr>
                    <w:rPr>
                      <w:rFonts w:ascii="Times New Roman" w:hAnsi="Times New Roman" w:eastAsia="宋体"/>
                      <w:color w:val="000000" w:themeColor="text1"/>
                    </w:rPr>
                  </w:pPr>
                  <w:r>
                    <w:rPr>
                      <w:rFonts w:hint="eastAsia" w:ascii="Times New Roman" w:hAnsi="宋体" w:eastAsia="宋体" w:cs="宋体"/>
                      <w:color w:val="000000" w:themeColor="text1"/>
                    </w:rPr>
                    <w:t>②</w:t>
                  </w:r>
                  <w:r>
                    <w:rPr>
                      <w:rFonts w:ascii="Times New Roman" w:hAnsi="宋体" w:eastAsia="宋体"/>
                      <w:color w:val="000000" w:themeColor="text1"/>
                    </w:rPr>
                    <w:t>本项目</w:t>
                  </w:r>
                  <w:r>
                    <w:rPr>
                      <w:rFonts w:hint="eastAsia" w:ascii="Times New Roman" w:eastAsia="宋体"/>
                      <w:color w:val="000000" w:themeColor="text1"/>
                    </w:rPr>
                    <w:t>无生产废水产生，</w:t>
                  </w:r>
                  <w:r>
                    <w:rPr>
                      <w:rFonts w:hint="eastAsia" w:ascii="Times New Roman" w:eastAsia="宋体"/>
                      <w:color w:val="000000" w:themeColor="text1"/>
                      <w:szCs w:val="21"/>
                    </w:rPr>
                    <w:t>本项目利用原有职工，不新增职工人数，不新增生活污水</w:t>
                  </w:r>
                  <w:r>
                    <w:rPr>
                      <w:rFonts w:ascii="Times New Roman" w:eastAsia="宋体"/>
                      <w:color w:val="000000" w:themeColor="text1"/>
                    </w:rPr>
                    <w:t>。</w:t>
                  </w:r>
                </w:p>
                <w:p>
                  <w:pPr>
                    <w:rPr>
                      <w:rFonts w:ascii="Times New Roman" w:hAnsi="Times New Roman" w:eastAsia="宋体"/>
                      <w:color w:val="000000" w:themeColor="text1"/>
                      <w:szCs w:val="21"/>
                    </w:rPr>
                  </w:pPr>
                  <w:r>
                    <w:rPr>
                      <w:rFonts w:hint="eastAsia" w:ascii="Times New Roman" w:hAnsi="宋体" w:eastAsia="宋体" w:cs="宋体"/>
                      <w:color w:val="000000" w:themeColor="text1"/>
                      <w:szCs w:val="21"/>
                    </w:rPr>
                    <w:t>③</w:t>
                  </w:r>
                  <w:r>
                    <w:rPr>
                      <w:rFonts w:ascii="Times New Roman" w:eastAsia="宋体"/>
                      <w:color w:val="000000" w:themeColor="text1"/>
                      <w:szCs w:val="21"/>
                    </w:rPr>
                    <w:t>本项目为</w:t>
                  </w:r>
                  <w:r>
                    <w:rPr>
                      <w:rFonts w:ascii="Times New Roman" w:hAnsi="Times New Roman" w:eastAsia="宋体"/>
                      <w:color w:val="000000" w:themeColor="text1"/>
                      <w:szCs w:val="21"/>
                    </w:rPr>
                    <w:t>塑料制品项目</w:t>
                  </w:r>
                  <w:r>
                    <w:rPr>
                      <w:rFonts w:ascii="Times New Roman" w:eastAsia="宋体"/>
                      <w:color w:val="000000" w:themeColor="text1"/>
                      <w:szCs w:val="21"/>
                    </w:rPr>
                    <w:t>，国内或国际无相关清洁生产标准</w:t>
                  </w:r>
                  <w:r>
                    <w:rPr>
                      <w:rFonts w:hint="eastAsia" w:ascii="Times New Roman" w:eastAsia="宋体"/>
                      <w:color w:val="000000" w:themeColor="text1"/>
                      <w:szCs w:val="21"/>
                    </w:rPr>
                    <w:t>。</w:t>
                  </w:r>
                </w:p>
              </w:tc>
              <w:tc>
                <w:tcPr>
                  <w:tcW w:w="927" w:type="dxa"/>
                  <w:tcBorders>
                    <w:top w:val="single" w:color="auto" w:sz="8" w:space="0"/>
                    <w:left w:val="nil"/>
                    <w:bottom w:val="single" w:color="auto" w:sz="4" w:space="0"/>
                    <w:right w:val="nil"/>
                  </w:tcBorders>
                  <w:vAlign w:val="center"/>
                </w:tcPr>
                <w:p>
                  <w:pPr>
                    <w:jc w:val="center"/>
                    <w:rPr>
                      <w:rFonts w:ascii="Times New Roman" w:hAnsi="Times New Roman" w:eastAsia="宋体"/>
                      <w:color w:val="000000" w:themeColor="text1"/>
                      <w:spacing w:val="8"/>
                      <w:szCs w:val="21"/>
                    </w:rPr>
                  </w:pPr>
                  <w:r>
                    <w:rPr>
                      <w:rFonts w:ascii="Times New Roman" w:eastAsia="宋体"/>
                      <w:color w:val="000000" w:themeColor="text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5" w:type="dxa"/>
                  <w:vMerge w:val="continue"/>
                  <w:tcBorders>
                    <w:top w:val="nil"/>
                    <w:left w:val="nil"/>
                    <w:bottom w:val="single" w:color="auto" w:sz="4" w:space="0"/>
                    <w:right w:val="single" w:color="auto" w:sz="4" w:space="0"/>
                  </w:tcBorders>
                  <w:vAlign w:val="center"/>
                </w:tcPr>
                <w:p>
                  <w:pPr>
                    <w:widowControl/>
                    <w:jc w:val="left"/>
                    <w:rPr>
                      <w:rFonts w:ascii="Times New Roman" w:hAnsi="Times New Roman" w:eastAsia="宋体"/>
                      <w:color w:val="000000" w:themeColor="text1"/>
                      <w:spacing w:val="8"/>
                      <w:szCs w:val="21"/>
                    </w:rPr>
                  </w:pPr>
                </w:p>
              </w:tc>
              <w:tc>
                <w:tcPr>
                  <w:tcW w:w="4793" w:type="dxa"/>
                  <w:tcBorders>
                    <w:top w:val="single" w:color="auto" w:sz="4" w:space="0"/>
                    <w:left w:val="nil"/>
                    <w:bottom w:val="single" w:color="auto" w:sz="4" w:space="0"/>
                    <w:right w:val="single" w:color="auto" w:sz="4" w:space="0"/>
                  </w:tcBorders>
                  <w:vAlign w:val="center"/>
                </w:tcPr>
                <w:p>
                  <w:pPr>
                    <w:rPr>
                      <w:rFonts w:ascii="Times New Roman" w:hAnsi="Times New Roman" w:eastAsia="宋体"/>
                      <w:color w:val="000000" w:themeColor="text1"/>
                    </w:rPr>
                  </w:pPr>
                  <w:r>
                    <w:rPr>
                      <w:rFonts w:ascii="Times New Roman" w:eastAsia="宋体"/>
                      <w:color w:val="000000" w:themeColor="text1"/>
                    </w:rPr>
                    <w:t>（</w:t>
                  </w:r>
                  <w:r>
                    <w:rPr>
                      <w:rFonts w:ascii="Times New Roman" w:hAnsi="Times New Roman" w:eastAsia="宋体"/>
                      <w:color w:val="000000" w:themeColor="text1"/>
                    </w:rPr>
                    <w:t>2</w:t>
                  </w:r>
                  <w:r>
                    <w:rPr>
                      <w:rFonts w:ascii="Times New Roman" w:hAnsi="宋体" w:eastAsia="宋体"/>
                      <w:color w:val="000000" w:themeColor="text1"/>
                    </w:rPr>
                    <w:t>）限制或禁止入驻项目：</w:t>
                  </w:r>
                </w:p>
                <w:p>
                  <w:pPr>
                    <w:rPr>
                      <w:rFonts w:ascii="Times New Roman" w:hAnsi="Times New Roman" w:eastAsia="宋体"/>
                      <w:color w:val="000000" w:themeColor="text1"/>
                    </w:rPr>
                  </w:pPr>
                  <w:r>
                    <w:rPr>
                      <w:rFonts w:hint="eastAsia" w:ascii="Times New Roman" w:hAnsi="宋体" w:eastAsia="宋体" w:cs="宋体"/>
                      <w:color w:val="000000" w:themeColor="text1"/>
                    </w:rPr>
                    <w:t>①</w:t>
                  </w:r>
                  <w:r>
                    <w:rPr>
                      <w:rFonts w:ascii="Times New Roman" w:hAnsi="宋体" w:eastAsia="宋体"/>
                      <w:color w:val="000000" w:themeColor="text1"/>
                    </w:rPr>
                    <w:t>原则上仅允许入驻符合集聚区产业定位，且项目选址须符合集聚区产业布局及用地性质的项目。</w:t>
                  </w:r>
                </w:p>
                <w:p>
                  <w:pPr>
                    <w:rPr>
                      <w:rFonts w:ascii="Times New Roman" w:hAnsi="Times New Roman" w:eastAsia="宋体"/>
                      <w:color w:val="000000" w:themeColor="text1"/>
                    </w:rPr>
                  </w:pPr>
                  <w:r>
                    <w:rPr>
                      <w:rFonts w:hint="eastAsia" w:ascii="Times New Roman" w:hAnsi="宋体" w:eastAsia="宋体" w:cs="宋体"/>
                      <w:color w:val="000000" w:themeColor="text1"/>
                    </w:rPr>
                    <w:t>②</w:t>
                  </w:r>
                  <w:r>
                    <w:rPr>
                      <w:rFonts w:ascii="Times New Roman" w:hAnsi="宋体" w:eastAsia="宋体"/>
                      <w:color w:val="000000" w:themeColor="text1"/>
                    </w:rPr>
                    <w:t>按照国家相关产业政策，严禁淘汰和限制类工业企业入园。</w:t>
                  </w:r>
                </w:p>
                <w:p>
                  <w:pPr>
                    <w:rPr>
                      <w:rFonts w:ascii="Times New Roman" w:hAnsi="Times New Roman" w:eastAsia="宋体"/>
                      <w:color w:val="000000" w:themeColor="text1"/>
                    </w:rPr>
                  </w:pPr>
                  <w:r>
                    <w:rPr>
                      <w:rFonts w:hint="eastAsia" w:ascii="Times New Roman" w:hAnsi="宋体" w:eastAsia="宋体" w:cs="宋体"/>
                      <w:color w:val="000000" w:themeColor="text1"/>
                    </w:rPr>
                    <w:t>③</w:t>
                  </w:r>
                  <w:r>
                    <w:rPr>
                      <w:rFonts w:ascii="Times New Roman" w:hAnsi="宋体" w:eastAsia="宋体"/>
                      <w:color w:val="000000" w:themeColor="text1"/>
                    </w:rPr>
                    <w:t>评价要求化工园区禁止新建或单纯扩大产能的以煤为原料的煤化工项目；同时升级改造项目、符合条件的退城入园项目，入驻园区不得增加区域燃煤总量，且合成氨和甲醇产能应进行等量置换，不得新增区域合成氨和甲醇产能。</w:t>
                  </w:r>
                </w:p>
                <w:p>
                  <w:pPr>
                    <w:rPr>
                      <w:rFonts w:ascii="Times New Roman" w:hAnsi="Times New Roman" w:eastAsia="宋体"/>
                      <w:color w:val="000000" w:themeColor="text1"/>
                    </w:rPr>
                  </w:pPr>
                  <w:r>
                    <w:rPr>
                      <w:rFonts w:hint="eastAsia" w:ascii="Times New Roman" w:hAnsi="宋体" w:eastAsia="宋体" w:cs="宋体"/>
                      <w:color w:val="000000" w:themeColor="text1"/>
                    </w:rPr>
                    <w:t>④</w:t>
                  </w:r>
                  <w:r>
                    <w:rPr>
                      <w:rFonts w:ascii="Times New Roman" w:hAnsi="宋体" w:eastAsia="宋体"/>
                      <w:color w:val="000000" w:themeColor="text1"/>
                    </w:rPr>
                    <w:t>禁止引进涉及大量有毒、有害物质以及使用大量危险物品的企业入园。</w:t>
                  </w:r>
                </w:p>
                <w:p>
                  <w:pPr>
                    <w:rPr>
                      <w:rFonts w:ascii="Times New Roman" w:hAnsi="Times New Roman" w:eastAsia="宋体"/>
                      <w:color w:val="000000" w:themeColor="text1"/>
                      <w:szCs w:val="21"/>
                    </w:rPr>
                  </w:pPr>
                  <w:r>
                    <w:rPr>
                      <w:rFonts w:hint="eastAsia" w:ascii="Times New Roman" w:hAnsi="宋体" w:eastAsia="宋体" w:cs="宋体"/>
                      <w:color w:val="000000" w:themeColor="text1"/>
                    </w:rPr>
                    <w:t>⑤</w:t>
                  </w:r>
                  <w:r>
                    <w:rPr>
                      <w:rFonts w:ascii="Times New Roman" w:hAnsi="宋体" w:eastAsia="宋体"/>
                      <w:color w:val="000000" w:themeColor="text1"/>
                    </w:rPr>
                    <w:t>禁止建设或使用《产业结构调整指导目录（</w:t>
                  </w:r>
                  <w:r>
                    <w:rPr>
                      <w:rFonts w:ascii="Times New Roman" w:hAnsi="Times New Roman" w:eastAsia="宋体"/>
                      <w:color w:val="000000" w:themeColor="text1"/>
                    </w:rPr>
                    <w:t>2011</w:t>
                  </w:r>
                  <w:r>
                    <w:rPr>
                      <w:rFonts w:ascii="Times New Roman" w:hAnsi="宋体" w:eastAsia="宋体"/>
                      <w:color w:val="000000" w:themeColor="text1"/>
                    </w:rPr>
                    <w:t>年本）（</w:t>
                  </w:r>
                  <w:r>
                    <w:rPr>
                      <w:rFonts w:ascii="Times New Roman" w:hAnsi="Times New Roman" w:eastAsia="宋体"/>
                      <w:color w:val="000000" w:themeColor="text1"/>
                    </w:rPr>
                    <w:t>2013</w:t>
                  </w:r>
                  <w:r>
                    <w:rPr>
                      <w:rFonts w:ascii="Times New Roman" w:hAnsi="宋体" w:eastAsia="宋体"/>
                      <w:color w:val="000000" w:themeColor="text1"/>
                    </w:rPr>
                    <w:t>年修正）》明令淘汰的生产工艺或设备</w:t>
                  </w:r>
                </w:p>
              </w:tc>
              <w:tc>
                <w:tcPr>
                  <w:tcW w:w="2531" w:type="dxa"/>
                  <w:tcBorders>
                    <w:top w:val="single" w:color="auto" w:sz="4" w:space="0"/>
                    <w:left w:val="nil"/>
                    <w:bottom w:val="single" w:color="auto" w:sz="4" w:space="0"/>
                    <w:right w:val="single" w:color="auto" w:sz="4" w:space="0"/>
                  </w:tcBorders>
                  <w:vAlign w:val="center"/>
                </w:tcPr>
                <w:p>
                  <w:pPr>
                    <w:rPr>
                      <w:rFonts w:ascii="Times New Roman" w:hAnsi="Times New Roman" w:eastAsia="宋体"/>
                      <w:color w:val="000000" w:themeColor="text1"/>
                    </w:rPr>
                  </w:pPr>
                  <w:r>
                    <w:rPr>
                      <w:rFonts w:hint="eastAsia" w:ascii="Times New Roman" w:hAnsi="宋体" w:eastAsia="宋体" w:cs="宋体"/>
                      <w:color w:val="000000" w:themeColor="text1"/>
                    </w:rPr>
                    <w:t>①</w:t>
                  </w:r>
                  <w:r>
                    <w:rPr>
                      <w:rFonts w:ascii="Times New Roman" w:hAnsi="宋体" w:eastAsia="宋体"/>
                      <w:color w:val="000000" w:themeColor="text1"/>
                    </w:rPr>
                    <w:t>项目所在地为工业用地，符合产业集聚区用地性质。</w:t>
                  </w:r>
                </w:p>
                <w:p>
                  <w:pPr>
                    <w:rPr>
                      <w:rFonts w:ascii="Times New Roman" w:hAnsi="Times New Roman" w:eastAsia="宋体"/>
                      <w:color w:val="000000" w:themeColor="text1"/>
                    </w:rPr>
                  </w:pPr>
                  <w:r>
                    <w:rPr>
                      <w:rFonts w:hint="eastAsia" w:ascii="Times New Roman" w:hAnsi="宋体" w:eastAsia="宋体" w:cs="宋体"/>
                      <w:color w:val="000000" w:themeColor="text1"/>
                    </w:rPr>
                    <w:t>②</w:t>
                  </w:r>
                  <w:r>
                    <w:rPr>
                      <w:rFonts w:ascii="Times New Roman" w:hAnsi="宋体" w:eastAsia="宋体"/>
                      <w:color w:val="000000" w:themeColor="text1"/>
                    </w:rPr>
                    <w:t>本项目属于</w:t>
                  </w:r>
                  <w:r>
                    <w:rPr>
                      <w:rFonts w:hint="eastAsia" w:ascii="Times New Roman" w:hAnsi="宋体" w:eastAsia="宋体"/>
                      <w:color w:val="000000" w:themeColor="text1"/>
                    </w:rPr>
                    <w:t>允许类</w:t>
                  </w:r>
                  <w:r>
                    <w:rPr>
                      <w:rFonts w:hint="eastAsia" w:ascii="Times New Roman" w:eastAsia="宋体"/>
                      <w:color w:val="000000" w:themeColor="text1"/>
                    </w:rPr>
                    <w:t>。</w:t>
                  </w:r>
                </w:p>
                <w:p>
                  <w:pPr>
                    <w:rPr>
                      <w:rFonts w:ascii="Times New Roman" w:hAnsi="Times New Roman" w:eastAsia="宋体"/>
                      <w:color w:val="000000" w:themeColor="text1"/>
                    </w:rPr>
                  </w:pPr>
                  <w:r>
                    <w:rPr>
                      <w:rFonts w:hint="eastAsia" w:ascii="Times New Roman" w:hAnsi="宋体" w:eastAsia="宋体" w:cs="宋体"/>
                      <w:color w:val="000000" w:themeColor="text1"/>
                    </w:rPr>
                    <w:t>③</w:t>
                  </w:r>
                  <w:r>
                    <w:rPr>
                      <w:rFonts w:ascii="Times New Roman" w:hAnsi="宋体" w:eastAsia="宋体"/>
                      <w:color w:val="000000" w:themeColor="text1"/>
                    </w:rPr>
                    <w:t>本项目不涉及燃煤、氨、甲醇。</w:t>
                  </w:r>
                </w:p>
                <w:p>
                  <w:pPr>
                    <w:rPr>
                      <w:rFonts w:ascii="Times New Roman" w:hAnsi="Times New Roman" w:eastAsia="宋体"/>
                      <w:color w:val="000000" w:themeColor="text1"/>
                    </w:rPr>
                  </w:pPr>
                  <w:r>
                    <w:rPr>
                      <w:rFonts w:hint="eastAsia" w:ascii="Times New Roman" w:hAnsi="宋体" w:eastAsia="宋体" w:cs="宋体"/>
                      <w:color w:val="000000" w:themeColor="text1"/>
                    </w:rPr>
                    <w:t>④</w:t>
                  </w:r>
                  <w:r>
                    <w:rPr>
                      <w:rFonts w:ascii="Times New Roman" w:hAnsi="宋体" w:eastAsia="宋体"/>
                      <w:color w:val="000000" w:themeColor="text1"/>
                    </w:rPr>
                    <w:t>本项目不涉及有毒、有害物质及危险物品。</w:t>
                  </w:r>
                </w:p>
                <w:p>
                  <w:pPr>
                    <w:rPr>
                      <w:rFonts w:ascii="Times New Roman" w:hAnsi="Times New Roman" w:eastAsia="宋体"/>
                      <w:color w:val="000000" w:themeColor="text1"/>
                      <w:szCs w:val="21"/>
                    </w:rPr>
                  </w:pPr>
                  <w:r>
                    <w:rPr>
                      <w:rFonts w:hint="eastAsia" w:ascii="Times New Roman" w:hAnsi="宋体" w:eastAsia="宋体" w:cs="宋体"/>
                      <w:color w:val="000000" w:themeColor="text1"/>
                    </w:rPr>
                    <w:t>⑤</w:t>
                  </w:r>
                  <w:r>
                    <w:rPr>
                      <w:rFonts w:ascii="Times New Roman" w:hAnsi="宋体" w:eastAsia="宋体"/>
                      <w:color w:val="000000" w:themeColor="text1"/>
                    </w:rPr>
                    <w:t>本项目未使用《产业结构调整指导目录》</w:t>
                  </w:r>
                  <w:r>
                    <w:rPr>
                      <w:rFonts w:ascii="Times New Roman" w:hAnsi="Times New Roman" w:eastAsia="宋体"/>
                      <w:color w:val="000000" w:themeColor="text1"/>
                      <w:szCs w:val="21"/>
                    </w:rPr>
                    <w:t>（发改委令（2019）第29号）</w:t>
                  </w:r>
                  <w:r>
                    <w:rPr>
                      <w:rFonts w:ascii="Times New Roman" w:hAnsi="宋体" w:eastAsia="宋体"/>
                      <w:color w:val="000000" w:themeColor="text1"/>
                    </w:rPr>
                    <w:t>明令淘汰的生产工艺或设备</w:t>
                  </w:r>
                  <w:r>
                    <w:rPr>
                      <w:rFonts w:hint="eastAsia" w:ascii="Times New Roman" w:hAnsi="宋体" w:eastAsia="宋体"/>
                      <w:color w:val="000000" w:themeColor="text1"/>
                    </w:rPr>
                    <w:t>。</w:t>
                  </w:r>
                </w:p>
              </w:tc>
              <w:tc>
                <w:tcPr>
                  <w:tcW w:w="927" w:type="dxa"/>
                  <w:tcBorders>
                    <w:top w:val="single" w:color="auto" w:sz="4" w:space="0"/>
                    <w:left w:val="nil"/>
                    <w:bottom w:val="single" w:color="auto" w:sz="4" w:space="0"/>
                    <w:right w:val="nil"/>
                  </w:tcBorders>
                  <w:vAlign w:val="center"/>
                </w:tcPr>
                <w:p>
                  <w:pPr>
                    <w:jc w:val="center"/>
                    <w:rPr>
                      <w:rFonts w:ascii="Times New Roman" w:hAnsi="Times New Roman" w:eastAsia="宋体"/>
                      <w:color w:val="000000" w:themeColor="text1"/>
                      <w:szCs w:val="21"/>
                    </w:rPr>
                  </w:pPr>
                  <w:r>
                    <w:rPr>
                      <w:rFonts w:ascii="Times New Roman" w:eastAsia="宋体"/>
                      <w:color w:val="000000" w:themeColor="text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5" w:type="dxa"/>
                  <w:tcBorders>
                    <w:top w:val="single" w:color="auto" w:sz="4" w:space="0"/>
                    <w:left w:val="nil"/>
                    <w:bottom w:val="single" w:color="auto" w:sz="4" w:space="0"/>
                    <w:right w:val="single" w:color="auto" w:sz="4" w:space="0"/>
                  </w:tcBorders>
                  <w:vAlign w:val="center"/>
                </w:tcPr>
                <w:p>
                  <w:pPr>
                    <w:rPr>
                      <w:rFonts w:ascii="Times New Roman" w:hAnsi="Times New Roman" w:eastAsia="宋体"/>
                      <w:color w:val="000000" w:themeColor="text1"/>
                      <w:spacing w:val="8"/>
                      <w:szCs w:val="21"/>
                    </w:rPr>
                  </w:pPr>
                  <w:r>
                    <w:rPr>
                      <w:rFonts w:ascii="Times New Roman" w:eastAsia="宋体"/>
                      <w:color w:val="000000" w:themeColor="text1"/>
                    </w:rPr>
                    <w:t>生产规模和工艺装备水平</w:t>
                  </w:r>
                </w:p>
              </w:tc>
              <w:tc>
                <w:tcPr>
                  <w:tcW w:w="4793" w:type="dxa"/>
                  <w:tcBorders>
                    <w:top w:val="single" w:color="auto" w:sz="4" w:space="0"/>
                    <w:left w:val="nil"/>
                    <w:bottom w:val="single" w:color="auto" w:sz="4" w:space="0"/>
                    <w:right w:val="single" w:color="auto" w:sz="4" w:space="0"/>
                  </w:tcBorders>
                  <w:vAlign w:val="center"/>
                </w:tcPr>
                <w:p>
                  <w:pPr>
                    <w:rPr>
                      <w:rFonts w:ascii="Times New Roman" w:hAnsi="Times New Roman" w:eastAsia="宋体"/>
                      <w:color w:val="000000" w:themeColor="text1"/>
                      <w:spacing w:val="-4"/>
                    </w:rPr>
                  </w:pPr>
                  <w:r>
                    <w:rPr>
                      <w:rFonts w:ascii="Times New Roman" w:eastAsia="宋体"/>
                      <w:color w:val="000000" w:themeColor="text1"/>
                      <w:spacing w:val="-4"/>
                    </w:rPr>
                    <w:t>（</w:t>
                  </w:r>
                  <w:r>
                    <w:rPr>
                      <w:rFonts w:ascii="Times New Roman" w:hAnsi="Times New Roman" w:eastAsia="宋体"/>
                      <w:color w:val="000000" w:themeColor="text1"/>
                      <w:spacing w:val="-4"/>
                    </w:rPr>
                    <w:t>1</w:t>
                  </w:r>
                  <w:r>
                    <w:rPr>
                      <w:rFonts w:ascii="Times New Roman" w:hAnsi="宋体" w:eastAsia="宋体"/>
                      <w:color w:val="000000" w:themeColor="text1"/>
                      <w:spacing w:val="-4"/>
                    </w:rPr>
                    <w:t>）入区企业建设规模应符合国家相关行业准入条件中的经济、产品规模和生产工艺要求；</w:t>
                  </w:r>
                </w:p>
                <w:p>
                  <w:pPr>
                    <w:rPr>
                      <w:rFonts w:ascii="Times New Roman" w:hAnsi="Times New Roman" w:eastAsia="宋体"/>
                      <w:color w:val="000000" w:themeColor="text1"/>
                      <w:spacing w:val="8"/>
                      <w:szCs w:val="21"/>
                    </w:rPr>
                  </w:pPr>
                  <w:r>
                    <w:rPr>
                      <w:rFonts w:ascii="Times New Roman" w:eastAsia="宋体"/>
                      <w:color w:val="000000" w:themeColor="text1"/>
                    </w:rPr>
                    <w:t>（</w:t>
                  </w:r>
                  <w:r>
                    <w:rPr>
                      <w:rFonts w:ascii="Times New Roman" w:hAnsi="Times New Roman" w:eastAsia="宋体"/>
                      <w:color w:val="000000" w:themeColor="text1"/>
                    </w:rPr>
                    <w:t>2</w:t>
                  </w:r>
                  <w:r>
                    <w:rPr>
                      <w:rFonts w:ascii="Times New Roman" w:hAnsi="宋体" w:eastAsia="宋体"/>
                      <w:color w:val="000000" w:themeColor="text1"/>
                    </w:rPr>
                    <w:t>）在生产工艺、技术水平、装备规格上，要求入区项目达到国内行业领先水平、或具备国际先进水平</w:t>
                  </w:r>
                </w:p>
              </w:tc>
              <w:tc>
                <w:tcPr>
                  <w:tcW w:w="2531" w:type="dxa"/>
                  <w:tcBorders>
                    <w:top w:val="single" w:color="auto" w:sz="4" w:space="0"/>
                    <w:left w:val="nil"/>
                    <w:bottom w:val="single" w:color="auto" w:sz="4" w:space="0"/>
                    <w:right w:val="single" w:color="auto" w:sz="4" w:space="0"/>
                  </w:tcBorders>
                  <w:vAlign w:val="center"/>
                </w:tcPr>
                <w:p>
                  <w:pPr>
                    <w:rPr>
                      <w:rFonts w:ascii="Times New Roman" w:hAnsi="Times New Roman" w:eastAsia="宋体"/>
                      <w:color w:val="000000" w:themeColor="text1"/>
                      <w:spacing w:val="-4"/>
                    </w:rPr>
                  </w:pPr>
                  <w:r>
                    <w:rPr>
                      <w:rFonts w:ascii="Times New Roman" w:eastAsia="宋体"/>
                      <w:color w:val="000000" w:themeColor="text1"/>
                      <w:spacing w:val="-4"/>
                    </w:rPr>
                    <w:t>（</w:t>
                  </w:r>
                  <w:r>
                    <w:rPr>
                      <w:rFonts w:ascii="Times New Roman" w:hAnsi="Times New Roman" w:eastAsia="宋体"/>
                      <w:color w:val="000000" w:themeColor="text1"/>
                      <w:spacing w:val="-4"/>
                    </w:rPr>
                    <w:t>1</w:t>
                  </w:r>
                  <w:r>
                    <w:rPr>
                      <w:rFonts w:ascii="Times New Roman" w:hAnsi="宋体" w:eastAsia="宋体"/>
                      <w:color w:val="000000" w:themeColor="text1"/>
                      <w:spacing w:val="-4"/>
                    </w:rPr>
                    <w:t>）本项目</w:t>
                  </w:r>
                  <w:r>
                    <w:rPr>
                      <w:rFonts w:hint="eastAsia" w:ascii="Times New Roman" w:eastAsia="宋体"/>
                      <w:color w:val="000000" w:themeColor="text1"/>
                      <w:spacing w:val="-4"/>
                    </w:rPr>
                    <w:t>属于</w:t>
                  </w:r>
                  <w:r>
                    <w:rPr>
                      <w:rFonts w:ascii="Times New Roman" w:hAnsi="Times New Roman" w:eastAsia="宋体"/>
                      <w:color w:val="000000" w:themeColor="text1"/>
                      <w:szCs w:val="21"/>
                    </w:rPr>
                    <w:t>塑料制品项目</w:t>
                  </w:r>
                  <w:r>
                    <w:rPr>
                      <w:rFonts w:ascii="Times New Roman" w:eastAsia="宋体"/>
                      <w:color w:val="000000" w:themeColor="text1"/>
                      <w:spacing w:val="-4"/>
                    </w:rPr>
                    <w:t>，暂无行业准入条件。</w:t>
                  </w:r>
                </w:p>
                <w:p>
                  <w:pPr>
                    <w:rPr>
                      <w:rFonts w:ascii="Times New Roman" w:hAnsi="Times New Roman" w:eastAsia="宋体"/>
                      <w:color w:val="000000" w:themeColor="text1"/>
                      <w:spacing w:val="8"/>
                      <w:szCs w:val="21"/>
                    </w:rPr>
                  </w:pPr>
                  <w:r>
                    <w:rPr>
                      <w:rFonts w:ascii="Times New Roman" w:eastAsia="宋体"/>
                      <w:color w:val="000000" w:themeColor="text1"/>
                    </w:rPr>
                    <w:t>（</w:t>
                  </w:r>
                  <w:r>
                    <w:rPr>
                      <w:rFonts w:ascii="Times New Roman" w:hAnsi="Times New Roman" w:eastAsia="宋体"/>
                      <w:color w:val="000000" w:themeColor="text1"/>
                    </w:rPr>
                    <w:t>2</w:t>
                  </w:r>
                  <w:r>
                    <w:rPr>
                      <w:rFonts w:ascii="Times New Roman" w:hAnsi="宋体" w:eastAsia="宋体"/>
                      <w:color w:val="000000" w:themeColor="text1"/>
                    </w:rPr>
                    <w:t>）项目在生产工艺、技术水平、装备规格上，能够达到国内行业领先水平。</w:t>
                  </w:r>
                </w:p>
              </w:tc>
              <w:tc>
                <w:tcPr>
                  <w:tcW w:w="927" w:type="dxa"/>
                  <w:tcBorders>
                    <w:top w:val="single" w:color="auto" w:sz="4" w:space="0"/>
                    <w:left w:val="nil"/>
                    <w:bottom w:val="single" w:color="auto" w:sz="4" w:space="0"/>
                    <w:right w:val="nil"/>
                  </w:tcBorders>
                  <w:vAlign w:val="center"/>
                </w:tcPr>
                <w:p>
                  <w:pPr>
                    <w:jc w:val="center"/>
                    <w:rPr>
                      <w:rFonts w:ascii="Times New Roman" w:hAnsi="Times New Roman" w:eastAsia="宋体"/>
                      <w:color w:val="000000" w:themeColor="text1"/>
                      <w:spacing w:val="8"/>
                      <w:szCs w:val="21"/>
                    </w:rPr>
                  </w:pPr>
                  <w:r>
                    <w:rPr>
                      <w:rFonts w:ascii="Times New Roman" w:eastAsia="宋体"/>
                      <w:color w:val="000000" w:themeColor="text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5" w:type="dxa"/>
                  <w:tcBorders>
                    <w:top w:val="single" w:color="auto" w:sz="4" w:space="0"/>
                    <w:left w:val="nil"/>
                    <w:bottom w:val="single" w:color="auto" w:sz="4" w:space="0"/>
                    <w:right w:val="single" w:color="auto" w:sz="4" w:space="0"/>
                  </w:tcBorders>
                  <w:vAlign w:val="center"/>
                </w:tcPr>
                <w:p>
                  <w:pPr>
                    <w:rPr>
                      <w:rFonts w:ascii="Times New Roman" w:hAnsi="Times New Roman" w:eastAsia="宋体"/>
                      <w:color w:val="000000" w:themeColor="text1"/>
                      <w:spacing w:val="8"/>
                      <w:szCs w:val="21"/>
                    </w:rPr>
                  </w:pPr>
                  <w:r>
                    <w:rPr>
                      <w:rFonts w:ascii="Times New Roman" w:eastAsia="宋体"/>
                      <w:color w:val="000000" w:themeColor="text1"/>
                    </w:rPr>
                    <w:t>清洁生产水平</w:t>
                  </w:r>
                </w:p>
              </w:tc>
              <w:tc>
                <w:tcPr>
                  <w:tcW w:w="4793" w:type="dxa"/>
                  <w:tcBorders>
                    <w:top w:val="single" w:color="auto" w:sz="4" w:space="0"/>
                    <w:left w:val="nil"/>
                    <w:bottom w:val="single" w:color="auto" w:sz="4" w:space="0"/>
                    <w:right w:val="single" w:color="auto" w:sz="4" w:space="0"/>
                  </w:tcBorders>
                  <w:vAlign w:val="center"/>
                </w:tcPr>
                <w:p>
                  <w:pPr>
                    <w:rPr>
                      <w:rFonts w:ascii="Times New Roman" w:hAnsi="Times New Roman" w:eastAsia="宋体"/>
                      <w:color w:val="000000" w:themeColor="text1"/>
                    </w:rPr>
                  </w:pPr>
                  <w:r>
                    <w:rPr>
                      <w:rFonts w:ascii="Times New Roman" w:eastAsia="宋体"/>
                      <w:color w:val="000000" w:themeColor="text1"/>
                    </w:rPr>
                    <w:t>（</w:t>
                  </w:r>
                  <w:r>
                    <w:rPr>
                      <w:rFonts w:ascii="Times New Roman" w:hAnsi="Times New Roman" w:eastAsia="宋体"/>
                      <w:color w:val="000000" w:themeColor="text1"/>
                    </w:rPr>
                    <w:t>1</w:t>
                  </w:r>
                  <w:r>
                    <w:rPr>
                      <w:rFonts w:ascii="Times New Roman" w:hAnsi="宋体" w:eastAsia="宋体"/>
                      <w:color w:val="000000" w:themeColor="text1"/>
                    </w:rPr>
                    <w:t>）应选择使用原料和产品为环境友好型的项目，避免集聚区大规模建设造成的不良辐射效应，诱使国家明令禁止项目在集聚区周边出现；</w:t>
                  </w:r>
                </w:p>
                <w:p>
                  <w:pPr>
                    <w:rPr>
                      <w:rFonts w:ascii="Times New Roman" w:hAnsi="Times New Roman" w:eastAsia="宋体"/>
                      <w:color w:val="000000" w:themeColor="text1"/>
                      <w:spacing w:val="-4"/>
                    </w:rPr>
                  </w:pPr>
                  <w:r>
                    <w:rPr>
                      <w:rFonts w:ascii="Times New Roman" w:eastAsia="宋体"/>
                      <w:color w:val="000000" w:themeColor="text1"/>
                      <w:spacing w:val="-4"/>
                    </w:rPr>
                    <w:t>（</w:t>
                  </w:r>
                  <w:r>
                    <w:rPr>
                      <w:rFonts w:ascii="Times New Roman" w:hAnsi="Times New Roman" w:eastAsia="宋体"/>
                      <w:color w:val="000000" w:themeColor="text1"/>
                      <w:spacing w:val="-4"/>
                    </w:rPr>
                    <w:t>2</w:t>
                  </w:r>
                  <w:r>
                    <w:rPr>
                      <w:rFonts w:ascii="Times New Roman" w:hAnsi="宋体" w:eastAsia="宋体"/>
                      <w:color w:val="000000" w:themeColor="text1"/>
                      <w:spacing w:val="-4"/>
                    </w:rPr>
                    <w:t>）入区项目在单位产品水耗、能耗、污染物排放量等清洁生产指标应达到国内同类行业先进水平；</w:t>
                  </w:r>
                </w:p>
                <w:p>
                  <w:pPr>
                    <w:rPr>
                      <w:rFonts w:ascii="Times New Roman" w:hAnsi="Times New Roman" w:eastAsia="宋体"/>
                      <w:color w:val="000000" w:themeColor="text1"/>
                      <w:spacing w:val="-4"/>
                    </w:rPr>
                  </w:pPr>
                  <w:r>
                    <w:rPr>
                      <w:rFonts w:ascii="Times New Roman" w:eastAsia="宋体"/>
                      <w:color w:val="000000" w:themeColor="text1"/>
                      <w:spacing w:val="-4"/>
                    </w:rPr>
                    <w:t>（</w:t>
                  </w:r>
                  <w:r>
                    <w:rPr>
                      <w:rFonts w:ascii="Times New Roman" w:hAnsi="Times New Roman" w:eastAsia="宋体"/>
                      <w:color w:val="000000" w:themeColor="text1"/>
                      <w:spacing w:val="-4"/>
                    </w:rPr>
                    <w:t>3</w:t>
                  </w:r>
                  <w:r>
                    <w:rPr>
                      <w:rFonts w:ascii="Times New Roman" w:hAnsi="宋体" w:eastAsia="宋体"/>
                      <w:color w:val="000000" w:themeColor="text1"/>
                      <w:spacing w:val="-4"/>
                    </w:rPr>
                    <w:t>）限制高耗水、高耗能的工业企业入住园区；</w:t>
                  </w:r>
                </w:p>
                <w:p>
                  <w:pPr>
                    <w:rPr>
                      <w:rFonts w:ascii="Times New Roman" w:hAnsi="Times New Roman" w:eastAsia="宋体"/>
                      <w:color w:val="000000" w:themeColor="text1"/>
                      <w:spacing w:val="8"/>
                      <w:szCs w:val="21"/>
                    </w:rPr>
                  </w:pPr>
                  <w:r>
                    <w:rPr>
                      <w:rFonts w:ascii="Times New Roman" w:eastAsia="宋体"/>
                      <w:color w:val="000000" w:themeColor="text1"/>
                      <w:spacing w:val="-4"/>
                    </w:rPr>
                    <w:t>（</w:t>
                  </w:r>
                  <w:r>
                    <w:rPr>
                      <w:rFonts w:ascii="Times New Roman" w:hAnsi="Times New Roman" w:eastAsia="宋体"/>
                      <w:color w:val="000000" w:themeColor="text1"/>
                      <w:spacing w:val="-4"/>
                    </w:rPr>
                    <w:t>4</w:t>
                  </w:r>
                  <w:r>
                    <w:rPr>
                      <w:rFonts w:ascii="Times New Roman" w:hAnsi="宋体" w:eastAsia="宋体"/>
                      <w:color w:val="000000" w:themeColor="text1"/>
                      <w:spacing w:val="-4"/>
                    </w:rPr>
                    <w:t>）按照循环经济发展之路，评价建议能够与集聚区定位发展产业形成良好循环经济链条的项目可优先入园。</w:t>
                  </w:r>
                </w:p>
              </w:tc>
              <w:tc>
                <w:tcPr>
                  <w:tcW w:w="2531" w:type="dxa"/>
                  <w:tcBorders>
                    <w:top w:val="single" w:color="auto" w:sz="4" w:space="0"/>
                    <w:left w:val="nil"/>
                    <w:bottom w:val="single" w:color="auto" w:sz="4" w:space="0"/>
                    <w:right w:val="single" w:color="auto" w:sz="4" w:space="0"/>
                  </w:tcBorders>
                  <w:vAlign w:val="center"/>
                </w:tcPr>
                <w:p>
                  <w:pPr>
                    <w:rPr>
                      <w:rFonts w:ascii="Times New Roman" w:hAnsi="Times New Roman" w:eastAsia="宋体"/>
                      <w:color w:val="000000" w:themeColor="text1"/>
                    </w:rPr>
                  </w:pPr>
                  <w:r>
                    <w:rPr>
                      <w:rFonts w:ascii="Times New Roman" w:eastAsia="宋体"/>
                      <w:color w:val="000000" w:themeColor="text1"/>
                    </w:rPr>
                    <w:t>（</w:t>
                  </w:r>
                  <w:r>
                    <w:rPr>
                      <w:rFonts w:ascii="Times New Roman" w:hAnsi="Times New Roman" w:eastAsia="宋体"/>
                      <w:color w:val="000000" w:themeColor="text1"/>
                    </w:rPr>
                    <w:t>1</w:t>
                  </w:r>
                  <w:r>
                    <w:rPr>
                      <w:rFonts w:ascii="Times New Roman" w:hAnsi="宋体" w:eastAsia="宋体"/>
                      <w:color w:val="000000" w:themeColor="text1"/>
                    </w:rPr>
                    <w:t>）本项目使用原料和产品均为环境友好型物料。</w:t>
                  </w:r>
                </w:p>
                <w:p>
                  <w:pPr>
                    <w:rPr>
                      <w:rFonts w:ascii="Times New Roman" w:hAnsi="Times New Roman" w:eastAsia="宋体"/>
                      <w:color w:val="000000" w:themeColor="text1"/>
                      <w:spacing w:val="-4"/>
                    </w:rPr>
                  </w:pPr>
                  <w:r>
                    <w:rPr>
                      <w:rFonts w:ascii="Times New Roman" w:eastAsia="宋体"/>
                      <w:color w:val="000000" w:themeColor="text1"/>
                    </w:rPr>
                    <w:t>（</w:t>
                  </w:r>
                  <w:r>
                    <w:rPr>
                      <w:rFonts w:ascii="Times New Roman" w:hAnsi="Times New Roman" w:eastAsia="宋体"/>
                      <w:color w:val="000000" w:themeColor="text1"/>
                    </w:rPr>
                    <w:t>2</w:t>
                  </w:r>
                  <w:r>
                    <w:rPr>
                      <w:rFonts w:ascii="Times New Roman" w:hAnsi="宋体" w:eastAsia="宋体"/>
                      <w:color w:val="000000" w:themeColor="text1"/>
                    </w:rPr>
                    <w:t>）项目</w:t>
                  </w:r>
                  <w:r>
                    <w:rPr>
                      <w:rFonts w:hint="eastAsia" w:ascii="Times New Roman" w:hAnsi="宋体" w:eastAsia="宋体"/>
                      <w:color w:val="000000" w:themeColor="text1"/>
                    </w:rPr>
                    <w:t>无生产用水，</w:t>
                  </w:r>
                  <w:r>
                    <w:rPr>
                      <w:rFonts w:ascii="Times New Roman" w:eastAsia="宋体"/>
                      <w:color w:val="000000" w:themeColor="text1"/>
                      <w:spacing w:val="-4"/>
                    </w:rPr>
                    <w:t>单位产品能耗、污染物排放量等清洁生产指标均能达到国内同类行业先进水平。</w:t>
                  </w:r>
                </w:p>
                <w:p>
                  <w:pPr>
                    <w:rPr>
                      <w:rFonts w:ascii="Times New Roman" w:hAnsi="Times New Roman" w:eastAsia="宋体"/>
                      <w:color w:val="000000" w:themeColor="text1"/>
                      <w:spacing w:val="8"/>
                      <w:szCs w:val="21"/>
                    </w:rPr>
                  </w:pPr>
                  <w:r>
                    <w:rPr>
                      <w:rFonts w:ascii="Times New Roman" w:eastAsia="宋体"/>
                      <w:color w:val="000000" w:themeColor="text1"/>
                      <w:spacing w:val="-4"/>
                    </w:rPr>
                    <w:t>（</w:t>
                  </w:r>
                  <w:r>
                    <w:rPr>
                      <w:rFonts w:ascii="Times New Roman" w:hAnsi="Times New Roman" w:eastAsia="宋体"/>
                      <w:color w:val="000000" w:themeColor="text1"/>
                      <w:spacing w:val="-4"/>
                    </w:rPr>
                    <w:t>3</w:t>
                  </w:r>
                  <w:r>
                    <w:rPr>
                      <w:rFonts w:ascii="Times New Roman" w:hAnsi="宋体" w:eastAsia="宋体"/>
                      <w:color w:val="000000" w:themeColor="text1"/>
                      <w:spacing w:val="-4"/>
                    </w:rPr>
                    <w:t>）本项目不属于高耗水、高耗能工业。</w:t>
                  </w:r>
                </w:p>
              </w:tc>
              <w:tc>
                <w:tcPr>
                  <w:tcW w:w="927" w:type="dxa"/>
                  <w:tcBorders>
                    <w:top w:val="single" w:color="auto" w:sz="4" w:space="0"/>
                    <w:left w:val="nil"/>
                    <w:bottom w:val="single" w:color="auto" w:sz="4" w:space="0"/>
                    <w:right w:val="nil"/>
                  </w:tcBorders>
                  <w:vAlign w:val="center"/>
                </w:tcPr>
                <w:p>
                  <w:pPr>
                    <w:jc w:val="center"/>
                    <w:rPr>
                      <w:rFonts w:ascii="Times New Roman" w:hAnsi="Times New Roman" w:eastAsia="宋体"/>
                      <w:color w:val="000000" w:themeColor="text1"/>
                      <w:spacing w:val="8"/>
                      <w:szCs w:val="21"/>
                    </w:rPr>
                  </w:pPr>
                  <w:r>
                    <w:rPr>
                      <w:rFonts w:ascii="Times New Roman" w:eastAsia="宋体"/>
                      <w:color w:val="000000" w:themeColor="text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5" w:type="dxa"/>
                  <w:tcBorders>
                    <w:top w:val="single" w:color="auto" w:sz="4" w:space="0"/>
                    <w:left w:val="nil"/>
                    <w:bottom w:val="single" w:color="auto" w:sz="4" w:space="0"/>
                    <w:right w:val="single" w:color="auto" w:sz="4" w:space="0"/>
                  </w:tcBorders>
                  <w:vAlign w:val="center"/>
                </w:tcPr>
                <w:p>
                  <w:pPr>
                    <w:rPr>
                      <w:rFonts w:ascii="Times New Roman" w:hAnsi="Times New Roman" w:eastAsia="宋体"/>
                      <w:color w:val="000000" w:themeColor="text1"/>
                      <w:szCs w:val="21"/>
                    </w:rPr>
                  </w:pPr>
                  <w:r>
                    <w:rPr>
                      <w:rFonts w:ascii="Times New Roman" w:eastAsia="宋体"/>
                      <w:color w:val="000000" w:themeColor="text1"/>
                    </w:rPr>
                    <w:t>污染物排放总量控制</w:t>
                  </w:r>
                </w:p>
              </w:tc>
              <w:tc>
                <w:tcPr>
                  <w:tcW w:w="4793" w:type="dxa"/>
                  <w:tcBorders>
                    <w:top w:val="single" w:color="auto" w:sz="4" w:space="0"/>
                    <w:left w:val="nil"/>
                    <w:bottom w:val="single" w:color="auto" w:sz="4" w:space="0"/>
                    <w:right w:val="single" w:color="auto" w:sz="4" w:space="0"/>
                  </w:tcBorders>
                  <w:vAlign w:val="center"/>
                </w:tcPr>
                <w:p>
                  <w:pPr>
                    <w:rPr>
                      <w:rFonts w:ascii="Times New Roman" w:hAnsi="Times New Roman" w:eastAsia="宋体"/>
                      <w:color w:val="000000" w:themeColor="text1"/>
                    </w:rPr>
                  </w:pPr>
                  <w:r>
                    <w:rPr>
                      <w:rFonts w:ascii="Times New Roman" w:eastAsia="宋体"/>
                      <w:color w:val="000000" w:themeColor="text1"/>
                    </w:rPr>
                    <w:t>（</w:t>
                  </w:r>
                  <w:r>
                    <w:rPr>
                      <w:rFonts w:ascii="Times New Roman" w:hAnsi="Times New Roman" w:eastAsia="宋体"/>
                      <w:color w:val="000000" w:themeColor="text1"/>
                    </w:rPr>
                    <w:t>1</w:t>
                  </w:r>
                  <w:r>
                    <w:rPr>
                      <w:rFonts w:ascii="Times New Roman" w:hAnsi="宋体" w:eastAsia="宋体"/>
                      <w:color w:val="000000" w:themeColor="text1"/>
                    </w:rPr>
                    <w:t>）新建项目的污染物排放指标必须满足区域总量要求；</w:t>
                  </w:r>
                </w:p>
                <w:p>
                  <w:pPr>
                    <w:rPr>
                      <w:rFonts w:ascii="Times New Roman" w:hAnsi="Times New Roman" w:eastAsia="宋体"/>
                      <w:color w:val="000000" w:themeColor="text1"/>
                    </w:rPr>
                  </w:pPr>
                  <w:r>
                    <w:rPr>
                      <w:rFonts w:ascii="Times New Roman" w:eastAsia="宋体"/>
                      <w:color w:val="000000" w:themeColor="text1"/>
                    </w:rPr>
                    <w:t>（</w:t>
                  </w:r>
                  <w:r>
                    <w:rPr>
                      <w:rFonts w:ascii="Times New Roman" w:hAnsi="Times New Roman" w:eastAsia="宋体"/>
                      <w:color w:val="000000" w:themeColor="text1"/>
                    </w:rPr>
                    <w:t>2</w:t>
                  </w:r>
                  <w:r>
                    <w:rPr>
                      <w:rFonts w:ascii="Times New Roman" w:hAnsi="宋体" w:eastAsia="宋体"/>
                      <w:color w:val="000000" w:themeColor="text1"/>
                    </w:rPr>
                    <w:t>）禁止发展环境污染严重、无污染治理技术或治理技术在技术经济上不可行的项目；</w:t>
                  </w:r>
                </w:p>
                <w:p>
                  <w:pPr>
                    <w:rPr>
                      <w:rFonts w:ascii="Times New Roman" w:hAnsi="Times New Roman" w:eastAsia="宋体"/>
                      <w:color w:val="000000" w:themeColor="text1"/>
                      <w:szCs w:val="21"/>
                    </w:rPr>
                  </w:pPr>
                  <w:r>
                    <w:rPr>
                      <w:rFonts w:ascii="Times New Roman" w:eastAsia="宋体"/>
                      <w:color w:val="000000" w:themeColor="text1"/>
                    </w:rPr>
                    <w:t>（</w:t>
                  </w:r>
                  <w:r>
                    <w:rPr>
                      <w:rFonts w:ascii="Times New Roman" w:hAnsi="Times New Roman" w:eastAsia="宋体"/>
                      <w:color w:val="000000" w:themeColor="text1"/>
                    </w:rPr>
                    <w:t>3</w:t>
                  </w:r>
                  <w:r>
                    <w:rPr>
                      <w:rFonts w:ascii="Times New Roman" w:hAnsi="宋体" w:eastAsia="宋体"/>
                      <w:color w:val="000000" w:themeColor="text1"/>
                    </w:rPr>
                    <w:t>）新建项目的大气污染物处理达到相关行业标准或大气污染物综合排放标准后方可排放，水污染物排放应达到相关行业标准或水污染物综合排放标准后才能进入集聚区污水处理厂。</w:t>
                  </w:r>
                </w:p>
              </w:tc>
              <w:tc>
                <w:tcPr>
                  <w:tcW w:w="2531" w:type="dxa"/>
                  <w:tcBorders>
                    <w:top w:val="single" w:color="auto" w:sz="4" w:space="0"/>
                    <w:left w:val="nil"/>
                    <w:bottom w:val="single" w:color="auto" w:sz="4" w:space="0"/>
                    <w:right w:val="single" w:color="auto" w:sz="4" w:space="0"/>
                  </w:tcBorders>
                  <w:vAlign w:val="center"/>
                </w:tcPr>
                <w:p>
                  <w:pPr>
                    <w:rPr>
                      <w:rFonts w:ascii="Times New Roman" w:hAnsi="Times New Roman" w:eastAsia="宋体"/>
                      <w:color w:val="000000" w:themeColor="text1"/>
                    </w:rPr>
                  </w:pPr>
                  <w:r>
                    <w:rPr>
                      <w:rFonts w:ascii="Times New Roman" w:eastAsia="宋体"/>
                      <w:color w:val="000000" w:themeColor="text1"/>
                    </w:rPr>
                    <w:t>（</w:t>
                  </w:r>
                  <w:r>
                    <w:rPr>
                      <w:rFonts w:ascii="Times New Roman" w:hAnsi="Times New Roman" w:eastAsia="宋体"/>
                      <w:color w:val="000000" w:themeColor="text1"/>
                    </w:rPr>
                    <w:t>1</w:t>
                  </w:r>
                  <w:r>
                    <w:rPr>
                      <w:rFonts w:ascii="Times New Roman" w:hAnsi="宋体" w:eastAsia="宋体"/>
                      <w:color w:val="000000" w:themeColor="text1"/>
                    </w:rPr>
                    <w:t>）本项目为扩建项目，</w:t>
                  </w:r>
                  <w:r>
                    <w:rPr>
                      <w:rFonts w:hint="eastAsia" w:ascii="Times New Roman" w:eastAsia="宋体"/>
                      <w:color w:val="000000" w:themeColor="text1"/>
                    </w:rPr>
                    <w:t>无生产废水产生，</w:t>
                  </w:r>
                  <w:r>
                    <w:rPr>
                      <w:rFonts w:hint="eastAsia" w:ascii="Times New Roman" w:eastAsia="宋体"/>
                      <w:color w:val="000000" w:themeColor="text1"/>
                      <w:szCs w:val="21"/>
                    </w:rPr>
                    <w:t>本项目利用原有职工，不新增职工人数，不新增生活污水</w:t>
                  </w:r>
                  <w:r>
                    <w:rPr>
                      <w:rFonts w:ascii="Times New Roman" w:eastAsia="宋体"/>
                      <w:color w:val="000000" w:themeColor="text1"/>
                    </w:rPr>
                    <w:t>。</w:t>
                  </w:r>
                </w:p>
                <w:p>
                  <w:pPr>
                    <w:rPr>
                      <w:rFonts w:ascii="Times New Roman" w:hAnsi="Times New Roman" w:eastAsia="宋体"/>
                      <w:color w:val="000000" w:themeColor="text1"/>
                      <w:szCs w:val="21"/>
                    </w:rPr>
                  </w:pPr>
                  <w:r>
                    <w:rPr>
                      <w:rFonts w:ascii="Times New Roman" w:eastAsia="宋体"/>
                      <w:color w:val="000000" w:themeColor="text1"/>
                    </w:rPr>
                    <w:t>（</w:t>
                  </w:r>
                  <w:r>
                    <w:rPr>
                      <w:rFonts w:ascii="Times New Roman" w:hAnsi="Times New Roman" w:eastAsia="宋体"/>
                      <w:color w:val="000000" w:themeColor="text1"/>
                    </w:rPr>
                    <w:t>2</w:t>
                  </w:r>
                  <w:r>
                    <w:rPr>
                      <w:rFonts w:ascii="Times New Roman" w:hAnsi="宋体" w:eastAsia="宋体"/>
                      <w:color w:val="000000" w:themeColor="text1"/>
                    </w:rPr>
                    <w:t>）本项目环境污染较小，技术经济上可行。</w:t>
                  </w:r>
                </w:p>
              </w:tc>
              <w:tc>
                <w:tcPr>
                  <w:tcW w:w="927" w:type="dxa"/>
                  <w:tcBorders>
                    <w:top w:val="single" w:color="auto" w:sz="4" w:space="0"/>
                    <w:left w:val="nil"/>
                    <w:bottom w:val="single" w:color="auto" w:sz="4" w:space="0"/>
                    <w:right w:val="nil"/>
                  </w:tcBorders>
                  <w:vAlign w:val="center"/>
                </w:tcPr>
                <w:p>
                  <w:pPr>
                    <w:jc w:val="center"/>
                    <w:rPr>
                      <w:rFonts w:ascii="Times New Roman" w:hAnsi="Times New Roman" w:eastAsia="宋体"/>
                      <w:color w:val="000000" w:themeColor="text1"/>
                      <w:szCs w:val="21"/>
                    </w:rPr>
                  </w:pPr>
                  <w:r>
                    <w:rPr>
                      <w:rFonts w:ascii="Times New Roman" w:eastAsia="宋体"/>
                      <w:color w:val="000000" w:themeColor="text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5" w:type="dxa"/>
                  <w:tcBorders>
                    <w:top w:val="single" w:color="auto" w:sz="4" w:space="0"/>
                    <w:left w:val="nil"/>
                    <w:bottom w:val="single" w:color="auto" w:sz="8" w:space="0"/>
                    <w:right w:val="single" w:color="auto" w:sz="4" w:space="0"/>
                  </w:tcBorders>
                  <w:vAlign w:val="center"/>
                </w:tcPr>
                <w:p>
                  <w:pPr>
                    <w:rPr>
                      <w:rFonts w:ascii="Times New Roman" w:hAnsi="Times New Roman" w:eastAsia="宋体"/>
                      <w:color w:val="000000" w:themeColor="text1"/>
                      <w:szCs w:val="21"/>
                    </w:rPr>
                  </w:pPr>
                  <w:r>
                    <w:rPr>
                      <w:rFonts w:ascii="Times New Roman" w:eastAsia="宋体"/>
                      <w:color w:val="000000" w:themeColor="text1"/>
                    </w:rPr>
                    <w:t>土地利用</w:t>
                  </w:r>
                </w:p>
              </w:tc>
              <w:tc>
                <w:tcPr>
                  <w:tcW w:w="4793" w:type="dxa"/>
                  <w:tcBorders>
                    <w:top w:val="single" w:color="auto" w:sz="4" w:space="0"/>
                    <w:left w:val="nil"/>
                    <w:bottom w:val="single" w:color="auto" w:sz="8" w:space="0"/>
                    <w:right w:val="single" w:color="auto" w:sz="4" w:space="0"/>
                  </w:tcBorders>
                  <w:vAlign w:val="center"/>
                </w:tcPr>
                <w:p>
                  <w:pPr>
                    <w:rPr>
                      <w:rFonts w:ascii="Times New Roman" w:hAnsi="Times New Roman" w:eastAsia="宋体"/>
                      <w:color w:val="000000" w:themeColor="text1"/>
                    </w:rPr>
                  </w:pPr>
                  <w:r>
                    <w:rPr>
                      <w:rFonts w:ascii="Times New Roman" w:eastAsia="宋体"/>
                      <w:color w:val="000000" w:themeColor="text1"/>
                    </w:rPr>
                    <w:t>（</w:t>
                  </w:r>
                  <w:r>
                    <w:rPr>
                      <w:rFonts w:ascii="Times New Roman" w:hAnsi="Times New Roman" w:eastAsia="宋体"/>
                      <w:color w:val="000000" w:themeColor="text1"/>
                    </w:rPr>
                    <w:t>1</w:t>
                  </w:r>
                  <w:r>
                    <w:rPr>
                      <w:rFonts w:ascii="Times New Roman" w:hAnsi="宋体" w:eastAsia="宋体"/>
                      <w:color w:val="000000" w:themeColor="text1"/>
                    </w:rPr>
                    <w:t>）入园项目必须达到《河南省工业项目建设用地控制指标》要求；</w:t>
                  </w:r>
                </w:p>
                <w:p>
                  <w:pPr>
                    <w:rPr>
                      <w:rFonts w:ascii="Times New Roman" w:hAnsi="Times New Roman" w:eastAsia="宋体"/>
                      <w:color w:val="000000" w:themeColor="text1"/>
                    </w:rPr>
                  </w:pPr>
                  <w:r>
                    <w:rPr>
                      <w:rFonts w:ascii="Times New Roman" w:eastAsia="宋体"/>
                      <w:color w:val="000000" w:themeColor="text1"/>
                    </w:rPr>
                    <w:t>（</w:t>
                  </w:r>
                  <w:r>
                    <w:rPr>
                      <w:rFonts w:ascii="Times New Roman" w:hAnsi="Times New Roman" w:eastAsia="宋体"/>
                      <w:color w:val="000000" w:themeColor="text1"/>
                    </w:rPr>
                    <w:t>2</w:t>
                  </w:r>
                  <w:r>
                    <w:rPr>
                      <w:rFonts w:ascii="Times New Roman" w:hAnsi="宋体" w:eastAsia="宋体"/>
                      <w:color w:val="000000" w:themeColor="text1"/>
                    </w:rPr>
                    <w:t>）入园项目用地必须符合集聚区土地利用规划要求。</w:t>
                  </w:r>
                </w:p>
                <w:p>
                  <w:pPr>
                    <w:rPr>
                      <w:rFonts w:ascii="Times New Roman" w:hAnsi="Times New Roman" w:eastAsia="宋体"/>
                      <w:color w:val="000000" w:themeColor="text1"/>
                      <w:szCs w:val="21"/>
                    </w:rPr>
                  </w:pPr>
                  <w:r>
                    <w:rPr>
                      <w:rFonts w:ascii="Times New Roman" w:eastAsia="宋体"/>
                      <w:color w:val="000000" w:themeColor="text1"/>
                    </w:rPr>
                    <w:t>（</w:t>
                  </w:r>
                  <w:r>
                    <w:rPr>
                      <w:rFonts w:ascii="Times New Roman" w:hAnsi="Times New Roman" w:eastAsia="宋体"/>
                      <w:color w:val="000000" w:themeColor="text1"/>
                    </w:rPr>
                    <w:t>3</w:t>
                  </w:r>
                  <w:r>
                    <w:rPr>
                      <w:rFonts w:ascii="Times New Roman" w:hAnsi="宋体" w:eastAsia="宋体"/>
                      <w:color w:val="000000" w:themeColor="text1"/>
                    </w:rPr>
                    <w:t>）入园项目必须符合园区产业布局要求。</w:t>
                  </w:r>
                </w:p>
              </w:tc>
              <w:tc>
                <w:tcPr>
                  <w:tcW w:w="2531" w:type="dxa"/>
                  <w:tcBorders>
                    <w:top w:val="single" w:color="auto" w:sz="4" w:space="0"/>
                    <w:left w:val="nil"/>
                    <w:bottom w:val="single" w:color="auto" w:sz="8" w:space="0"/>
                    <w:right w:val="single" w:color="auto" w:sz="4" w:space="0"/>
                  </w:tcBorders>
                  <w:vAlign w:val="center"/>
                </w:tcPr>
                <w:p>
                  <w:pPr>
                    <w:rPr>
                      <w:rFonts w:ascii="Times New Roman" w:hAnsi="Times New Roman" w:eastAsia="宋体"/>
                      <w:color w:val="000000" w:themeColor="text1"/>
                    </w:rPr>
                  </w:pPr>
                  <w:r>
                    <w:rPr>
                      <w:rFonts w:ascii="Times New Roman" w:eastAsia="宋体"/>
                      <w:color w:val="000000" w:themeColor="text1"/>
                    </w:rPr>
                    <w:t>（</w:t>
                  </w:r>
                  <w:r>
                    <w:rPr>
                      <w:rFonts w:ascii="Times New Roman" w:hAnsi="Times New Roman" w:eastAsia="宋体"/>
                      <w:color w:val="000000" w:themeColor="text1"/>
                    </w:rPr>
                    <w:t>1</w:t>
                  </w:r>
                  <w:r>
                    <w:rPr>
                      <w:rFonts w:ascii="Times New Roman" w:hAnsi="宋体" w:eastAsia="宋体"/>
                      <w:color w:val="000000" w:themeColor="text1"/>
                    </w:rPr>
                    <w:t>）达到《河南省工业项目建设用地控制指标》要求；</w:t>
                  </w:r>
                </w:p>
                <w:p>
                  <w:pPr>
                    <w:rPr>
                      <w:rFonts w:ascii="Times New Roman" w:hAnsi="Times New Roman" w:eastAsia="宋体"/>
                      <w:color w:val="000000" w:themeColor="text1"/>
                    </w:rPr>
                  </w:pPr>
                  <w:r>
                    <w:rPr>
                      <w:rFonts w:ascii="Times New Roman" w:eastAsia="宋体"/>
                      <w:color w:val="000000" w:themeColor="text1"/>
                    </w:rPr>
                    <w:t>（</w:t>
                  </w:r>
                  <w:r>
                    <w:rPr>
                      <w:rFonts w:ascii="Times New Roman" w:hAnsi="Times New Roman" w:eastAsia="宋体"/>
                      <w:color w:val="000000" w:themeColor="text1"/>
                    </w:rPr>
                    <w:t>2</w:t>
                  </w:r>
                  <w:r>
                    <w:rPr>
                      <w:rFonts w:ascii="Times New Roman" w:hAnsi="宋体" w:eastAsia="宋体"/>
                      <w:color w:val="000000" w:themeColor="text1"/>
                    </w:rPr>
                    <w:t>）项目所在地为工业用地，符合集聚区土地利用规划要求。</w:t>
                  </w:r>
                </w:p>
                <w:p>
                  <w:pPr>
                    <w:rPr>
                      <w:rFonts w:ascii="Times New Roman" w:hAnsi="Times New Roman" w:eastAsia="宋体"/>
                      <w:color w:val="000000" w:themeColor="text1"/>
                      <w:szCs w:val="21"/>
                    </w:rPr>
                  </w:pPr>
                  <w:r>
                    <w:rPr>
                      <w:rFonts w:ascii="Times New Roman" w:eastAsia="宋体"/>
                      <w:color w:val="000000" w:themeColor="text1"/>
                    </w:rPr>
                    <w:t>（</w:t>
                  </w:r>
                  <w:r>
                    <w:rPr>
                      <w:rFonts w:ascii="Times New Roman" w:hAnsi="Times New Roman" w:eastAsia="宋体"/>
                      <w:color w:val="000000" w:themeColor="text1"/>
                    </w:rPr>
                    <w:t>3</w:t>
                  </w:r>
                  <w:r>
                    <w:rPr>
                      <w:rFonts w:ascii="Times New Roman" w:hAnsi="宋体" w:eastAsia="宋体"/>
                      <w:color w:val="000000" w:themeColor="text1"/>
                    </w:rPr>
                    <w:t>）项目符合园区产业布局要求。</w:t>
                  </w:r>
                </w:p>
              </w:tc>
              <w:tc>
                <w:tcPr>
                  <w:tcW w:w="927" w:type="dxa"/>
                  <w:tcBorders>
                    <w:top w:val="single" w:color="auto" w:sz="4" w:space="0"/>
                    <w:left w:val="nil"/>
                    <w:bottom w:val="single" w:color="auto" w:sz="8" w:space="0"/>
                    <w:right w:val="nil"/>
                  </w:tcBorders>
                  <w:vAlign w:val="center"/>
                </w:tcPr>
                <w:p>
                  <w:pPr>
                    <w:jc w:val="center"/>
                    <w:rPr>
                      <w:rFonts w:ascii="Times New Roman" w:hAnsi="Times New Roman" w:eastAsia="宋体"/>
                      <w:color w:val="000000" w:themeColor="text1"/>
                      <w:szCs w:val="21"/>
                    </w:rPr>
                  </w:pPr>
                  <w:r>
                    <w:rPr>
                      <w:rFonts w:ascii="Times New Roman" w:eastAsia="宋体"/>
                      <w:color w:val="000000" w:themeColor="text1"/>
                    </w:rPr>
                    <w:t>相符</w:t>
                  </w:r>
                </w:p>
              </w:tc>
            </w:tr>
          </w:tbl>
          <w:p>
            <w:pPr>
              <w:spacing w:line="520" w:lineRule="exact"/>
              <w:jc w:val="center"/>
              <w:rPr>
                <w:rFonts w:ascii="Times New Roman" w:hAnsi="Times New Roman" w:eastAsia="宋体" w:cs="黑体"/>
                <w:b/>
                <w:bCs/>
                <w:color w:val="000000" w:themeColor="text1"/>
                <w:sz w:val="24"/>
              </w:rPr>
            </w:pPr>
            <w:r>
              <w:rPr>
                <w:rFonts w:hint="eastAsia" w:ascii="Times New Roman" w:eastAsia="宋体" w:cs="黑体"/>
                <w:b/>
                <w:bCs/>
                <w:color w:val="000000" w:themeColor="text1"/>
                <w:sz w:val="24"/>
              </w:rPr>
              <w:t>表</w:t>
            </w:r>
            <w:r>
              <w:rPr>
                <w:rFonts w:hint="eastAsia" w:ascii="Times New Roman" w:hAnsi="Times New Roman" w:eastAsia="宋体" w:cs="黑体"/>
                <w:b/>
                <w:bCs/>
                <w:color w:val="000000" w:themeColor="text1"/>
                <w:sz w:val="24"/>
              </w:rPr>
              <w:t xml:space="preserve">13    </w:t>
            </w:r>
            <w:r>
              <w:rPr>
                <w:rFonts w:hint="eastAsia" w:ascii="Times New Roman" w:eastAsia="宋体" w:cs="黑体"/>
                <w:b/>
                <w:bCs/>
                <w:color w:val="000000" w:themeColor="text1"/>
                <w:sz w:val="24"/>
              </w:rPr>
              <w:t>集聚区产业发展正面清单（优先发展项目）一览表</w:t>
            </w:r>
          </w:p>
          <w:tbl>
            <w:tblPr>
              <w:tblStyle w:val="24"/>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85" w:type="dxa"/>
                <w:left w:w="57" w:type="dxa"/>
                <w:bottom w:w="85" w:type="dxa"/>
                <w:right w:w="57" w:type="dxa"/>
              </w:tblCellMar>
            </w:tblPr>
            <w:tblGrid>
              <w:gridCol w:w="637"/>
              <w:gridCol w:w="1192"/>
              <w:gridCol w:w="913"/>
              <w:gridCol w:w="4274"/>
              <w:gridCol w:w="2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397" w:hRule="atLeast"/>
                <w:jc w:val="center"/>
              </w:trPr>
              <w:tc>
                <w:tcPr>
                  <w:tcW w:w="634" w:type="dxa"/>
                  <w:tcBorders>
                    <w:top w:val="single" w:color="auto" w:sz="8" w:space="0"/>
                    <w:left w:val="nil"/>
                    <w:bottom w:val="single" w:color="auto" w:sz="8" w:space="0"/>
                    <w:right w:val="single" w:color="auto" w:sz="4" w:space="0"/>
                  </w:tcBorders>
                  <w:vAlign w:val="center"/>
                </w:tcPr>
                <w:p>
                  <w:pPr>
                    <w:pStyle w:val="5"/>
                    <w:autoSpaceDE w:val="0"/>
                    <w:contextualSpacing/>
                    <w:jc w:val="center"/>
                    <w:rPr>
                      <w:rFonts w:ascii="Times New Roman" w:hAnsi="Times New Roman"/>
                      <w:b/>
                      <w:bCs/>
                      <w:color w:val="000000" w:themeColor="text1"/>
                      <w:sz w:val="21"/>
                      <w:szCs w:val="21"/>
                    </w:rPr>
                  </w:pPr>
                  <w:r>
                    <w:rPr>
                      <w:rFonts w:ascii="Times New Roman"/>
                      <w:b/>
                      <w:bCs/>
                      <w:color w:val="000000" w:themeColor="text1"/>
                      <w:sz w:val="21"/>
                      <w:szCs w:val="21"/>
                    </w:rPr>
                    <w:t>序号</w:t>
                  </w:r>
                </w:p>
              </w:tc>
              <w:tc>
                <w:tcPr>
                  <w:tcW w:w="1186" w:type="dxa"/>
                  <w:tcBorders>
                    <w:top w:val="single" w:color="auto" w:sz="8" w:space="0"/>
                    <w:left w:val="nil"/>
                    <w:bottom w:val="single" w:color="auto" w:sz="8" w:space="0"/>
                    <w:right w:val="single" w:color="auto" w:sz="4" w:space="0"/>
                  </w:tcBorders>
                  <w:vAlign w:val="center"/>
                </w:tcPr>
                <w:p>
                  <w:pPr>
                    <w:pStyle w:val="5"/>
                    <w:autoSpaceDE w:val="0"/>
                    <w:contextualSpacing/>
                    <w:jc w:val="center"/>
                    <w:rPr>
                      <w:rFonts w:ascii="Times New Roman" w:hAnsi="Times New Roman"/>
                      <w:b/>
                      <w:bCs/>
                      <w:color w:val="000000" w:themeColor="text1"/>
                      <w:sz w:val="21"/>
                      <w:szCs w:val="21"/>
                    </w:rPr>
                  </w:pPr>
                  <w:r>
                    <w:rPr>
                      <w:rFonts w:ascii="Times New Roman"/>
                      <w:b/>
                      <w:bCs/>
                      <w:color w:val="000000" w:themeColor="text1"/>
                      <w:sz w:val="21"/>
                      <w:szCs w:val="21"/>
                    </w:rPr>
                    <w:t>要求</w:t>
                  </w:r>
                </w:p>
              </w:tc>
              <w:tc>
                <w:tcPr>
                  <w:tcW w:w="908" w:type="dxa"/>
                  <w:tcBorders>
                    <w:top w:val="single" w:color="auto" w:sz="8" w:space="0"/>
                    <w:left w:val="nil"/>
                    <w:bottom w:val="single" w:color="auto" w:sz="8" w:space="0"/>
                    <w:right w:val="single" w:color="auto" w:sz="4" w:space="0"/>
                  </w:tcBorders>
                  <w:vAlign w:val="center"/>
                </w:tcPr>
                <w:p>
                  <w:pPr>
                    <w:pStyle w:val="5"/>
                    <w:autoSpaceDE w:val="0"/>
                    <w:contextualSpacing/>
                    <w:jc w:val="center"/>
                    <w:rPr>
                      <w:rFonts w:ascii="Times New Roman" w:hAnsi="Times New Roman"/>
                      <w:b/>
                      <w:bCs/>
                      <w:color w:val="000000" w:themeColor="text1"/>
                      <w:sz w:val="21"/>
                      <w:szCs w:val="21"/>
                    </w:rPr>
                  </w:pPr>
                  <w:r>
                    <w:rPr>
                      <w:rFonts w:ascii="Times New Roman"/>
                      <w:b/>
                      <w:bCs/>
                      <w:color w:val="000000" w:themeColor="text1"/>
                      <w:sz w:val="21"/>
                      <w:szCs w:val="21"/>
                    </w:rPr>
                    <w:t>行业</w:t>
                  </w:r>
                </w:p>
              </w:tc>
              <w:tc>
                <w:tcPr>
                  <w:tcW w:w="4252" w:type="dxa"/>
                  <w:tcBorders>
                    <w:top w:val="single" w:color="auto" w:sz="8" w:space="0"/>
                    <w:left w:val="nil"/>
                    <w:bottom w:val="single" w:color="auto" w:sz="8" w:space="0"/>
                    <w:right w:val="single" w:color="auto" w:sz="4" w:space="0"/>
                  </w:tcBorders>
                  <w:vAlign w:val="center"/>
                </w:tcPr>
                <w:p>
                  <w:pPr>
                    <w:pStyle w:val="5"/>
                    <w:autoSpaceDE w:val="0"/>
                    <w:contextualSpacing/>
                    <w:jc w:val="center"/>
                    <w:rPr>
                      <w:rFonts w:ascii="Times New Roman" w:hAnsi="Times New Roman"/>
                      <w:b/>
                      <w:bCs/>
                      <w:color w:val="000000" w:themeColor="text1"/>
                      <w:sz w:val="21"/>
                      <w:szCs w:val="21"/>
                    </w:rPr>
                  </w:pPr>
                  <w:r>
                    <w:rPr>
                      <w:rFonts w:ascii="Times New Roman"/>
                      <w:b/>
                      <w:bCs/>
                      <w:color w:val="000000" w:themeColor="text1"/>
                      <w:sz w:val="21"/>
                      <w:szCs w:val="21"/>
                    </w:rPr>
                    <w:t>优先发展内容</w:t>
                  </w:r>
                </w:p>
              </w:tc>
              <w:tc>
                <w:tcPr>
                  <w:tcW w:w="2046" w:type="dxa"/>
                  <w:tcBorders>
                    <w:top w:val="single" w:color="auto" w:sz="8" w:space="0"/>
                    <w:left w:val="nil"/>
                    <w:bottom w:val="single" w:color="auto" w:sz="8" w:space="0"/>
                    <w:right w:val="nil"/>
                  </w:tcBorders>
                  <w:vAlign w:val="center"/>
                </w:tcPr>
                <w:p>
                  <w:pPr>
                    <w:pStyle w:val="5"/>
                    <w:autoSpaceDE w:val="0"/>
                    <w:contextualSpacing/>
                    <w:jc w:val="center"/>
                    <w:rPr>
                      <w:rFonts w:ascii="Times New Roman" w:hAnsi="Times New Roman"/>
                      <w:b/>
                      <w:bCs/>
                      <w:color w:val="000000" w:themeColor="text1"/>
                      <w:sz w:val="21"/>
                      <w:szCs w:val="21"/>
                    </w:rPr>
                  </w:pPr>
                  <w:r>
                    <w:rPr>
                      <w:rFonts w:ascii="Times New Roman"/>
                      <w:b/>
                      <w:bCs/>
                      <w:color w:val="000000" w:themeColor="text1"/>
                      <w:sz w:val="21"/>
                      <w:szCs w:val="21"/>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397" w:hRule="atLeast"/>
                <w:jc w:val="center"/>
              </w:trPr>
              <w:tc>
                <w:tcPr>
                  <w:tcW w:w="634" w:type="dxa"/>
                  <w:tcBorders>
                    <w:top w:val="single" w:color="auto" w:sz="8" w:space="0"/>
                    <w:left w:val="nil"/>
                    <w:bottom w:val="single" w:color="auto" w:sz="4" w:space="0"/>
                    <w:right w:val="single" w:color="auto" w:sz="4" w:space="0"/>
                  </w:tcBorders>
                  <w:vAlign w:val="center"/>
                </w:tcPr>
                <w:p>
                  <w:pPr>
                    <w:pStyle w:val="5"/>
                    <w:autoSpaceDE w:val="0"/>
                    <w:contextualSpacing/>
                    <w:jc w:val="center"/>
                    <w:rPr>
                      <w:rFonts w:ascii="Times New Roman" w:hAnsi="Times New Roman"/>
                      <w:color w:val="000000" w:themeColor="text1"/>
                      <w:sz w:val="21"/>
                      <w:szCs w:val="21"/>
                    </w:rPr>
                  </w:pPr>
                  <w:r>
                    <w:rPr>
                      <w:rFonts w:ascii="Times New Roman" w:hAnsi="Times New Roman"/>
                      <w:color w:val="000000" w:themeColor="text1"/>
                      <w:sz w:val="21"/>
                      <w:szCs w:val="21"/>
                    </w:rPr>
                    <w:t>1</w:t>
                  </w:r>
                </w:p>
              </w:tc>
              <w:tc>
                <w:tcPr>
                  <w:tcW w:w="1186" w:type="dxa"/>
                  <w:vMerge w:val="restart"/>
                  <w:tcBorders>
                    <w:top w:val="single" w:color="auto" w:sz="8" w:space="0"/>
                    <w:left w:val="nil"/>
                    <w:right w:val="single" w:color="auto" w:sz="4" w:space="0"/>
                  </w:tcBorders>
                  <w:vAlign w:val="center"/>
                </w:tcPr>
                <w:p>
                  <w:pPr>
                    <w:pStyle w:val="5"/>
                    <w:autoSpaceDE w:val="0"/>
                    <w:contextualSpacing/>
                    <w:jc w:val="center"/>
                    <w:rPr>
                      <w:rFonts w:ascii="Times New Roman" w:hAnsi="Times New Roman"/>
                      <w:color w:val="000000" w:themeColor="text1"/>
                      <w:sz w:val="21"/>
                      <w:szCs w:val="21"/>
                    </w:rPr>
                  </w:pPr>
                  <w:r>
                    <w:rPr>
                      <w:rFonts w:ascii="Times New Roman"/>
                      <w:color w:val="000000" w:themeColor="text1"/>
                      <w:sz w:val="21"/>
                      <w:szCs w:val="21"/>
                    </w:rPr>
                    <w:t>符合集聚区产业定位，符合国家政策，不属于淘汰类和限制类工艺，能耗少、污染物产生量小</w:t>
                  </w:r>
                </w:p>
              </w:tc>
              <w:tc>
                <w:tcPr>
                  <w:tcW w:w="908" w:type="dxa"/>
                  <w:tcBorders>
                    <w:top w:val="single" w:color="auto" w:sz="8" w:space="0"/>
                    <w:left w:val="nil"/>
                    <w:bottom w:val="single" w:color="auto" w:sz="4" w:space="0"/>
                    <w:right w:val="single" w:color="auto" w:sz="4" w:space="0"/>
                  </w:tcBorders>
                  <w:vAlign w:val="center"/>
                </w:tcPr>
                <w:p>
                  <w:pPr>
                    <w:pStyle w:val="5"/>
                    <w:autoSpaceDE w:val="0"/>
                    <w:contextualSpacing/>
                    <w:jc w:val="center"/>
                    <w:rPr>
                      <w:rFonts w:ascii="Times New Roman" w:hAnsi="Times New Roman"/>
                      <w:color w:val="000000" w:themeColor="text1"/>
                      <w:sz w:val="21"/>
                      <w:szCs w:val="21"/>
                    </w:rPr>
                  </w:pPr>
                  <w:r>
                    <w:rPr>
                      <w:rFonts w:ascii="Times New Roman"/>
                      <w:color w:val="000000" w:themeColor="text1"/>
                      <w:sz w:val="21"/>
                      <w:szCs w:val="21"/>
                    </w:rPr>
                    <w:t>化工</w:t>
                  </w:r>
                </w:p>
              </w:tc>
              <w:tc>
                <w:tcPr>
                  <w:tcW w:w="4252" w:type="dxa"/>
                  <w:tcBorders>
                    <w:top w:val="single" w:color="auto" w:sz="8" w:space="0"/>
                    <w:left w:val="nil"/>
                    <w:bottom w:val="single" w:color="auto" w:sz="4" w:space="0"/>
                    <w:right w:val="single" w:color="auto" w:sz="4" w:space="0"/>
                  </w:tcBorders>
                  <w:vAlign w:val="center"/>
                </w:tcPr>
                <w:p>
                  <w:pPr>
                    <w:pStyle w:val="5"/>
                    <w:autoSpaceDE w:val="0"/>
                    <w:contextualSpacing/>
                    <w:jc w:val="center"/>
                    <w:rPr>
                      <w:rFonts w:ascii="Times New Roman" w:hAnsi="Times New Roman"/>
                      <w:color w:val="000000" w:themeColor="text1"/>
                      <w:sz w:val="21"/>
                      <w:szCs w:val="21"/>
                    </w:rPr>
                  </w:pPr>
                  <w:r>
                    <w:rPr>
                      <w:rFonts w:ascii="Times New Roman"/>
                      <w:color w:val="000000" w:themeColor="text1"/>
                      <w:sz w:val="21"/>
                      <w:szCs w:val="21"/>
                    </w:rPr>
                    <w:t>重点依托现有企业河南心连心化肥有限公司发展，支持现有心连心企业的升级改造，重点发展以现有产品为原料的基础化工及下游产业链产品，延长煤化工产业链</w:t>
                  </w:r>
                </w:p>
              </w:tc>
              <w:tc>
                <w:tcPr>
                  <w:tcW w:w="2046" w:type="dxa"/>
                  <w:vMerge w:val="restart"/>
                  <w:tcBorders>
                    <w:top w:val="single" w:color="auto" w:sz="8" w:space="0"/>
                    <w:left w:val="nil"/>
                    <w:right w:val="nil"/>
                  </w:tcBorders>
                  <w:vAlign w:val="center"/>
                </w:tcPr>
                <w:p>
                  <w:pPr>
                    <w:pStyle w:val="5"/>
                    <w:autoSpaceDE w:val="0"/>
                    <w:contextualSpacing/>
                    <w:jc w:val="center"/>
                    <w:rPr>
                      <w:rFonts w:ascii="Times New Roman" w:hAnsi="Times New Roman"/>
                      <w:color w:val="000000" w:themeColor="text1"/>
                      <w:sz w:val="21"/>
                      <w:szCs w:val="21"/>
                    </w:rPr>
                  </w:pPr>
                  <w:r>
                    <w:rPr>
                      <w:rFonts w:ascii="Times New Roman"/>
                      <w:color w:val="000000" w:themeColor="text1"/>
                      <w:sz w:val="21"/>
                      <w:szCs w:val="21"/>
                    </w:rPr>
                    <w:t>本项目</w:t>
                  </w:r>
                  <w:r>
                    <w:rPr>
                      <w:rFonts w:hint="eastAsia" w:ascii="Times New Roman"/>
                      <w:color w:val="000000" w:themeColor="text1"/>
                      <w:kern w:val="0"/>
                      <w:sz w:val="21"/>
                      <w:szCs w:val="21"/>
                    </w:rPr>
                    <w:t>位于</w:t>
                  </w:r>
                  <w:r>
                    <w:rPr>
                      <w:rFonts w:ascii="Times New Roman"/>
                      <w:color w:val="000000" w:themeColor="text1"/>
                      <w:sz w:val="21"/>
                      <w:szCs w:val="21"/>
                    </w:rPr>
                    <w:t>新乡经济技术产业集聚区</w:t>
                  </w:r>
                  <w:r>
                    <w:rPr>
                      <w:rFonts w:hint="eastAsia" w:ascii="Times New Roman"/>
                      <w:color w:val="000000" w:themeColor="text1"/>
                      <w:sz w:val="21"/>
                      <w:szCs w:val="21"/>
                    </w:rPr>
                    <w:t>纸制品印刷包装产业园内</w:t>
                  </w:r>
                  <w:r>
                    <w:rPr>
                      <w:rFonts w:ascii="Times New Roman"/>
                      <w:color w:val="000000" w:themeColor="text1"/>
                      <w:sz w:val="21"/>
                      <w:szCs w:val="21"/>
                    </w:rPr>
                    <w:t>，属于工业用地</w:t>
                  </w:r>
                  <w:r>
                    <w:rPr>
                      <w:rFonts w:hint="eastAsia" w:ascii="Times New Roman"/>
                      <w:color w:val="000000" w:themeColor="text1"/>
                      <w:sz w:val="21"/>
                      <w:szCs w:val="21"/>
                    </w:rPr>
                    <w:t>。</w:t>
                  </w:r>
                  <w:r>
                    <w:rPr>
                      <w:rFonts w:hint="eastAsia" w:ascii="Times New Roman"/>
                      <w:color w:val="000000" w:themeColor="text1"/>
                      <w:kern w:val="0"/>
                      <w:sz w:val="21"/>
                      <w:szCs w:val="21"/>
                    </w:rPr>
                    <w:t>项目主要生产</w:t>
                  </w:r>
                  <w:r>
                    <w:rPr>
                      <w:rFonts w:ascii="Times New Roman" w:hAnsi="Times New Roman"/>
                      <w:color w:val="000000" w:themeColor="text1"/>
                      <w:sz w:val="21"/>
                      <w:szCs w:val="21"/>
                    </w:rPr>
                    <w:t>塑料磁吸门帘</w:t>
                  </w:r>
                  <w:r>
                    <w:rPr>
                      <w:rFonts w:hint="eastAsia" w:ascii="Times New Roman"/>
                      <w:color w:val="000000" w:themeColor="text1"/>
                      <w:kern w:val="0"/>
                      <w:sz w:val="21"/>
                      <w:szCs w:val="21"/>
                    </w:rPr>
                    <w:t>，属于塑料制品项目，</w:t>
                  </w:r>
                  <w:r>
                    <w:rPr>
                      <w:rFonts w:hint="eastAsia" w:ascii="Times New Roman"/>
                      <w:color w:val="000000" w:themeColor="text1"/>
                      <w:sz w:val="21"/>
                      <w:szCs w:val="21"/>
                    </w:rPr>
                    <w:t>不属于纸制品印刷包装产业，与园区内现有的产业定位不冲突。项目</w:t>
                  </w:r>
                  <w:r>
                    <w:rPr>
                      <w:rFonts w:ascii="Times New Roman"/>
                      <w:color w:val="000000" w:themeColor="text1"/>
                      <w:sz w:val="21"/>
                      <w:szCs w:val="21"/>
                    </w:rPr>
                    <w:t>属于</w:t>
                  </w:r>
                  <w:r>
                    <w:rPr>
                      <w:rFonts w:hint="eastAsia" w:ascii="Times New Roman"/>
                      <w:color w:val="000000" w:themeColor="text1"/>
                      <w:sz w:val="21"/>
                      <w:szCs w:val="21"/>
                    </w:rPr>
                    <w:t>允许</w:t>
                  </w:r>
                  <w:r>
                    <w:rPr>
                      <w:rFonts w:ascii="Times New Roman"/>
                      <w:color w:val="000000" w:themeColor="text1"/>
                      <w:sz w:val="21"/>
                      <w:szCs w:val="21"/>
                    </w:rPr>
                    <w:t>类，生产工艺简单，能耗少、污染小</w:t>
                  </w:r>
                  <w:r>
                    <w:rPr>
                      <w:rFonts w:hint="eastAsia" w:ascii="Times New Roman"/>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34" w:type="dxa"/>
                  <w:vMerge w:val="restart"/>
                  <w:tcBorders>
                    <w:top w:val="nil"/>
                    <w:left w:val="nil"/>
                    <w:bottom w:val="single" w:color="auto" w:sz="4" w:space="0"/>
                    <w:right w:val="single" w:color="auto" w:sz="4" w:space="0"/>
                  </w:tcBorders>
                  <w:vAlign w:val="center"/>
                </w:tcPr>
                <w:p>
                  <w:pPr>
                    <w:pStyle w:val="5"/>
                    <w:autoSpaceDE w:val="0"/>
                    <w:contextualSpacing/>
                    <w:jc w:val="center"/>
                    <w:rPr>
                      <w:rFonts w:ascii="Times New Roman" w:hAnsi="Times New Roman"/>
                      <w:color w:val="000000" w:themeColor="text1"/>
                      <w:sz w:val="21"/>
                      <w:szCs w:val="21"/>
                    </w:rPr>
                  </w:pPr>
                  <w:r>
                    <w:rPr>
                      <w:rFonts w:ascii="Times New Roman" w:hAnsi="Times New Roman"/>
                      <w:color w:val="000000" w:themeColor="text1"/>
                      <w:sz w:val="21"/>
                      <w:szCs w:val="21"/>
                    </w:rPr>
                    <w:t>2</w:t>
                  </w:r>
                </w:p>
              </w:tc>
              <w:tc>
                <w:tcPr>
                  <w:tcW w:w="1186" w:type="dxa"/>
                  <w:vMerge w:val="continue"/>
                  <w:tcBorders>
                    <w:left w:val="nil"/>
                    <w:right w:val="single" w:color="auto" w:sz="4" w:space="0"/>
                  </w:tcBorders>
                  <w:vAlign w:val="center"/>
                </w:tcPr>
                <w:p>
                  <w:pPr>
                    <w:widowControl/>
                    <w:jc w:val="left"/>
                    <w:rPr>
                      <w:rFonts w:ascii="Times New Roman" w:hAnsi="Times New Roman" w:eastAsia="宋体"/>
                      <w:color w:val="000000" w:themeColor="text1"/>
                      <w:szCs w:val="21"/>
                    </w:rPr>
                  </w:pPr>
                </w:p>
              </w:tc>
              <w:tc>
                <w:tcPr>
                  <w:tcW w:w="908" w:type="dxa"/>
                  <w:vMerge w:val="restart"/>
                  <w:tcBorders>
                    <w:top w:val="nil"/>
                    <w:left w:val="nil"/>
                    <w:bottom w:val="single" w:color="auto" w:sz="4" w:space="0"/>
                    <w:right w:val="single" w:color="auto" w:sz="4" w:space="0"/>
                  </w:tcBorders>
                  <w:vAlign w:val="center"/>
                </w:tcPr>
                <w:p>
                  <w:pPr>
                    <w:pStyle w:val="5"/>
                    <w:autoSpaceDE w:val="0"/>
                    <w:contextualSpacing/>
                    <w:jc w:val="center"/>
                    <w:rPr>
                      <w:rFonts w:ascii="Times New Roman" w:hAnsi="Times New Roman"/>
                      <w:color w:val="000000" w:themeColor="text1"/>
                      <w:sz w:val="21"/>
                      <w:szCs w:val="21"/>
                    </w:rPr>
                  </w:pPr>
                  <w:r>
                    <w:rPr>
                      <w:rFonts w:ascii="Times New Roman"/>
                      <w:color w:val="000000" w:themeColor="text1"/>
                      <w:sz w:val="21"/>
                      <w:szCs w:val="21"/>
                    </w:rPr>
                    <w:t>医药</w:t>
                  </w:r>
                </w:p>
              </w:tc>
              <w:tc>
                <w:tcPr>
                  <w:tcW w:w="4252" w:type="dxa"/>
                  <w:tcBorders>
                    <w:top w:val="single" w:color="auto" w:sz="4" w:space="0"/>
                    <w:left w:val="nil"/>
                    <w:bottom w:val="single" w:color="auto" w:sz="4" w:space="0"/>
                    <w:right w:val="single" w:color="auto" w:sz="4" w:space="0"/>
                  </w:tcBorders>
                  <w:vAlign w:val="center"/>
                </w:tcPr>
                <w:p>
                  <w:pPr>
                    <w:pStyle w:val="5"/>
                    <w:autoSpaceDE w:val="0"/>
                    <w:contextualSpacing/>
                    <w:rPr>
                      <w:rFonts w:ascii="Times New Roman" w:hAnsi="Times New Roman"/>
                      <w:color w:val="000000" w:themeColor="text1"/>
                      <w:kern w:val="0"/>
                      <w:sz w:val="21"/>
                      <w:szCs w:val="21"/>
                    </w:rPr>
                  </w:pPr>
                  <w:r>
                    <w:rPr>
                      <w:rFonts w:ascii="Times New Roman"/>
                      <w:color w:val="000000" w:themeColor="text1"/>
                      <w:kern w:val="0"/>
                      <w:sz w:val="21"/>
                      <w:szCs w:val="21"/>
                    </w:rPr>
                    <w:t>中药饮片加工及中药配方颗粒制剂项目</w:t>
                  </w:r>
                </w:p>
              </w:tc>
              <w:tc>
                <w:tcPr>
                  <w:tcW w:w="2046" w:type="dxa"/>
                  <w:vMerge w:val="continue"/>
                  <w:tcBorders>
                    <w:left w:val="nil"/>
                    <w:right w:val="nil"/>
                  </w:tcBorders>
                  <w:vAlign w:val="center"/>
                </w:tcPr>
                <w:p>
                  <w:pPr>
                    <w:widowControl/>
                    <w:jc w:val="left"/>
                    <w:rPr>
                      <w:rFonts w:ascii="Times New Roman" w:hAnsi="Times New Roman" w:eastAsia="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34" w:type="dxa"/>
                  <w:vMerge w:val="continue"/>
                  <w:tcBorders>
                    <w:top w:val="nil"/>
                    <w:left w:val="nil"/>
                    <w:bottom w:val="single" w:color="auto" w:sz="4" w:space="0"/>
                    <w:right w:val="single" w:color="auto" w:sz="4" w:space="0"/>
                  </w:tcBorders>
                  <w:vAlign w:val="center"/>
                </w:tcPr>
                <w:p>
                  <w:pPr>
                    <w:widowControl/>
                    <w:jc w:val="left"/>
                    <w:rPr>
                      <w:rFonts w:ascii="Times New Roman" w:hAnsi="Times New Roman" w:eastAsia="宋体"/>
                      <w:color w:val="000000" w:themeColor="text1"/>
                      <w:szCs w:val="21"/>
                    </w:rPr>
                  </w:pPr>
                </w:p>
              </w:tc>
              <w:tc>
                <w:tcPr>
                  <w:tcW w:w="1186" w:type="dxa"/>
                  <w:vMerge w:val="continue"/>
                  <w:tcBorders>
                    <w:left w:val="nil"/>
                    <w:right w:val="single" w:color="auto" w:sz="4" w:space="0"/>
                  </w:tcBorders>
                  <w:vAlign w:val="center"/>
                </w:tcPr>
                <w:p>
                  <w:pPr>
                    <w:widowControl/>
                    <w:jc w:val="left"/>
                    <w:rPr>
                      <w:rFonts w:ascii="Times New Roman" w:hAnsi="Times New Roman" w:eastAsia="宋体"/>
                      <w:color w:val="000000" w:themeColor="text1"/>
                      <w:szCs w:val="21"/>
                    </w:rPr>
                  </w:pPr>
                </w:p>
              </w:tc>
              <w:tc>
                <w:tcPr>
                  <w:tcW w:w="908" w:type="dxa"/>
                  <w:vMerge w:val="continue"/>
                  <w:tcBorders>
                    <w:top w:val="nil"/>
                    <w:left w:val="nil"/>
                    <w:bottom w:val="single" w:color="auto" w:sz="4" w:space="0"/>
                    <w:right w:val="single" w:color="auto" w:sz="4" w:space="0"/>
                  </w:tcBorders>
                  <w:vAlign w:val="center"/>
                </w:tcPr>
                <w:p>
                  <w:pPr>
                    <w:widowControl/>
                    <w:jc w:val="left"/>
                    <w:rPr>
                      <w:rFonts w:ascii="Times New Roman" w:hAnsi="Times New Roman" w:eastAsia="宋体"/>
                      <w:color w:val="000000" w:themeColor="text1"/>
                      <w:szCs w:val="21"/>
                    </w:rPr>
                  </w:pPr>
                </w:p>
              </w:tc>
              <w:tc>
                <w:tcPr>
                  <w:tcW w:w="4252" w:type="dxa"/>
                  <w:tcBorders>
                    <w:top w:val="single" w:color="auto" w:sz="4" w:space="0"/>
                    <w:left w:val="nil"/>
                    <w:bottom w:val="single" w:color="auto" w:sz="4" w:space="0"/>
                    <w:right w:val="single" w:color="auto" w:sz="4" w:space="0"/>
                  </w:tcBorders>
                  <w:vAlign w:val="center"/>
                </w:tcPr>
                <w:p>
                  <w:pPr>
                    <w:pStyle w:val="5"/>
                    <w:autoSpaceDE w:val="0"/>
                    <w:contextualSpacing/>
                    <w:rPr>
                      <w:rFonts w:ascii="Times New Roman" w:hAnsi="Times New Roman"/>
                      <w:color w:val="000000" w:themeColor="text1"/>
                      <w:sz w:val="21"/>
                      <w:szCs w:val="21"/>
                    </w:rPr>
                  </w:pPr>
                  <w:r>
                    <w:rPr>
                      <w:rFonts w:ascii="Times New Roman"/>
                      <w:color w:val="000000" w:themeColor="text1"/>
                      <w:sz w:val="21"/>
                      <w:szCs w:val="21"/>
                    </w:rPr>
                    <w:t>现代中药、中药制剂项目</w:t>
                  </w:r>
                </w:p>
              </w:tc>
              <w:tc>
                <w:tcPr>
                  <w:tcW w:w="2046" w:type="dxa"/>
                  <w:vMerge w:val="continue"/>
                  <w:tcBorders>
                    <w:left w:val="nil"/>
                    <w:right w:val="nil"/>
                  </w:tcBorders>
                  <w:vAlign w:val="center"/>
                </w:tcPr>
                <w:p>
                  <w:pPr>
                    <w:widowControl/>
                    <w:jc w:val="left"/>
                    <w:rPr>
                      <w:rFonts w:ascii="Times New Roman" w:hAnsi="Times New Roman" w:eastAsia="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34" w:type="dxa"/>
                  <w:vMerge w:val="continue"/>
                  <w:tcBorders>
                    <w:top w:val="nil"/>
                    <w:left w:val="nil"/>
                    <w:bottom w:val="single" w:color="auto" w:sz="4" w:space="0"/>
                    <w:right w:val="single" w:color="auto" w:sz="4" w:space="0"/>
                  </w:tcBorders>
                  <w:vAlign w:val="center"/>
                </w:tcPr>
                <w:p>
                  <w:pPr>
                    <w:widowControl/>
                    <w:jc w:val="left"/>
                    <w:rPr>
                      <w:rFonts w:ascii="Times New Roman" w:hAnsi="Times New Roman" w:eastAsia="宋体"/>
                      <w:color w:val="000000" w:themeColor="text1"/>
                      <w:szCs w:val="21"/>
                    </w:rPr>
                  </w:pPr>
                </w:p>
              </w:tc>
              <w:tc>
                <w:tcPr>
                  <w:tcW w:w="1186" w:type="dxa"/>
                  <w:vMerge w:val="continue"/>
                  <w:tcBorders>
                    <w:left w:val="nil"/>
                    <w:right w:val="single" w:color="auto" w:sz="4" w:space="0"/>
                  </w:tcBorders>
                  <w:vAlign w:val="center"/>
                </w:tcPr>
                <w:p>
                  <w:pPr>
                    <w:widowControl/>
                    <w:jc w:val="left"/>
                    <w:rPr>
                      <w:rFonts w:ascii="Times New Roman" w:hAnsi="Times New Roman" w:eastAsia="宋体"/>
                      <w:color w:val="000000" w:themeColor="text1"/>
                      <w:szCs w:val="21"/>
                    </w:rPr>
                  </w:pPr>
                </w:p>
              </w:tc>
              <w:tc>
                <w:tcPr>
                  <w:tcW w:w="908" w:type="dxa"/>
                  <w:vMerge w:val="continue"/>
                  <w:tcBorders>
                    <w:top w:val="nil"/>
                    <w:left w:val="nil"/>
                    <w:bottom w:val="single" w:color="auto" w:sz="4" w:space="0"/>
                    <w:right w:val="single" w:color="auto" w:sz="4" w:space="0"/>
                  </w:tcBorders>
                  <w:vAlign w:val="center"/>
                </w:tcPr>
                <w:p>
                  <w:pPr>
                    <w:widowControl/>
                    <w:jc w:val="left"/>
                    <w:rPr>
                      <w:rFonts w:ascii="Times New Roman" w:hAnsi="Times New Roman" w:eastAsia="宋体"/>
                      <w:color w:val="000000" w:themeColor="text1"/>
                      <w:szCs w:val="21"/>
                    </w:rPr>
                  </w:pPr>
                </w:p>
              </w:tc>
              <w:tc>
                <w:tcPr>
                  <w:tcW w:w="4252" w:type="dxa"/>
                  <w:tcBorders>
                    <w:top w:val="single" w:color="auto" w:sz="4" w:space="0"/>
                    <w:left w:val="nil"/>
                    <w:bottom w:val="single" w:color="auto" w:sz="4" w:space="0"/>
                    <w:right w:val="single" w:color="auto" w:sz="4" w:space="0"/>
                  </w:tcBorders>
                  <w:vAlign w:val="center"/>
                </w:tcPr>
                <w:p>
                  <w:pPr>
                    <w:pStyle w:val="5"/>
                    <w:autoSpaceDE w:val="0"/>
                    <w:contextualSpacing/>
                    <w:rPr>
                      <w:rFonts w:ascii="Times New Roman" w:hAnsi="Times New Roman"/>
                      <w:color w:val="000000" w:themeColor="text1"/>
                      <w:sz w:val="21"/>
                      <w:szCs w:val="21"/>
                    </w:rPr>
                  </w:pPr>
                  <w:r>
                    <w:rPr>
                      <w:rFonts w:ascii="Times New Roman"/>
                      <w:color w:val="000000" w:themeColor="text1"/>
                      <w:sz w:val="21"/>
                      <w:szCs w:val="21"/>
                    </w:rPr>
                    <w:t>医药产业中成品复配、混装、灌装及封装类项目</w:t>
                  </w:r>
                </w:p>
              </w:tc>
              <w:tc>
                <w:tcPr>
                  <w:tcW w:w="2046" w:type="dxa"/>
                  <w:vMerge w:val="continue"/>
                  <w:tcBorders>
                    <w:left w:val="nil"/>
                    <w:right w:val="nil"/>
                  </w:tcBorders>
                  <w:vAlign w:val="center"/>
                </w:tcPr>
                <w:p>
                  <w:pPr>
                    <w:widowControl/>
                    <w:jc w:val="left"/>
                    <w:rPr>
                      <w:rFonts w:ascii="Times New Roman" w:hAnsi="Times New Roman" w:eastAsia="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34" w:type="dxa"/>
                  <w:vMerge w:val="continue"/>
                  <w:tcBorders>
                    <w:top w:val="nil"/>
                    <w:left w:val="nil"/>
                    <w:bottom w:val="single" w:color="auto" w:sz="4" w:space="0"/>
                    <w:right w:val="single" w:color="auto" w:sz="4" w:space="0"/>
                  </w:tcBorders>
                  <w:vAlign w:val="center"/>
                </w:tcPr>
                <w:p>
                  <w:pPr>
                    <w:widowControl/>
                    <w:jc w:val="left"/>
                    <w:rPr>
                      <w:rFonts w:ascii="Times New Roman" w:hAnsi="Times New Roman" w:eastAsia="宋体"/>
                      <w:color w:val="000000" w:themeColor="text1"/>
                      <w:szCs w:val="21"/>
                    </w:rPr>
                  </w:pPr>
                </w:p>
              </w:tc>
              <w:tc>
                <w:tcPr>
                  <w:tcW w:w="1186" w:type="dxa"/>
                  <w:vMerge w:val="continue"/>
                  <w:tcBorders>
                    <w:left w:val="nil"/>
                    <w:right w:val="single" w:color="auto" w:sz="4" w:space="0"/>
                  </w:tcBorders>
                  <w:vAlign w:val="center"/>
                </w:tcPr>
                <w:p>
                  <w:pPr>
                    <w:widowControl/>
                    <w:jc w:val="left"/>
                    <w:rPr>
                      <w:rFonts w:ascii="Times New Roman" w:hAnsi="Times New Roman" w:eastAsia="宋体"/>
                      <w:color w:val="000000" w:themeColor="text1"/>
                      <w:szCs w:val="21"/>
                    </w:rPr>
                  </w:pPr>
                </w:p>
              </w:tc>
              <w:tc>
                <w:tcPr>
                  <w:tcW w:w="908" w:type="dxa"/>
                  <w:vMerge w:val="continue"/>
                  <w:tcBorders>
                    <w:top w:val="nil"/>
                    <w:left w:val="nil"/>
                    <w:bottom w:val="single" w:color="auto" w:sz="4" w:space="0"/>
                    <w:right w:val="single" w:color="auto" w:sz="4" w:space="0"/>
                  </w:tcBorders>
                  <w:vAlign w:val="center"/>
                </w:tcPr>
                <w:p>
                  <w:pPr>
                    <w:widowControl/>
                    <w:jc w:val="left"/>
                    <w:rPr>
                      <w:rFonts w:ascii="Times New Roman" w:hAnsi="Times New Roman" w:eastAsia="宋体"/>
                      <w:color w:val="000000" w:themeColor="text1"/>
                      <w:szCs w:val="21"/>
                    </w:rPr>
                  </w:pPr>
                </w:p>
              </w:tc>
              <w:tc>
                <w:tcPr>
                  <w:tcW w:w="4252" w:type="dxa"/>
                  <w:tcBorders>
                    <w:top w:val="single" w:color="auto" w:sz="4" w:space="0"/>
                    <w:left w:val="nil"/>
                    <w:bottom w:val="single" w:color="auto" w:sz="4" w:space="0"/>
                    <w:right w:val="single" w:color="auto" w:sz="4" w:space="0"/>
                  </w:tcBorders>
                  <w:vAlign w:val="center"/>
                </w:tcPr>
                <w:p>
                  <w:pPr>
                    <w:pStyle w:val="5"/>
                    <w:autoSpaceDE w:val="0"/>
                    <w:contextualSpacing/>
                    <w:rPr>
                      <w:rFonts w:ascii="Times New Roman" w:hAnsi="Times New Roman"/>
                      <w:color w:val="000000" w:themeColor="text1"/>
                      <w:sz w:val="21"/>
                      <w:szCs w:val="21"/>
                    </w:rPr>
                  </w:pPr>
                  <w:r>
                    <w:rPr>
                      <w:rFonts w:ascii="Times New Roman"/>
                      <w:color w:val="000000" w:themeColor="text1"/>
                      <w:kern w:val="0"/>
                      <w:sz w:val="21"/>
                      <w:szCs w:val="21"/>
                    </w:rPr>
                    <w:t>卫生材料及医药用品制造项目</w:t>
                  </w:r>
                </w:p>
              </w:tc>
              <w:tc>
                <w:tcPr>
                  <w:tcW w:w="2046" w:type="dxa"/>
                  <w:vMerge w:val="continue"/>
                  <w:tcBorders>
                    <w:left w:val="nil"/>
                    <w:right w:val="nil"/>
                  </w:tcBorders>
                  <w:vAlign w:val="center"/>
                </w:tcPr>
                <w:p>
                  <w:pPr>
                    <w:widowControl/>
                    <w:jc w:val="left"/>
                    <w:rPr>
                      <w:rFonts w:ascii="Times New Roman" w:hAnsi="Times New Roman" w:eastAsia="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34" w:type="dxa"/>
                  <w:tcBorders>
                    <w:top w:val="single" w:color="auto" w:sz="4" w:space="0"/>
                    <w:left w:val="nil"/>
                    <w:bottom w:val="single" w:color="auto" w:sz="4" w:space="0"/>
                    <w:right w:val="single" w:color="auto" w:sz="4" w:space="0"/>
                  </w:tcBorders>
                  <w:vAlign w:val="center"/>
                </w:tcPr>
                <w:p>
                  <w:pPr>
                    <w:pStyle w:val="5"/>
                    <w:autoSpaceDE w:val="0"/>
                    <w:contextualSpacing/>
                    <w:jc w:val="center"/>
                    <w:rPr>
                      <w:rFonts w:ascii="Times New Roman" w:hAnsi="Times New Roman"/>
                      <w:color w:val="000000" w:themeColor="text1"/>
                      <w:sz w:val="21"/>
                      <w:szCs w:val="21"/>
                    </w:rPr>
                  </w:pPr>
                  <w:r>
                    <w:rPr>
                      <w:rFonts w:ascii="Times New Roman" w:hAnsi="Times New Roman"/>
                      <w:color w:val="000000" w:themeColor="text1"/>
                      <w:sz w:val="21"/>
                      <w:szCs w:val="21"/>
                    </w:rPr>
                    <w:t>3</w:t>
                  </w:r>
                </w:p>
              </w:tc>
              <w:tc>
                <w:tcPr>
                  <w:tcW w:w="1186" w:type="dxa"/>
                  <w:vMerge w:val="continue"/>
                  <w:tcBorders>
                    <w:left w:val="nil"/>
                    <w:right w:val="single" w:color="auto" w:sz="4" w:space="0"/>
                  </w:tcBorders>
                  <w:vAlign w:val="center"/>
                </w:tcPr>
                <w:p>
                  <w:pPr>
                    <w:widowControl/>
                    <w:jc w:val="left"/>
                    <w:rPr>
                      <w:rFonts w:ascii="Times New Roman" w:hAnsi="Times New Roman" w:eastAsia="宋体"/>
                      <w:color w:val="000000" w:themeColor="text1"/>
                      <w:szCs w:val="21"/>
                    </w:rPr>
                  </w:pPr>
                </w:p>
              </w:tc>
              <w:tc>
                <w:tcPr>
                  <w:tcW w:w="908" w:type="dxa"/>
                  <w:tcBorders>
                    <w:top w:val="single" w:color="auto" w:sz="4" w:space="0"/>
                    <w:left w:val="nil"/>
                    <w:bottom w:val="single" w:color="auto" w:sz="4" w:space="0"/>
                    <w:right w:val="single" w:color="auto" w:sz="4" w:space="0"/>
                  </w:tcBorders>
                  <w:vAlign w:val="center"/>
                </w:tcPr>
                <w:p>
                  <w:pPr>
                    <w:pStyle w:val="5"/>
                    <w:autoSpaceDE w:val="0"/>
                    <w:contextualSpacing/>
                    <w:jc w:val="center"/>
                    <w:rPr>
                      <w:rFonts w:ascii="Times New Roman" w:hAnsi="Times New Roman"/>
                      <w:color w:val="000000" w:themeColor="text1"/>
                      <w:sz w:val="21"/>
                      <w:szCs w:val="21"/>
                    </w:rPr>
                  </w:pPr>
                  <w:r>
                    <w:rPr>
                      <w:rFonts w:ascii="Times New Roman"/>
                      <w:color w:val="000000" w:themeColor="text1"/>
                      <w:kern w:val="0"/>
                      <w:sz w:val="21"/>
                      <w:szCs w:val="21"/>
                    </w:rPr>
                    <w:t>装备制造</w:t>
                  </w:r>
                </w:p>
              </w:tc>
              <w:tc>
                <w:tcPr>
                  <w:tcW w:w="4252" w:type="dxa"/>
                  <w:tcBorders>
                    <w:top w:val="single" w:color="auto" w:sz="4" w:space="0"/>
                    <w:left w:val="nil"/>
                    <w:bottom w:val="single" w:color="auto" w:sz="4" w:space="0"/>
                    <w:right w:val="single" w:color="auto" w:sz="4" w:space="0"/>
                  </w:tcBorders>
                  <w:vAlign w:val="center"/>
                </w:tcPr>
                <w:p>
                  <w:pPr>
                    <w:pStyle w:val="5"/>
                    <w:autoSpaceDE w:val="0"/>
                    <w:contextualSpacing/>
                    <w:jc w:val="center"/>
                    <w:rPr>
                      <w:rFonts w:ascii="Times New Roman" w:hAnsi="Times New Roman"/>
                      <w:color w:val="000000" w:themeColor="text1"/>
                      <w:sz w:val="21"/>
                      <w:szCs w:val="21"/>
                    </w:rPr>
                  </w:pPr>
                  <w:r>
                    <w:rPr>
                      <w:rFonts w:ascii="Times New Roman"/>
                      <w:color w:val="000000" w:themeColor="text1"/>
                      <w:kern w:val="0"/>
                      <w:sz w:val="21"/>
                      <w:szCs w:val="21"/>
                    </w:rPr>
                    <w:t>以振动机械制造、石化煤化工设备制造、家电设备制造为主</w:t>
                  </w:r>
                </w:p>
              </w:tc>
              <w:tc>
                <w:tcPr>
                  <w:tcW w:w="2046" w:type="dxa"/>
                  <w:vMerge w:val="continue"/>
                  <w:tcBorders>
                    <w:left w:val="nil"/>
                    <w:right w:val="nil"/>
                  </w:tcBorders>
                  <w:vAlign w:val="center"/>
                </w:tcPr>
                <w:p>
                  <w:pPr>
                    <w:widowControl/>
                    <w:jc w:val="left"/>
                    <w:rPr>
                      <w:rFonts w:ascii="Times New Roman" w:hAnsi="Times New Roman" w:eastAsia="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34" w:type="dxa"/>
                  <w:tcBorders>
                    <w:top w:val="single" w:color="auto" w:sz="4" w:space="0"/>
                    <w:left w:val="nil"/>
                    <w:bottom w:val="single" w:color="auto" w:sz="8" w:space="0"/>
                    <w:right w:val="single" w:color="auto" w:sz="4" w:space="0"/>
                  </w:tcBorders>
                  <w:vAlign w:val="center"/>
                </w:tcPr>
                <w:p>
                  <w:pPr>
                    <w:pStyle w:val="5"/>
                    <w:autoSpaceDE w:val="0"/>
                    <w:contextualSpacing/>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4</w:t>
                  </w:r>
                </w:p>
              </w:tc>
              <w:tc>
                <w:tcPr>
                  <w:tcW w:w="1186" w:type="dxa"/>
                  <w:vMerge w:val="continue"/>
                  <w:tcBorders>
                    <w:left w:val="nil"/>
                    <w:bottom w:val="single" w:color="auto" w:sz="8" w:space="0"/>
                    <w:right w:val="single" w:color="auto" w:sz="4" w:space="0"/>
                  </w:tcBorders>
                  <w:vAlign w:val="center"/>
                </w:tcPr>
                <w:p>
                  <w:pPr>
                    <w:widowControl/>
                    <w:jc w:val="left"/>
                    <w:rPr>
                      <w:rFonts w:ascii="Times New Roman" w:hAnsi="Times New Roman" w:eastAsia="宋体"/>
                      <w:color w:val="000000" w:themeColor="text1"/>
                      <w:szCs w:val="21"/>
                    </w:rPr>
                  </w:pPr>
                </w:p>
              </w:tc>
              <w:tc>
                <w:tcPr>
                  <w:tcW w:w="908" w:type="dxa"/>
                  <w:tcBorders>
                    <w:top w:val="single" w:color="auto" w:sz="4" w:space="0"/>
                    <w:left w:val="nil"/>
                    <w:bottom w:val="single" w:color="auto" w:sz="8" w:space="0"/>
                    <w:right w:val="single" w:color="auto" w:sz="4" w:space="0"/>
                  </w:tcBorders>
                  <w:vAlign w:val="center"/>
                </w:tcPr>
                <w:p>
                  <w:pPr>
                    <w:pStyle w:val="5"/>
                    <w:autoSpaceDE w:val="0"/>
                    <w:contextualSpacing/>
                    <w:jc w:val="center"/>
                    <w:rPr>
                      <w:rFonts w:ascii="Times New Roman"/>
                      <w:color w:val="000000" w:themeColor="text1"/>
                      <w:kern w:val="0"/>
                      <w:sz w:val="21"/>
                      <w:szCs w:val="21"/>
                    </w:rPr>
                  </w:pPr>
                  <w:r>
                    <w:rPr>
                      <w:rFonts w:ascii="Times New Roman"/>
                      <w:color w:val="000000" w:themeColor="text1"/>
                      <w:kern w:val="0"/>
                      <w:sz w:val="21"/>
                      <w:szCs w:val="21"/>
                    </w:rPr>
                    <w:t>纸制品印刷包装</w:t>
                  </w:r>
                </w:p>
              </w:tc>
              <w:tc>
                <w:tcPr>
                  <w:tcW w:w="4252" w:type="dxa"/>
                  <w:tcBorders>
                    <w:top w:val="single" w:color="auto" w:sz="4" w:space="0"/>
                    <w:left w:val="nil"/>
                    <w:bottom w:val="single" w:color="auto" w:sz="8" w:space="0"/>
                    <w:right w:val="single" w:color="auto" w:sz="4" w:space="0"/>
                  </w:tcBorders>
                  <w:vAlign w:val="center"/>
                </w:tcPr>
                <w:p>
                  <w:pPr>
                    <w:rPr>
                      <w:rFonts w:ascii="Times New Roman" w:hAnsi="Times New Roman" w:eastAsia="宋体"/>
                      <w:color w:val="000000" w:themeColor="text1"/>
                      <w:kern w:val="0"/>
                    </w:rPr>
                  </w:pPr>
                  <w:r>
                    <w:rPr>
                      <w:rFonts w:hint="eastAsia" w:ascii="Times New Roman" w:hAnsi="Times New Roman" w:eastAsia="宋体"/>
                      <w:color w:val="000000" w:themeColor="text1"/>
                      <w:kern w:val="0"/>
                    </w:rPr>
                    <w:t>产业发展重点以印海智谷纸制品印刷包装为龙头，结合当地新亚纸业发展包装产业。</w:t>
                  </w:r>
                </w:p>
              </w:tc>
              <w:tc>
                <w:tcPr>
                  <w:tcW w:w="2046" w:type="dxa"/>
                  <w:vMerge w:val="continue"/>
                  <w:tcBorders>
                    <w:left w:val="nil"/>
                    <w:bottom w:val="single" w:color="auto" w:sz="8" w:space="0"/>
                    <w:right w:val="nil"/>
                  </w:tcBorders>
                  <w:vAlign w:val="center"/>
                </w:tcPr>
                <w:p>
                  <w:pPr>
                    <w:widowControl/>
                    <w:jc w:val="left"/>
                    <w:rPr>
                      <w:rFonts w:ascii="Times New Roman" w:hAnsi="Times New Roman" w:eastAsia="宋体"/>
                      <w:color w:val="000000" w:themeColor="text1"/>
                      <w:szCs w:val="21"/>
                    </w:rPr>
                  </w:pPr>
                </w:p>
              </w:tc>
            </w:tr>
          </w:tbl>
          <w:p>
            <w:pPr>
              <w:spacing w:line="440" w:lineRule="exact"/>
              <w:jc w:val="center"/>
              <w:rPr>
                <w:rFonts w:ascii="Times New Roman" w:hAnsi="Times New Roman" w:eastAsia="宋体" w:cs="黑体"/>
                <w:b/>
                <w:bCs/>
                <w:color w:val="000000" w:themeColor="text1"/>
                <w:sz w:val="24"/>
              </w:rPr>
            </w:pPr>
            <w:r>
              <w:rPr>
                <w:rFonts w:hint="eastAsia" w:ascii="Times New Roman" w:eastAsia="宋体" w:cs="黑体"/>
                <w:b/>
                <w:bCs/>
                <w:color w:val="000000" w:themeColor="text1"/>
                <w:sz w:val="24"/>
              </w:rPr>
              <w:t>表</w:t>
            </w:r>
            <w:r>
              <w:rPr>
                <w:rFonts w:hint="eastAsia" w:ascii="Times New Roman" w:hAnsi="Times New Roman" w:eastAsia="宋体" w:cs="黑体"/>
                <w:b/>
                <w:bCs/>
                <w:color w:val="000000" w:themeColor="text1"/>
                <w:sz w:val="24"/>
              </w:rPr>
              <w:t xml:space="preserve">14    </w:t>
            </w:r>
            <w:r>
              <w:rPr>
                <w:rFonts w:hint="eastAsia" w:ascii="Times New Roman" w:eastAsia="宋体" w:cs="黑体"/>
                <w:b/>
                <w:bCs/>
                <w:color w:val="000000" w:themeColor="text1"/>
                <w:sz w:val="24"/>
              </w:rPr>
              <w:t>集聚区产业发展负面清单（禁止和限制发展项目）一览表</w:t>
            </w:r>
          </w:p>
          <w:tbl>
            <w:tblPr>
              <w:tblStyle w:val="24"/>
              <w:tblW w:w="9072"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28" w:type="dxa"/>
                <w:left w:w="57" w:type="dxa"/>
                <w:bottom w:w="28" w:type="dxa"/>
                <w:right w:w="57" w:type="dxa"/>
              </w:tblCellMar>
            </w:tblPr>
            <w:tblGrid>
              <w:gridCol w:w="606"/>
              <w:gridCol w:w="1222"/>
              <w:gridCol w:w="918"/>
              <w:gridCol w:w="4612"/>
              <w:gridCol w:w="171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97" w:hRule="atLeast"/>
              </w:trPr>
              <w:tc>
                <w:tcPr>
                  <w:tcW w:w="334" w:type="pct"/>
                  <w:tcBorders>
                    <w:top w:val="single" w:color="auto" w:sz="8" w:space="0"/>
                    <w:bottom w:val="single" w:color="auto" w:sz="8" w:space="0"/>
                  </w:tcBorders>
                  <w:tcMar>
                    <w:top w:w="28" w:type="dxa"/>
                    <w:bottom w:w="57" w:type="dxa"/>
                  </w:tcMar>
                  <w:vAlign w:val="center"/>
                </w:tcPr>
                <w:p>
                  <w:pPr>
                    <w:pStyle w:val="5"/>
                    <w:jc w:val="center"/>
                    <w:rPr>
                      <w:rFonts w:ascii="Times New Roman" w:hAnsi="Times New Roman"/>
                      <w:b/>
                      <w:color w:val="000000" w:themeColor="text1"/>
                      <w:sz w:val="21"/>
                      <w:szCs w:val="21"/>
                    </w:rPr>
                  </w:pPr>
                  <w:r>
                    <w:rPr>
                      <w:rFonts w:hint="eastAsia" w:ascii="Times New Roman"/>
                      <w:b/>
                      <w:color w:val="000000" w:themeColor="text1"/>
                      <w:sz w:val="21"/>
                      <w:szCs w:val="21"/>
                    </w:rPr>
                    <w:t>序号</w:t>
                  </w:r>
                </w:p>
              </w:tc>
              <w:tc>
                <w:tcPr>
                  <w:tcW w:w="673" w:type="pct"/>
                  <w:tcBorders>
                    <w:top w:val="single" w:color="auto" w:sz="8" w:space="0"/>
                    <w:bottom w:val="single" w:color="auto" w:sz="8" w:space="0"/>
                  </w:tcBorders>
                  <w:tcMar>
                    <w:top w:w="28" w:type="dxa"/>
                    <w:bottom w:w="57" w:type="dxa"/>
                  </w:tcMar>
                  <w:vAlign w:val="center"/>
                </w:tcPr>
                <w:p>
                  <w:pPr>
                    <w:pStyle w:val="5"/>
                    <w:jc w:val="center"/>
                    <w:rPr>
                      <w:rFonts w:ascii="Times New Roman" w:hAnsi="Times New Roman"/>
                      <w:b/>
                      <w:color w:val="000000" w:themeColor="text1"/>
                      <w:sz w:val="21"/>
                      <w:szCs w:val="21"/>
                    </w:rPr>
                  </w:pPr>
                  <w:r>
                    <w:rPr>
                      <w:rFonts w:hint="eastAsia" w:ascii="Times New Roman"/>
                      <w:b/>
                      <w:color w:val="000000" w:themeColor="text1"/>
                      <w:sz w:val="21"/>
                      <w:szCs w:val="21"/>
                    </w:rPr>
                    <w:t>要求</w:t>
                  </w:r>
                </w:p>
              </w:tc>
              <w:tc>
                <w:tcPr>
                  <w:tcW w:w="506" w:type="pct"/>
                  <w:tcBorders>
                    <w:top w:val="single" w:color="auto" w:sz="8" w:space="0"/>
                    <w:bottom w:val="single" w:color="auto" w:sz="8" w:space="0"/>
                  </w:tcBorders>
                  <w:tcMar>
                    <w:top w:w="28" w:type="dxa"/>
                    <w:bottom w:w="57" w:type="dxa"/>
                  </w:tcMar>
                  <w:vAlign w:val="center"/>
                </w:tcPr>
                <w:p>
                  <w:pPr>
                    <w:pStyle w:val="5"/>
                    <w:jc w:val="center"/>
                    <w:rPr>
                      <w:rFonts w:ascii="Times New Roman" w:hAnsi="Times New Roman"/>
                      <w:b/>
                      <w:color w:val="000000" w:themeColor="text1"/>
                      <w:sz w:val="21"/>
                      <w:szCs w:val="21"/>
                    </w:rPr>
                  </w:pPr>
                  <w:r>
                    <w:rPr>
                      <w:rFonts w:hint="eastAsia" w:ascii="Times New Roman"/>
                      <w:b/>
                      <w:color w:val="000000" w:themeColor="text1"/>
                      <w:sz w:val="21"/>
                      <w:szCs w:val="21"/>
                    </w:rPr>
                    <w:t>行业</w:t>
                  </w:r>
                </w:p>
              </w:tc>
              <w:tc>
                <w:tcPr>
                  <w:tcW w:w="2541" w:type="pct"/>
                  <w:tcBorders>
                    <w:top w:val="single" w:color="auto" w:sz="8" w:space="0"/>
                    <w:bottom w:val="single" w:color="auto" w:sz="8" w:space="0"/>
                  </w:tcBorders>
                  <w:tcMar>
                    <w:top w:w="28" w:type="dxa"/>
                    <w:bottom w:w="57" w:type="dxa"/>
                  </w:tcMar>
                  <w:vAlign w:val="center"/>
                </w:tcPr>
                <w:p>
                  <w:pPr>
                    <w:pStyle w:val="5"/>
                    <w:jc w:val="center"/>
                    <w:rPr>
                      <w:rFonts w:ascii="Times New Roman" w:hAnsi="Times New Roman"/>
                      <w:b/>
                      <w:color w:val="000000" w:themeColor="text1"/>
                      <w:sz w:val="21"/>
                      <w:szCs w:val="21"/>
                    </w:rPr>
                  </w:pPr>
                  <w:r>
                    <w:rPr>
                      <w:rFonts w:hint="eastAsia" w:ascii="Times New Roman"/>
                      <w:b/>
                      <w:color w:val="000000" w:themeColor="text1"/>
                      <w:sz w:val="21"/>
                      <w:szCs w:val="21"/>
                    </w:rPr>
                    <w:t>禁止和限制发展内容</w:t>
                  </w:r>
                </w:p>
              </w:tc>
              <w:tc>
                <w:tcPr>
                  <w:tcW w:w="944" w:type="pct"/>
                  <w:tcBorders>
                    <w:top w:val="single" w:color="auto" w:sz="8" w:space="0"/>
                    <w:bottom w:val="single" w:color="auto" w:sz="8" w:space="0"/>
                  </w:tcBorders>
                  <w:vAlign w:val="center"/>
                </w:tcPr>
                <w:p>
                  <w:pPr>
                    <w:pStyle w:val="5"/>
                    <w:jc w:val="center"/>
                    <w:rPr>
                      <w:rFonts w:ascii="Times New Roman" w:hAnsi="Times New Roman"/>
                      <w:b/>
                      <w:color w:val="000000" w:themeColor="text1"/>
                      <w:sz w:val="21"/>
                      <w:szCs w:val="21"/>
                    </w:rPr>
                  </w:pPr>
                  <w:r>
                    <w:rPr>
                      <w:rFonts w:hint="eastAsia" w:ascii="Times New Roman"/>
                      <w:b/>
                      <w:color w:val="000000" w:themeColor="text1"/>
                      <w:sz w:val="21"/>
                      <w:szCs w:val="21"/>
                    </w:rPr>
                    <w:t>本项目情况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97" w:hRule="atLeast"/>
              </w:trPr>
              <w:tc>
                <w:tcPr>
                  <w:tcW w:w="334" w:type="pct"/>
                  <w:vMerge w:val="restart"/>
                  <w:tcBorders>
                    <w:top w:val="single" w:color="auto" w:sz="8" w:space="0"/>
                  </w:tcBorders>
                  <w:tcMar>
                    <w:top w:w="28" w:type="dxa"/>
                    <w:bottom w:w="57" w:type="dxa"/>
                  </w:tcMar>
                  <w:vAlign w:val="center"/>
                </w:tcPr>
                <w:p>
                  <w:pPr>
                    <w:pStyle w:val="5"/>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1</w:t>
                  </w:r>
                </w:p>
              </w:tc>
              <w:tc>
                <w:tcPr>
                  <w:tcW w:w="673" w:type="pct"/>
                  <w:vMerge w:val="restart"/>
                  <w:tcBorders>
                    <w:top w:val="single" w:color="auto" w:sz="8" w:space="0"/>
                  </w:tcBorders>
                  <w:tcMar>
                    <w:top w:w="28" w:type="dxa"/>
                    <w:bottom w:w="57" w:type="dxa"/>
                  </w:tcMar>
                  <w:vAlign w:val="center"/>
                </w:tcPr>
                <w:p>
                  <w:pPr>
                    <w:rPr>
                      <w:rFonts w:ascii="Times New Roman" w:hAnsi="Times New Roman" w:eastAsia="宋体"/>
                      <w:color w:val="000000" w:themeColor="text1"/>
                    </w:rPr>
                  </w:pPr>
                  <w:r>
                    <w:rPr>
                      <w:rFonts w:ascii="Times New Roman" w:hAnsi="宋体" w:eastAsia="宋体"/>
                      <w:color w:val="000000" w:themeColor="text1"/>
                    </w:rPr>
                    <w:t>符合集聚区产业定位，符合国家政策，</w:t>
                  </w:r>
                  <w:r>
                    <w:rPr>
                      <w:rFonts w:hint="eastAsia" w:ascii="Times New Roman" w:hAnsi="宋体" w:eastAsia="宋体"/>
                      <w:color w:val="000000" w:themeColor="text1"/>
                    </w:rPr>
                    <w:t>不</w:t>
                  </w:r>
                  <w:r>
                    <w:rPr>
                      <w:rFonts w:ascii="Times New Roman" w:hAnsi="宋体" w:eastAsia="宋体"/>
                      <w:color w:val="000000" w:themeColor="text1"/>
                    </w:rPr>
                    <w:t>属于淘汰工艺和产品，能耗大、污染物产生量大，产业规模达不到要求及国家限制发展行业</w:t>
                  </w:r>
                </w:p>
              </w:tc>
              <w:tc>
                <w:tcPr>
                  <w:tcW w:w="506" w:type="pct"/>
                  <w:vMerge w:val="restart"/>
                  <w:tcBorders>
                    <w:top w:val="single" w:color="auto" w:sz="8" w:space="0"/>
                  </w:tcBorders>
                  <w:tcMar>
                    <w:top w:w="28" w:type="dxa"/>
                    <w:bottom w:w="57" w:type="dxa"/>
                  </w:tcMar>
                  <w:vAlign w:val="center"/>
                </w:tcPr>
                <w:p>
                  <w:pPr>
                    <w:pStyle w:val="5"/>
                    <w:jc w:val="center"/>
                    <w:rPr>
                      <w:rFonts w:ascii="Times New Roman" w:hAnsi="Times New Roman"/>
                      <w:color w:val="000000" w:themeColor="text1"/>
                      <w:sz w:val="21"/>
                      <w:szCs w:val="21"/>
                    </w:rPr>
                  </w:pPr>
                  <w:r>
                    <w:rPr>
                      <w:rFonts w:hint="eastAsia" w:ascii="Times New Roman"/>
                      <w:color w:val="000000" w:themeColor="text1"/>
                      <w:sz w:val="21"/>
                      <w:szCs w:val="21"/>
                    </w:rPr>
                    <w:t>化工</w:t>
                  </w:r>
                </w:p>
              </w:tc>
              <w:tc>
                <w:tcPr>
                  <w:tcW w:w="2541" w:type="pct"/>
                  <w:tcBorders>
                    <w:top w:val="single" w:color="auto" w:sz="8" w:space="0"/>
                  </w:tcBorders>
                  <w:tcMar>
                    <w:top w:w="28" w:type="dxa"/>
                    <w:bottom w:w="57" w:type="dxa"/>
                  </w:tcMar>
                  <w:vAlign w:val="center"/>
                </w:tcPr>
                <w:p>
                  <w:pPr>
                    <w:pStyle w:val="5"/>
                    <w:jc w:val="center"/>
                    <w:rPr>
                      <w:rFonts w:ascii="Times New Roman" w:hAnsi="Times New Roman"/>
                      <w:color w:val="000000" w:themeColor="text1"/>
                      <w:sz w:val="21"/>
                      <w:szCs w:val="21"/>
                    </w:rPr>
                  </w:pPr>
                  <w:r>
                    <w:rPr>
                      <w:rFonts w:hint="eastAsia" w:ascii="Times New Roman"/>
                      <w:color w:val="000000" w:themeColor="text1"/>
                      <w:sz w:val="21"/>
                      <w:szCs w:val="21"/>
                    </w:rPr>
                    <w:t>限制发展园区内现有的与产业定位不符的企业</w:t>
                  </w:r>
                </w:p>
              </w:tc>
              <w:tc>
                <w:tcPr>
                  <w:tcW w:w="944" w:type="pct"/>
                  <w:vMerge w:val="restart"/>
                  <w:tcBorders>
                    <w:top w:val="single" w:color="auto" w:sz="8" w:space="0"/>
                  </w:tcBorders>
                  <w:vAlign w:val="center"/>
                </w:tcPr>
                <w:p>
                  <w:pPr>
                    <w:pStyle w:val="5"/>
                    <w:jc w:val="center"/>
                    <w:rPr>
                      <w:rFonts w:ascii="Times New Roman"/>
                      <w:color w:val="000000" w:themeColor="text1"/>
                      <w:kern w:val="0"/>
                      <w:sz w:val="21"/>
                      <w:szCs w:val="21"/>
                    </w:rPr>
                  </w:pPr>
                  <w:r>
                    <w:rPr>
                      <w:rFonts w:ascii="Times New Roman"/>
                      <w:color w:val="000000" w:themeColor="text1"/>
                      <w:sz w:val="21"/>
                      <w:szCs w:val="21"/>
                    </w:rPr>
                    <w:t>本项目</w:t>
                  </w:r>
                  <w:r>
                    <w:rPr>
                      <w:rFonts w:hint="eastAsia" w:ascii="Times New Roman"/>
                      <w:color w:val="000000" w:themeColor="text1"/>
                      <w:kern w:val="0"/>
                      <w:sz w:val="21"/>
                      <w:szCs w:val="21"/>
                    </w:rPr>
                    <w:t>位于</w:t>
                  </w:r>
                  <w:r>
                    <w:rPr>
                      <w:rFonts w:ascii="Times New Roman"/>
                      <w:color w:val="000000" w:themeColor="text1"/>
                      <w:sz w:val="21"/>
                      <w:szCs w:val="21"/>
                    </w:rPr>
                    <w:t>新乡经济技术产业集聚区</w:t>
                  </w:r>
                  <w:r>
                    <w:rPr>
                      <w:rFonts w:hint="eastAsia" w:ascii="Times New Roman"/>
                      <w:color w:val="000000" w:themeColor="text1"/>
                      <w:sz w:val="21"/>
                      <w:szCs w:val="21"/>
                    </w:rPr>
                    <w:t>纸制品印刷包装产业园内</w:t>
                  </w:r>
                  <w:r>
                    <w:rPr>
                      <w:rFonts w:ascii="Times New Roman"/>
                      <w:color w:val="000000" w:themeColor="text1"/>
                      <w:sz w:val="21"/>
                      <w:szCs w:val="21"/>
                    </w:rPr>
                    <w:t>，属于工业用地</w:t>
                  </w:r>
                  <w:r>
                    <w:rPr>
                      <w:rFonts w:hint="eastAsia" w:ascii="Times New Roman"/>
                      <w:color w:val="000000" w:themeColor="text1"/>
                      <w:sz w:val="21"/>
                      <w:szCs w:val="21"/>
                    </w:rPr>
                    <w:t>。</w:t>
                  </w:r>
                  <w:r>
                    <w:rPr>
                      <w:rFonts w:hint="eastAsia" w:ascii="Times New Roman"/>
                      <w:color w:val="000000" w:themeColor="text1"/>
                      <w:kern w:val="0"/>
                      <w:sz w:val="21"/>
                      <w:szCs w:val="21"/>
                    </w:rPr>
                    <w:t>项目主要生产</w:t>
                  </w:r>
                  <w:r>
                    <w:rPr>
                      <w:rFonts w:ascii="Times New Roman" w:hAnsi="Times New Roman"/>
                      <w:color w:val="000000" w:themeColor="text1"/>
                      <w:sz w:val="21"/>
                      <w:szCs w:val="21"/>
                    </w:rPr>
                    <w:t>塑料磁吸门帘</w:t>
                  </w:r>
                  <w:r>
                    <w:rPr>
                      <w:rFonts w:hint="eastAsia" w:ascii="Times New Roman"/>
                      <w:color w:val="000000" w:themeColor="text1"/>
                      <w:kern w:val="0"/>
                      <w:sz w:val="21"/>
                      <w:szCs w:val="21"/>
                    </w:rPr>
                    <w:t>，属于塑料制品项目，</w:t>
                  </w:r>
                  <w:r>
                    <w:rPr>
                      <w:rFonts w:hint="eastAsia" w:ascii="Times New Roman"/>
                      <w:color w:val="000000" w:themeColor="text1"/>
                      <w:sz w:val="21"/>
                      <w:szCs w:val="21"/>
                    </w:rPr>
                    <w:t>不属于纸制品印刷包装产业，与园区内现有的产业定位不冲突。项目</w:t>
                  </w:r>
                  <w:r>
                    <w:rPr>
                      <w:rFonts w:ascii="Times New Roman"/>
                      <w:color w:val="000000" w:themeColor="text1"/>
                      <w:sz w:val="21"/>
                      <w:szCs w:val="21"/>
                    </w:rPr>
                    <w:t>属于</w:t>
                  </w:r>
                  <w:r>
                    <w:rPr>
                      <w:rFonts w:hint="eastAsia" w:ascii="Times New Roman"/>
                      <w:color w:val="000000" w:themeColor="text1"/>
                      <w:sz w:val="21"/>
                      <w:szCs w:val="21"/>
                    </w:rPr>
                    <w:t>允许</w:t>
                  </w:r>
                  <w:r>
                    <w:rPr>
                      <w:rFonts w:ascii="Times New Roman"/>
                      <w:color w:val="000000" w:themeColor="text1"/>
                      <w:sz w:val="21"/>
                      <w:szCs w:val="21"/>
                    </w:rPr>
                    <w:t>类，生产工艺简单，能耗少、污染小</w:t>
                  </w:r>
                  <w:r>
                    <w:rPr>
                      <w:rFonts w:hint="eastAsia" w:ascii="Times New Roman"/>
                      <w:color w:val="000000" w:themeColor="text1"/>
                      <w:sz w:val="21"/>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97" w:hRule="atLeast"/>
              </w:trPr>
              <w:tc>
                <w:tcPr>
                  <w:tcW w:w="334" w:type="pct"/>
                  <w:vMerge w:val="continue"/>
                  <w:tcMar>
                    <w:top w:w="28" w:type="dxa"/>
                    <w:bottom w:w="57" w:type="dxa"/>
                  </w:tcMar>
                  <w:vAlign w:val="center"/>
                </w:tcPr>
                <w:p>
                  <w:pPr>
                    <w:pStyle w:val="5"/>
                    <w:jc w:val="center"/>
                    <w:rPr>
                      <w:rFonts w:ascii="Times New Roman" w:hAnsi="Times New Roman"/>
                      <w:color w:val="000000" w:themeColor="text1"/>
                      <w:sz w:val="21"/>
                      <w:szCs w:val="21"/>
                    </w:rPr>
                  </w:pPr>
                </w:p>
              </w:tc>
              <w:tc>
                <w:tcPr>
                  <w:tcW w:w="673" w:type="pct"/>
                  <w:vMerge w:val="continue"/>
                  <w:tcMar>
                    <w:top w:w="28" w:type="dxa"/>
                    <w:bottom w:w="57" w:type="dxa"/>
                  </w:tcMar>
                  <w:vAlign w:val="center"/>
                </w:tcPr>
                <w:p>
                  <w:pPr>
                    <w:pStyle w:val="5"/>
                    <w:jc w:val="center"/>
                    <w:rPr>
                      <w:rFonts w:ascii="Times New Roman" w:hAnsi="Times New Roman"/>
                      <w:color w:val="000000" w:themeColor="text1"/>
                      <w:sz w:val="21"/>
                      <w:szCs w:val="21"/>
                    </w:rPr>
                  </w:pPr>
                </w:p>
              </w:tc>
              <w:tc>
                <w:tcPr>
                  <w:tcW w:w="506" w:type="pct"/>
                  <w:vMerge w:val="continue"/>
                  <w:tcMar>
                    <w:top w:w="28" w:type="dxa"/>
                    <w:bottom w:w="57" w:type="dxa"/>
                  </w:tcMar>
                  <w:vAlign w:val="center"/>
                </w:tcPr>
                <w:p>
                  <w:pPr>
                    <w:pStyle w:val="5"/>
                    <w:jc w:val="center"/>
                    <w:rPr>
                      <w:rFonts w:ascii="Times New Roman" w:hAnsi="Times New Roman"/>
                      <w:color w:val="000000" w:themeColor="text1"/>
                      <w:sz w:val="21"/>
                      <w:szCs w:val="21"/>
                    </w:rPr>
                  </w:pPr>
                </w:p>
              </w:tc>
              <w:tc>
                <w:tcPr>
                  <w:tcW w:w="2541" w:type="pct"/>
                  <w:tcMar>
                    <w:top w:w="28" w:type="dxa"/>
                    <w:bottom w:w="57" w:type="dxa"/>
                  </w:tcMar>
                  <w:vAlign w:val="center"/>
                </w:tcPr>
                <w:p>
                  <w:pPr>
                    <w:pStyle w:val="5"/>
                    <w:jc w:val="center"/>
                    <w:rPr>
                      <w:rFonts w:ascii="Times New Roman" w:hAnsi="Times New Roman"/>
                      <w:color w:val="000000" w:themeColor="text1"/>
                      <w:sz w:val="21"/>
                      <w:szCs w:val="21"/>
                    </w:rPr>
                  </w:pPr>
                  <w:r>
                    <w:rPr>
                      <w:rFonts w:ascii="Times New Roman"/>
                      <w:bCs/>
                      <w:color w:val="000000" w:themeColor="text1"/>
                      <w:sz w:val="21"/>
                      <w:szCs w:val="21"/>
                    </w:rPr>
                    <w:t>禁止新建或单纯扩大产能的以煤为原料的煤化工项目；同时升级改造项目、符合条件的退城入园项目，入驻园区不得增加区域燃煤总量，且合成氨和甲醇产能应进行等量置换，不得新增区域合成氨和甲醇产能，建议化工园区合成氨和甲醇年总产能控制为</w:t>
                  </w:r>
                  <w:r>
                    <w:rPr>
                      <w:rFonts w:hint="eastAsia" w:ascii="Times New Roman" w:hAnsi="Times New Roman"/>
                      <w:bCs/>
                      <w:color w:val="000000" w:themeColor="text1"/>
                      <w:sz w:val="21"/>
                      <w:szCs w:val="21"/>
                    </w:rPr>
                    <w:t>20</w:t>
                  </w:r>
                  <w:r>
                    <w:rPr>
                      <w:rFonts w:ascii="Times New Roman" w:hAnsi="Times New Roman"/>
                      <w:bCs/>
                      <w:color w:val="000000" w:themeColor="text1"/>
                      <w:sz w:val="21"/>
                      <w:szCs w:val="21"/>
                    </w:rPr>
                    <w:t>0</w:t>
                  </w:r>
                  <w:r>
                    <w:rPr>
                      <w:rFonts w:ascii="Times New Roman"/>
                      <w:bCs/>
                      <w:color w:val="000000" w:themeColor="text1"/>
                      <w:sz w:val="21"/>
                      <w:szCs w:val="21"/>
                    </w:rPr>
                    <w:t>万吨。</w:t>
                  </w:r>
                </w:p>
              </w:tc>
              <w:tc>
                <w:tcPr>
                  <w:tcW w:w="944" w:type="pct"/>
                  <w:vMerge w:val="continue"/>
                </w:tcPr>
                <w:p>
                  <w:pPr>
                    <w:pStyle w:val="5"/>
                    <w:jc w:val="center"/>
                    <w:rPr>
                      <w:rFonts w:ascii="Times New Roman" w:hAnsi="Times New Roman"/>
                      <w:color w:val="000000" w:themeColor="text1"/>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97" w:hRule="atLeast"/>
              </w:trPr>
              <w:tc>
                <w:tcPr>
                  <w:tcW w:w="334" w:type="pct"/>
                  <w:vMerge w:val="continue"/>
                  <w:tcMar>
                    <w:top w:w="28" w:type="dxa"/>
                    <w:bottom w:w="57" w:type="dxa"/>
                  </w:tcMar>
                  <w:vAlign w:val="center"/>
                </w:tcPr>
                <w:p>
                  <w:pPr>
                    <w:pStyle w:val="5"/>
                    <w:jc w:val="center"/>
                    <w:rPr>
                      <w:rFonts w:ascii="Times New Roman" w:hAnsi="Times New Roman"/>
                      <w:color w:val="000000" w:themeColor="text1"/>
                      <w:sz w:val="21"/>
                      <w:szCs w:val="21"/>
                    </w:rPr>
                  </w:pPr>
                </w:p>
              </w:tc>
              <w:tc>
                <w:tcPr>
                  <w:tcW w:w="673" w:type="pct"/>
                  <w:vMerge w:val="continue"/>
                  <w:tcMar>
                    <w:top w:w="28" w:type="dxa"/>
                    <w:bottom w:w="57" w:type="dxa"/>
                  </w:tcMar>
                  <w:vAlign w:val="center"/>
                </w:tcPr>
                <w:p>
                  <w:pPr>
                    <w:pStyle w:val="5"/>
                    <w:jc w:val="center"/>
                    <w:rPr>
                      <w:rFonts w:ascii="Times New Roman" w:hAnsi="Times New Roman"/>
                      <w:color w:val="000000" w:themeColor="text1"/>
                      <w:sz w:val="21"/>
                      <w:szCs w:val="21"/>
                    </w:rPr>
                  </w:pPr>
                </w:p>
              </w:tc>
              <w:tc>
                <w:tcPr>
                  <w:tcW w:w="506" w:type="pct"/>
                  <w:vMerge w:val="continue"/>
                  <w:tcMar>
                    <w:top w:w="28" w:type="dxa"/>
                    <w:bottom w:w="57" w:type="dxa"/>
                  </w:tcMar>
                  <w:vAlign w:val="center"/>
                </w:tcPr>
                <w:p>
                  <w:pPr>
                    <w:pStyle w:val="5"/>
                    <w:jc w:val="center"/>
                    <w:rPr>
                      <w:rFonts w:ascii="Times New Roman" w:hAnsi="Times New Roman"/>
                      <w:color w:val="000000" w:themeColor="text1"/>
                      <w:sz w:val="21"/>
                      <w:szCs w:val="21"/>
                    </w:rPr>
                  </w:pPr>
                </w:p>
              </w:tc>
              <w:tc>
                <w:tcPr>
                  <w:tcW w:w="2541" w:type="pct"/>
                  <w:tcMar>
                    <w:top w:w="28" w:type="dxa"/>
                    <w:bottom w:w="57" w:type="dxa"/>
                  </w:tcMar>
                  <w:vAlign w:val="center"/>
                </w:tcPr>
                <w:p>
                  <w:pPr>
                    <w:pStyle w:val="5"/>
                    <w:jc w:val="center"/>
                    <w:rPr>
                      <w:rFonts w:ascii="Times New Roman" w:hAnsi="Times New Roman"/>
                      <w:color w:val="000000" w:themeColor="text1"/>
                      <w:sz w:val="21"/>
                      <w:szCs w:val="21"/>
                    </w:rPr>
                  </w:pPr>
                  <w:r>
                    <w:rPr>
                      <w:rFonts w:hint="eastAsia" w:ascii="Times New Roman"/>
                      <w:color w:val="000000" w:themeColor="text1"/>
                      <w:sz w:val="21"/>
                      <w:szCs w:val="21"/>
                    </w:rPr>
                    <w:t>禁止新建或扩建以天然气为原</w:t>
                  </w:r>
                  <w:r>
                    <w:rPr>
                      <w:rFonts w:hint="eastAsia" w:ascii="Times New Roman" w:hAnsi="Times New Roman"/>
                      <w:color w:val="000000" w:themeColor="text1"/>
                      <w:sz w:val="21"/>
                      <w:szCs w:val="21"/>
                    </w:rPr>
                    <w:cr/>
                  </w:r>
                  <w:r>
                    <w:rPr>
                      <w:rFonts w:hint="eastAsia" w:ascii="Times New Roman"/>
                      <w:color w:val="000000" w:themeColor="text1"/>
                      <w:sz w:val="21"/>
                      <w:szCs w:val="21"/>
                    </w:rPr>
                    <w:t>生产甲醇及甲醇生产下游产品；禁止以天然气代煤制甲醇项目</w:t>
                  </w:r>
                </w:p>
              </w:tc>
              <w:tc>
                <w:tcPr>
                  <w:tcW w:w="944" w:type="pct"/>
                  <w:vMerge w:val="continue"/>
                </w:tcPr>
                <w:p>
                  <w:pPr>
                    <w:pStyle w:val="5"/>
                    <w:jc w:val="center"/>
                    <w:rPr>
                      <w:rFonts w:ascii="Times New Roman" w:hAnsi="Times New Roman"/>
                      <w:color w:val="000000" w:themeColor="text1"/>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97" w:hRule="atLeast"/>
              </w:trPr>
              <w:tc>
                <w:tcPr>
                  <w:tcW w:w="334" w:type="pct"/>
                  <w:vMerge w:val="continue"/>
                  <w:tcMar>
                    <w:top w:w="28" w:type="dxa"/>
                    <w:bottom w:w="57" w:type="dxa"/>
                  </w:tcMar>
                  <w:vAlign w:val="center"/>
                </w:tcPr>
                <w:p>
                  <w:pPr>
                    <w:pStyle w:val="5"/>
                    <w:jc w:val="center"/>
                    <w:rPr>
                      <w:rFonts w:ascii="Times New Roman" w:hAnsi="Times New Roman"/>
                      <w:color w:val="000000" w:themeColor="text1"/>
                      <w:sz w:val="21"/>
                      <w:szCs w:val="21"/>
                    </w:rPr>
                  </w:pPr>
                </w:p>
              </w:tc>
              <w:tc>
                <w:tcPr>
                  <w:tcW w:w="673" w:type="pct"/>
                  <w:vMerge w:val="continue"/>
                  <w:tcMar>
                    <w:top w:w="28" w:type="dxa"/>
                    <w:bottom w:w="57" w:type="dxa"/>
                  </w:tcMar>
                  <w:vAlign w:val="center"/>
                </w:tcPr>
                <w:p>
                  <w:pPr>
                    <w:pStyle w:val="5"/>
                    <w:jc w:val="center"/>
                    <w:rPr>
                      <w:rFonts w:ascii="Times New Roman" w:hAnsi="Times New Roman"/>
                      <w:color w:val="000000" w:themeColor="text1"/>
                      <w:sz w:val="21"/>
                      <w:szCs w:val="21"/>
                    </w:rPr>
                  </w:pPr>
                </w:p>
              </w:tc>
              <w:tc>
                <w:tcPr>
                  <w:tcW w:w="506" w:type="pct"/>
                  <w:vMerge w:val="continue"/>
                  <w:tcMar>
                    <w:top w:w="28" w:type="dxa"/>
                    <w:bottom w:w="57" w:type="dxa"/>
                  </w:tcMar>
                  <w:vAlign w:val="center"/>
                </w:tcPr>
                <w:p>
                  <w:pPr>
                    <w:pStyle w:val="5"/>
                    <w:jc w:val="center"/>
                    <w:rPr>
                      <w:rFonts w:ascii="Times New Roman" w:hAnsi="Times New Roman"/>
                      <w:color w:val="000000" w:themeColor="text1"/>
                      <w:sz w:val="21"/>
                      <w:szCs w:val="21"/>
                    </w:rPr>
                  </w:pPr>
                </w:p>
              </w:tc>
              <w:tc>
                <w:tcPr>
                  <w:tcW w:w="2541" w:type="pct"/>
                  <w:tcMar>
                    <w:top w:w="28" w:type="dxa"/>
                    <w:bottom w:w="57" w:type="dxa"/>
                  </w:tcMar>
                  <w:vAlign w:val="center"/>
                </w:tcPr>
                <w:p>
                  <w:pPr>
                    <w:pStyle w:val="5"/>
                    <w:jc w:val="center"/>
                    <w:rPr>
                      <w:rFonts w:ascii="Times New Roman" w:hAnsi="Times New Roman"/>
                      <w:color w:val="000000" w:themeColor="text1"/>
                      <w:sz w:val="21"/>
                      <w:szCs w:val="21"/>
                    </w:rPr>
                  </w:pPr>
                  <w:r>
                    <w:rPr>
                      <w:rFonts w:hint="eastAsia" w:ascii="Times New Roman"/>
                      <w:color w:val="000000" w:themeColor="text1"/>
                      <w:sz w:val="21"/>
                      <w:szCs w:val="21"/>
                    </w:rPr>
                    <w:t>禁止焦化行业炼焦和煤焦油加</w:t>
                  </w:r>
                  <w:r>
                    <w:rPr>
                      <w:rFonts w:hint="eastAsia" w:ascii="Times New Roman" w:hAnsi="Times New Roman"/>
                      <w:color w:val="000000" w:themeColor="text1"/>
                      <w:sz w:val="21"/>
                      <w:szCs w:val="21"/>
                    </w:rPr>
                    <w:cr/>
                  </w:r>
                  <w:r>
                    <w:rPr>
                      <w:rFonts w:hint="eastAsia" w:ascii="Times New Roman"/>
                      <w:color w:val="000000" w:themeColor="text1"/>
                      <w:sz w:val="21"/>
                      <w:szCs w:val="21"/>
                    </w:rPr>
                    <w:t>项目入驻</w:t>
                  </w:r>
                </w:p>
              </w:tc>
              <w:tc>
                <w:tcPr>
                  <w:tcW w:w="944" w:type="pct"/>
                  <w:vMerge w:val="continue"/>
                </w:tcPr>
                <w:p>
                  <w:pPr>
                    <w:pStyle w:val="5"/>
                    <w:jc w:val="center"/>
                    <w:rPr>
                      <w:rFonts w:ascii="Times New Roman" w:hAnsi="Times New Roman"/>
                      <w:color w:val="000000" w:themeColor="text1"/>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97" w:hRule="atLeast"/>
              </w:trPr>
              <w:tc>
                <w:tcPr>
                  <w:tcW w:w="334" w:type="pct"/>
                  <w:vMerge w:val="continue"/>
                  <w:tcMar>
                    <w:top w:w="28" w:type="dxa"/>
                    <w:bottom w:w="57" w:type="dxa"/>
                  </w:tcMar>
                  <w:vAlign w:val="center"/>
                </w:tcPr>
                <w:p>
                  <w:pPr>
                    <w:pStyle w:val="5"/>
                    <w:jc w:val="center"/>
                    <w:rPr>
                      <w:rFonts w:ascii="Times New Roman" w:hAnsi="Times New Roman"/>
                      <w:color w:val="000000" w:themeColor="text1"/>
                      <w:sz w:val="21"/>
                      <w:szCs w:val="21"/>
                    </w:rPr>
                  </w:pPr>
                </w:p>
              </w:tc>
              <w:tc>
                <w:tcPr>
                  <w:tcW w:w="673" w:type="pct"/>
                  <w:vMerge w:val="continue"/>
                  <w:tcMar>
                    <w:top w:w="28" w:type="dxa"/>
                    <w:bottom w:w="57" w:type="dxa"/>
                  </w:tcMar>
                  <w:vAlign w:val="center"/>
                </w:tcPr>
                <w:p>
                  <w:pPr>
                    <w:pStyle w:val="5"/>
                    <w:jc w:val="center"/>
                    <w:rPr>
                      <w:rFonts w:ascii="Times New Roman" w:hAnsi="Times New Roman"/>
                      <w:color w:val="000000" w:themeColor="text1"/>
                      <w:sz w:val="21"/>
                      <w:szCs w:val="21"/>
                    </w:rPr>
                  </w:pPr>
                </w:p>
              </w:tc>
              <w:tc>
                <w:tcPr>
                  <w:tcW w:w="506" w:type="pct"/>
                  <w:vMerge w:val="continue"/>
                  <w:tcMar>
                    <w:top w:w="28" w:type="dxa"/>
                    <w:bottom w:w="57" w:type="dxa"/>
                  </w:tcMar>
                  <w:vAlign w:val="center"/>
                </w:tcPr>
                <w:p>
                  <w:pPr>
                    <w:pStyle w:val="5"/>
                    <w:jc w:val="center"/>
                    <w:rPr>
                      <w:rFonts w:ascii="Times New Roman" w:hAnsi="Times New Roman"/>
                      <w:color w:val="000000" w:themeColor="text1"/>
                      <w:sz w:val="21"/>
                      <w:szCs w:val="21"/>
                    </w:rPr>
                  </w:pPr>
                </w:p>
              </w:tc>
              <w:tc>
                <w:tcPr>
                  <w:tcW w:w="2541" w:type="pct"/>
                  <w:tcMar>
                    <w:top w:w="28" w:type="dxa"/>
                    <w:bottom w:w="57" w:type="dxa"/>
                  </w:tcMar>
                  <w:vAlign w:val="center"/>
                </w:tcPr>
                <w:p>
                  <w:pPr>
                    <w:pStyle w:val="5"/>
                    <w:jc w:val="center"/>
                    <w:rPr>
                      <w:rFonts w:ascii="Times New Roman" w:hAnsi="Times New Roman"/>
                      <w:color w:val="000000" w:themeColor="text1"/>
                      <w:sz w:val="21"/>
                      <w:szCs w:val="21"/>
                    </w:rPr>
                  </w:pPr>
                  <w:r>
                    <w:rPr>
                      <w:rFonts w:hint="eastAsia" w:ascii="Times New Roman"/>
                      <w:color w:val="000000" w:themeColor="text1"/>
                      <w:sz w:val="21"/>
                      <w:szCs w:val="21"/>
                    </w:rPr>
                    <w:t>限制新建、扩建以天然气为原料的合成氨项目</w:t>
                  </w:r>
                </w:p>
              </w:tc>
              <w:tc>
                <w:tcPr>
                  <w:tcW w:w="944" w:type="pct"/>
                  <w:vMerge w:val="continue"/>
                </w:tcPr>
                <w:p>
                  <w:pPr>
                    <w:pStyle w:val="5"/>
                    <w:jc w:val="center"/>
                    <w:rPr>
                      <w:rFonts w:ascii="Times New Roman" w:hAnsi="Times New Roman"/>
                      <w:color w:val="000000" w:themeColor="text1"/>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97" w:hRule="atLeast"/>
              </w:trPr>
              <w:tc>
                <w:tcPr>
                  <w:tcW w:w="334" w:type="pct"/>
                  <w:vMerge w:val="continue"/>
                  <w:tcMar>
                    <w:top w:w="28" w:type="dxa"/>
                    <w:bottom w:w="57" w:type="dxa"/>
                  </w:tcMar>
                  <w:vAlign w:val="center"/>
                </w:tcPr>
                <w:p>
                  <w:pPr>
                    <w:pStyle w:val="5"/>
                    <w:jc w:val="center"/>
                    <w:rPr>
                      <w:rFonts w:ascii="Times New Roman" w:hAnsi="Times New Roman"/>
                      <w:color w:val="000000" w:themeColor="text1"/>
                      <w:sz w:val="21"/>
                      <w:szCs w:val="21"/>
                    </w:rPr>
                  </w:pPr>
                </w:p>
              </w:tc>
              <w:tc>
                <w:tcPr>
                  <w:tcW w:w="673" w:type="pct"/>
                  <w:vMerge w:val="continue"/>
                  <w:tcMar>
                    <w:top w:w="28" w:type="dxa"/>
                    <w:bottom w:w="57" w:type="dxa"/>
                  </w:tcMar>
                  <w:vAlign w:val="center"/>
                </w:tcPr>
                <w:p>
                  <w:pPr>
                    <w:pStyle w:val="5"/>
                    <w:jc w:val="center"/>
                    <w:rPr>
                      <w:rFonts w:ascii="Times New Roman" w:hAnsi="Times New Roman"/>
                      <w:color w:val="000000" w:themeColor="text1"/>
                      <w:sz w:val="21"/>
                      <w:szCs w:val="21"/>
                    </w:rPr>
                  </w:pPr>
                </w:p>
              </w:tc>
              <w:tc>
                <w:tcPr>
                  <w:tcW w:w="506" w:type="pct"/>
                  <w:vMerge w:val="continue"/>
                  <w:tcMar>
                    <w:top w:w="28" w:type="dxa"/>
                    <w:bottom w:w="57" w:type="dxa"/>
                  </w:tcMar>
                  <w:vAlign w:val="center"/>
                </w:tcPr>
                <w:p>
                  <w:pPr>
                    <w:pStyle w:val="5"/>
                    <w:jc w:val="center"/>
                    <w:rPr>
                      <w:rFonts w:ascii="Times New Roman" w:hAnsi="Times New Roman"/>
                      <w:color w:val="000000" w:themeColor="text1"/>
                      <w:sz w:val="21"/>
                      <w:szCs w:val="21"/>
                    </w:rPr>
                  </w:pPr>
                </w:p>
              </w:tc>
              <w:tc>
                <w:tcPr>
                  <w:tcW w:w="2541" w:type="pct"/>
                  <w:tcMar>
                    <w:top w:w="28" w:type="dxa"/>
                    <w:bottom w:w="57" w:type="dxa"/>
                  </w:tcMar>
                  <w:vAlign w:val="center"/>
                </w:tcPr>
                <w:p>
                  <w:pPr>
                    <w:pStyle w:val="5"/>
                    <w:jc w:val="center"/>
                    <w:rPr>
                      <w:rFonts w:ascii="Times New Roman" w:hAnsi="Times New Roman"/>
                      <w:color w:val="000000" w:themeColor="text1"/>
                      <w:sz w:val="21"/>
                      <w:szCs w:val="21"/>
                    </w:rPr>
                  </w:pPr>
                  <w:r>
                    <w:rPr>
                      <w:rFonts w:hint="eastAsia" w:ascii="Times New Roman"/>
                      <w:color w:val="000000" w:themeColor="text1"/>
                      <w:sz w:val="21"/>
                      <w:szCs w:val="21"/>
                    </w:rPr>
                    <w:t>其它行业政策禁止或限制发展的化工项目</w:t>
                  </w:r>
                </w:p>
              </w:tc>
              <w:tc>
                <w:tcPr>
                  <w:tcW w:w="944" w:type="pct"/>
                  <w:vMerge w:val="continue"/>
                </w:tcPr>
                <w:p>
                  <w:pPr>
                    <w:pStyle w:val="5"/>
                    <w:jc w:val="center"/>
                    <w:rPr>
                      <w:rFonts w:ascii="Times New Roman" w:hAnsi="Times New Roman"/>
                      <w:color w:val="000000" w:themeColor="text1"/>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97" w:hRule="atLeast"/>
              </w:trPr>
              <w:tc>
                <w:tcPr>
                  <w:tcW w:w="334" w:type="pct"/>
                  <w:vMerge w:val="restart"/>
                  <w:tcMar>
                    <w:top w:w="28" w:type="dxa"/>
                    <w:bottom w:w="57" w:type="dxa"/>
                  </w:tcMar>
                  <w:vAlign w:val="center"/>
                </w:tcPr>
                <w:p>
                  <w:pPr>
                    <w:pStyle w:val="5"/>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2</w:t>
                  </w:r>
                </w:p>
              </w:tc>
              <w:tc>
                <w:tcPr>
                  <w:tcW w:w="673" w:type="pct"/>
                  <w:vMerge w:val="continue"/>
                  <w:tcMar>
                    <w:top w:w="28" w:type="dxa"/>
                    <w:bottom w:w="57" w:type="dxa"/>
                  </w:tcMar>
                  <w:vAlign w:val="center"/>
                </w:tcPr>
                <w:p>
                  <w:pPr>
                    <w:pStyle w:val="5"/>
                    <w:jc w:val="center"/>
                    <w:rPr>
                      <w:rFonts w:ascii="Times New Roman" w:hAnsi="Times New Roman"/>
                      <w:color w:val="000000" w:themeColor="text1"/>
                      <w:sz w:val="21"/>
                      <w:szCs w:val="21"/>
                    </w:rPr>
                  </w:pPr>
                </w:p>
              </w:tc>
              <w:tc>
                <w:tcPr>
                  <w:tcW w:w="506" w:type="pct"/>
                  <w:vMerge w:val="restart"/>
                  <w:tcMar>
                    <w:top w:w="28" w:type="dxa"/>
                    <w:bottom w:w="57" w:type="dxa"/>
                  </w:tcMar>
                  <w:vAlign w:val="center"/>
                </w:tcPr>
                <w:p>
                  <w:pPr>
                    <w:pStyle w:val="5"/>
                    <w:jc w:val="center"/>
                    <w:rPr>
                      <w:rFonts w:ascii="Times New Roman" w:hAnsi="Times New Roman"/>
                      <w:color w:val="000000" w:themeColor="text1"/>
                      <w:sz w:val="21"/>
                      <w:szCs w:val="21"/>
                    </w:rPr>
                  </w:pPr>
                  <w:r>
                    <w:rPr>
                      <w:rFonts w:hint="eastAsia" w:ascii="Times New Roman"/>
                      <w:color w:val="000000" w:themeColor="text1"/>
                      <w:sz w:val="21"/>
                      <w:szCs w:val="21"/>
                    </w:rPr>
                    <w:t>医药</w:t>
                  </w:r>
                </w:p>
              </w:tc>
              <w:tc>
                <w:tcPr>
                  <w:tcW w:w="2541" w:type="pct"/>
                  <w:tcMar>
                    <w:top w:w="28" w:type="dxa"/>
                    <w:bottom w:w="57" w:type="dxa"/>
                  </w:tcMar>
                  <w:vAlign w:val="center"/>
                </w:tcPr>
                <w:p>
                  <w:pPr>
                    <w:pStyle w:val="5"/>
                    <w:jc w:val="center"/>
                    <w:rPr>
                      <w:rFonts w:ascii="Times New Roman" w:hAnsi="Times New Roman"/>
                      <w:color w:val="000000" w:themeColor="text1"/>
                      <w:sz w:val="21"/>
                      <w:szCs w:val="21"/>
                    </w:rPr>
                  </w:pPr>
                  <w:r>
                    <w:rPr>
                      <w:rFonts w:hint="eastAsia" w:ascii="Times New Roman"/>
                      <w:color w:val="000000" w:themeColor="text1"/>
                      <w:sz w:val="21"/>
                      <w:szCs w:val="21"/>
                    </w:rPr>
                    <w:t>限制发展园区内现有的与产业定位不符的企业</w:t>
                  </w:r>
                </w:p>
              </w:tc>
              <w:tc>
                <w:tcPr>
                  <w:tcW w:w="944" w:type="pct"/>
                  <w:vMerge w:val="continue"/>
                </w:tcPr>
                <w:p>
                  <w:pPr>
                    <w:pStyle w:val="5"/>
                    <w:jc w:val="center"/>
                    <w:rPr>
                      <w:rFonts w:ascii="Times New Roman" w:hAnsi="Times New Roman"/>
                      <w:color w:val="000000" w:themeColor="text1"/>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97" w:hRule="atLeast"/>
              </w:trPr>
              <w:tc>
                <w:tcPr>
                  <w:tcW w:w="334" w:type="pct"/>
                  <w:vMerge w:val="continue"/>
                  <w:tcMar>
                    <w:top w:w="28" w:type="dxa"/>
                    <w:bottom w:w="57" w:type="dxa"/>
                  </w:tcMar>
                  <w:vAlign w:val="center"/>
                </w:tcPr>
                <w:p>
                  <w:pPr>
                    <w:pStyle w:val="5"/>
                    <w:jc w:val="center"/>
                    <w:rPr>
                      <w:rFonts w:ascii="Times New Roman" w:hAnsi="Times New Roman"/>
                      <w:color w:val="000000" w:themeColor="text1"/>
                      <w:sz w:val="21"/>
                      <w:szCs w:val="21"/>
                    </w:rPr>
                  </w:pPr>
                </w:p>
              </w:tc>
              <w:tc>
                <w:tcPr>
                  <w:tcW w:w="673" w:type="pct"/>
                  <w:vMerge w:val="continue"/>
                  <w:tcMar>
                    <w:top w:w="28" w:type="dxa"/>
                    <w:bottom w:w="57" w:type="dxa"/>
                  </w:tcMar>
                  <w:vAlign w:val="center"/>
                </w:tcPr>
                <w:p>
                  <w:pPr>
                    <w:pStyle w:val="5"/>
                    <w:jc w:val="center"/>
                    <w:rPr>
                      <w:rFonts w:ascii="Times New Roman" w:hAnsi="Times New Roman"/>
                      <w:color w:val="000000" w:themeColor="text1"/>
                      <w:sz w:val="21"/>
                      <w:szCs w:val="21"/>
                    </w:rPr>
                  </w:pPr>
                </w:p>
              </w:tc>
              <w:tc>
                <w:tcPr>
                  <w:tcW w:w="506" w:type="pct"/>
                  <w:vMerge w:val="continue"/>
                  <w:tcMar>
                    <w:top w:w="28" w:type="dxa"/>
                    <w:bottom w:w="57" w:type="dxa"/>
                  </w:tcMar>
                  <w:vAlign w:val="center"/>
                </w:tcPr>
                <w:p>
                  <w:pPr>
                    <w:pStyle w:val="5"/>
                    <w:jc w:val="center"/>
                    <w:rPr>
                      <w:rFonts w:ascii="Times New Roman" w:hAnsi="Times New Roman"/>
                      <w:color w:val="000000" w:themeColor="text1"/>
                      <w:sz w:val="21"/>
                      <w:szCs w:val="21"/>
                    </w:rPr>
                  </w:pPr>
                </w:p>
              </w:tc>
              <w:tc>
                <w:tcPr>
                  <w:tcW w:w="2541" w:type="pct"/>
                  <w:tcMar>
                    <w:top w:w="28" w:type="dxa"/>
                    <w:bottom w:w="57" w:type="dxa"/>
                  </w:tcMar>
                  <w:vAlign w:val="center"/>
                </w:tcPr>
                <w:p>
                  <w:pPr>
                    <w:pStyle w:val="5"/>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禁止发展化学合成制药企业（单纯分装、复配除外）</w:t>
                  </w:r>
                </w:p>
              </w:tc>
              <w:tc>
                <w:tcPr>
                  <w:tcW w:w="944" w:type="pct"/>
                  <w:vMerge w:val="continue"/>
                </w:tcPr>
                <w:p>
                  <w:pPr>
                    <w:pStyle w:val="5"/>
                    <w:jc w:val="center"/>
                    <w:rPr>
                      <w:rFonts w:ascii="Times New Roman" w:hAnsi="Times New Roman"/>
                      <w:color w:val="000000" w:themeColor="text1"/>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97" w:hRule="atLeast"/>
              </w:trPr>
              <w:tc>
                <w:tcPr>
                  <w:tcW w:w="334" w:type="pct"/>
                  <w:vMerge w:val="continue"/>
                  <w:tcMar>
                    <w:top w:w="28" w:type="dxa"/>
                    <w:bottom w:w="57" w:type="dxa"/>
                  </w:tcMar>
                  <w:vAlign w:val="center"/>
                </w:tcPr>
                <w:p>
                  <w:pPr>
                    <w:pStyle w:val="5"/>
                    <w:jc w:val="center"/>
                    <w:rPr>
                      <w:rFonts w:ascii="Times New Roman" w:hAnsi="Times New Roman"/>
                      <w:color w:val="000000" w:themeColor="text1"/>
                      <w:sz w:val="21"/>
                      <w:szCs w:val="21"/>
                    </w:rPr>
                  </w:pPr>
                </w:p>
              </w:tc>
              <w:tc>
                <w:tcPr>
                  <w:tcW w:w="673" w:type="pct"/>
                  <w:vMerge w:val="continue"/>
                  <w:tcMar>
                    <w:top w:w="28" w:type="dxa"/>
                    <w:bottom w:w="57" w:type="dxa"/>
                  </w:tcMar>
                  <w:vAlign w:val="center"/>
                </w:tcPr>
                <w:p>
                  <w:pPr>
                    <w:pStyle w:val="5"/>
                    <w:jc w:val="center"/>
                    <w:rPr>
                      <w:rFonts w:ascii="Times New Roman" w:hAnsi="Times New Roman"/>
                      <w:color w:val="000000" w:themeColor="text1"/>
                      <w:sz w:val="21"/>
                      <w:szCs w:val="21"/>
                    </w:rPr>
                  </w:pPr>
                </w:p>
              </w:tc>
              <w:tc>
                <w:tcPr>
                  <w:tcW w:w="506" w:type="pct"/>
                  <w:vMerge w:val="continue"/>
                  <w:tcMar>
                    <w:top w:w="28" w:type="dxa"/>
                    <w:bottom w:w="57" w:type="dxa"/>
                  </w:tcMar>
                  <w:vAlign w:val="center"/>
                </w:tcPr>
                <w:p>
                  <w:pPr>
                    <w:pStyle w:val="5"/>
                    <w:jc w:val="center"/>
                    <w:rPr>
                      <w:rFonts w:ascii="Times New Roman" w:hAnsi="Times New Roman"/>
                      <w:color w:val="000000" w:themeColor="text1"/>
                      <w:sz w:val="21"/>
                      <w:szCs w:val="21"/>
                    </w:rPr>
                  </w:pPr>
                </w:p>
              </w:tc>
              <w:tc>
                <w:tcPr>
                  <w:tcW w:w="2541" w:type="pct"/>
                  <w:tcMar>
                    <w:top w:w="28" w:type="dxa"/>
                    <w:bottom w:w="57" w:type="dxa"/>
                  </w:tcMar>
                  <w:vAlign w:val="center"/>
                </w:tcPr>
                <w:p>
                  <w:pPr>
                    <w:pStyle w:val="5"/>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禁止新建、单纯扩建生物发酵制药</w:t>
                  </w:r>
                  <w:r>
                    <w:rPr>
                      <w:rFonts w:hint="eastAsia" w:ascii="Times New Roman" w:hAnsi="Times New Roman"/>
                      <w:color w:val="000000" w:themeColor="text1"/>
                      <w:sz w:val="21"/>
                      <w:szCs w:val="21"/>
                    </w:rPr>
                    <w:cr/>
                  </w:r>
                  <w:r>
                    <w:rPr>
                      <w:rFonts w:hint="eastAsia" w:ascii="Times New Roman" w:hAnsi="Times New Roman"/>
                      <w:color w:val="000000" w:themeColor="text1"/>
                      <w:sz w:val="21"/>
                      <w:szCs w:val="21"/>
                    </w:rPr>
                    <w:t>目（单纯分装、复配以及现有企业升级改造项目除外）</w:t>
                  </w:r>
                </w:p>
              </w:tc>
              <w:tc>
                <w:tcPr>
                  <w:tcW w:w="944" w:type="pct"/>
                  <w:vMerge w:val="continue"/>
                </w:tcPr>
                <w:p>
                  <w:pPr>
                    <w:pStyle w:val="5"/>
                    <w:jc w:val="center"/>
                    <w:rPr>
                      <w:rFonts w:ascii="Times New Roman" w:hAnsi="Times New Roman"/>
                      <w:color w:val="000000" w:themeColor="text1"/>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97" w:hRule="atLeast"/>
              </w:trPr>
              <w:tc>
                <w:tcPr>
                  <w:tcW w:w="334" w:type="pct"/>
                  <w:vMerge w:val="continue"/>
                  <w:tcMar>
                    <w:top w:w="28" w:type="dxa"/>
                    <w:bottom w:w="57" w:type="dxa"/>
                  </w:tcMar>
                  <w:vAlign w:val="center"/>
                </w:tcPr>
                <w:p>
                  <w:pPr>
                    <w:pStyle w:val="5"/>
                    <w:jc w:val="center"/>
                    <w:rPr>
                      <w:rFonts w:ascii="Times New Roman" w:hAnsi="Times New Roman"/>
                      <w:color w:val="000000" w:themeColor="text1"/>
                      <w:sz w:val="21"/>
                      <w:szCs w:val="21"/>
                    </w:rPr>
                  </w:pPr>
                </w:p>
              </w:tc>
              <w:tc>
                <w:tcPr>
                  <w:tcW w:w="673" w:type="pct"/>
                  <w:vMerge w:val="continue"/>
                  <w:tcMar>
                    <w:top w:w="28" w:type="dxa"/>
                    <w:bottom w:w="57" w:type="dxa"/>
                  </w:tcMar>
                  <w:vAlign w:val="center"/>
                </w:tcPr>
                <w:p>
                  <w:pPr>
                    <w:pStyle w:val="5"/>
                    <w:jc w:val="center"/>
                    <w:rPr>
                      <w:rFonts w:ascii="Times New Roman" w:hAnsi="Times New Roman"/>
                      <w:color w:val="000000" w:themeColor="text1"/>
                      <w:sz w:val="21"/>
                      <w:szCs w:val="21"/>
                    </w:rPr>
                  </w:pPr>
                </w:p>
              </w:tc>
              <w:tc>
                <w:tcPr>
                  <w:tcW w:w="506" w:type="pct"/>
                  <w:vMerge w:val="continue"/>
                  <w:tcMar>
                    <w:top w:w="28" w:type="dxa"/>
                    <w:bottom w:w="57" w:type="dxa"/>
                  </w:tcMar>
                  <w:vAlign w:val="center"/>
                </w:tcPr>
                <w:p>
                  <w:pPr>
                    <w:pStyle w:val="5"/>
                    <w:jc w:val="center"/>
                    <w:rPr>
                      <w:rFonts w:ascii="Times New Roman" w:hAnsi="Times New Roman"/>
                      <w:color w:val="000000" w:themeColor="text1"/>
                      <w:sz w:val="21"/>
                      <w:szCs w:val="21"/>
                    </w:rPr>
                  </w:pPr>
                </w:p>
              </w:tc>
              <w:tc>
                <w:tcPr>
                  <w:tcW w:w="2541" w:type="pct"/>
                  <w:tcMar>
                    <w:top w:w="28" w:type="dxa"/>
                    <w:bottom w:w="57" w:type="dxa"/>
                  </w:tcMar>
                  <w:vAlign w:val="center"/>
                </w:tcPr>
                <w:p>
                  <w:pPr>
                    <w:pStyle w:val="5"/>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禁止农药类项目</w:t>
                  </w:r>
                </w:p>
              </w:tc>
              <w:tc>
                <w:tcPr>
                  <w:tcW w:w="944" w:type="pct"/>
                  <w:vMerge w:val="continue"/>
                </w:tcPr>
                <w:p>
                  <w:pPr>
                    <w:pStyle w:val="5"/>
                    <w:jc w:val="center"/>
                    <w:rPr>
                      <w:rFonts w:ascii="Times New Roman" w:hAnsi="Times New Roman"/>
                      <w:color w:val="000000" w:themeColor="text1"/>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97" w:hRule="atLeast"/>
              </w:trPr>
              <w:tc>
                <w:tcPr>
                  <w:tcW w:w="334" w:type="pct"/>
                  <w:vMerge w:val="restart"/>
                  <w:tcMar>
                    <w:top w:w="28" w:type="dxa"/>
                    <w:bottom w:w="57" w:type="dxa"/>
                  </w:tcMar>
                  <w:vAlign w:val="center"/>
                </w:tcPr>
                <w:p>
                  <w:pPr>
                    <w:pStyle w:val="5"/>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3</w:t>
                  </w:r>
                </w:p>
              </w:tc>
              <w:tc>
                <w:tcPr>
                  <w:tcW w:w="673" w:type="pct"/>
                  <w:vMerge w:val="continue"/>
                  <w:tcMar>
                    <w:top w:w="28" w:type="dxa"/>
                    <w:bottom w:w="57" w:type="dxa"/>
                  </w:tcMar>
                  <w:vAlign w:val="center"/>
                </w:tcPr>
                <w:p>
                  <w:pPr>
                    <w:pStyle w:val="5"/>
                    <w:jc w:val="center"/>
                    <w:rPr>
                      <w:rFonts w:ascii="Times New Roman" w:hAnsi="Times New Roman"/>
                      <w:color w:val="000000" w:themeColor="text1"/>
                      <w:sz w:val="21"/>
                      <w:szCs w:val="21"/>
                    </w:rPr>
                  </w:pPr>
                </w:p>
              </w:tc>
              <w:tc>
                <w:tcPr>
                  <w:tcW w:w="506" w:type="pct"/>
                  <w:vMerge w:val="restart"/>
                  <w:tcMar>
                    <w:top w:w="28" w:type="dxa"/>
                    <w:bottom w:w="57" w:type="dxa"/>
                  </w:tcMar>
                  <w:vAlign w:val="center"/>
                </w:tcPr>
                <w:p>
                  <w:pPr>
                    <w:pStyle w:val="5"/>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装备制造</w:t>
                  </w:r>
                </w:p>
              </w:tc>
              <w:tc>
                <w:tcPr>
                  <w:tcW w:w="2541" w:type="pct"/>
                  <w:tcMar>
                    <w:top w:w="28" w:type="dxa"/>
                    <w:bottom w:w="57" w:type="dxa"/>
                  </w:tcMar>
                  <w:vAlign w:val="center"/>
                </w:tcPr>
                <w:p>
                  <w:pPr>
                    <w:pStyle w:val="5"/>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限制发展园区内现有的与产业定位不符的企业</w:t>
                  </w:r>
                </w:p>
              </w:tc>
              <w:tc>
                <w:tcPr>
                  <w:tcW w:w="944" w:type="pct"/>
                  <w:vMerge w:val="continue"/>
                </w:tcPr>
                <w:p>
                  <w:pPr>
                    <w:pStyle w:val="5"/>
                    <w:jc w:val="center"/>
                    <w:rPr>
                      <w:rFonts w:ascii="Times New Roman" w:hAnsi="Times New Roman"/>
                      <w:color w:val="000000" w:themeColor="text1"/>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97" w:hRule="atLeast"/>
              </w:trPr>
              <w:tc>
                <w:tcPr>
                  <w:tcW w:w="334" w:type="pct"/>
                  <w:vMerge w:val="continue"/>
                  <w:tcMar>
                    <w:top w:w="28" w:type="dxa"/>
                    <w:bottom w:w="57" w:type="dxa"/>
                  </w:tcMar>
                  <w:vAlign w:val="center"/>
                </w:tcPr>
                <w:p>
                  <w:pPr>
                    <w:pStyle w:val="5"/>
                    <w:jc w:val="center"/>
                    <w:rPr>
                      <w:rFonts w:ascii="Times New Roman" w:hAnsi="Times New Roman"/>
                      <w:color w:val="000000" w:themeColor="text1"/>
                      <w:sz w:val="21"/>
                      <w:szCs w:val="21"/>
                    </w:rPr>
                  </w:pPr>
                </w:p>
              </w:tc>
              <w:tc>
                <w:tcPr>
                  <w:tcW w:w="673" w:type="pct"/>
                  <w:vMerge w:val="continue"/>
                  <w:tcMar>
                    <w:top w:w="28" w:type="dxa"/>
                    <w:bottom w:w="57" w:type="dxa"/>
                  </w:tcMar>
                  <w:vAlign w:val="center"/>
                </w:tcPr>
                <w:p>
                  <w:pPr>
                    <w:pStyle w:val="5"/>
                    <w:jc w:val="center"/>
                    <w:rPr>
                      <w:rFonts w:ascii="Times New Roman" w:hAnsi="Times New Roman"/>
                      <w:color w:val="000000" w:themeColor="text1"/>
                      <w:sz w:val="21"/>
                      <w:szCs w:val="21"/>
                    </w:rPr>
                  </w:pPr>
                </w:p>
              </w:tc>
              <w:tc>
                <w:tcPr>
                  <w:tcW w:w="506" w:type="pct"/>
                  <w:vMerge w:val="continue"/>
                  <w:tcMar>
                    <w:top w:w="28" w:type="dxa"/>
                    <w:bottom w:w="57" w:type="dxa"/>
                  </w:tcMar>
                  <w:vAlign w:val="center"/>
                </w:tcPr>
                <w:p>
                  <w:pPr>
                    <w:pStyle w:val="5"/>
                    <w:jc w:val="center"/>
                    <w:rPr>
                      <w:rFonts w:ascii="Times New Roman" w:hAnsi="Times New Roman"/>
                      <w:color w:val="000000" w:themeColor="text1"/>
                      <w:sz w:val="21"/>
                      <w:szCs w:val="21"/>
                    </w:rPr>
                  </w:pPr>
                </w:p>
              </w:tc>
              <w:tc>
                <w:tcPr>
                  <w:tcW w:w="2541" w:type="pct"/>
                  <w:tcMar>
                    <w:top w:w="28" w:type="dxa"/>
                    <w:bottom w:w="57" w:type="dxa"/>
                  </w:tcMar>
                  <w:vAlign w:val="center"/>
                </w:tcPr>
                <w:p>
                  <w:pPr>
                    <w:pStyle w:val="5"/>
                    <w:jc w:val="center"/>
                    <w:rPr>
                      <w:rFonts w:ascii="Times New Roman" w:hAnsi="Times New Roman"/>
                      <w:color w:val="000000" w:themeColor="text1"/>
                      <w:sz w:val="21"/>
                      <w:szCs w:val="21"/>
                    </w:rPr>
                  </w:pPr>
                  <w:r>
                    <w:rPr>
                      <w:rFonts w:ascii="Times New Roman" w:hAnsi="Times New Roman"/>
                      <w:color w:val="000000" w:themeColor="text1"/>
                      <w:sz w:val="21"/>
                      <w:szCs w:val="21"/>
                    </w:rPr>
                    <w:t>禁止建设独立电镀项目</w:t>
                  </w:r>
                </w:p>
              </w:tc>
              <w:tc>
                <w:tcPr>
                  <w:tcW w:w="944" w:type="pct"/>
                  <w:vMerge w:val="continue"/>
                </w:tcPr>
                <w:p>
                  <w:pPr>
                    <w:pStyle w:val="5"/>
                    <w:jc w:val="center"/>
                    <w:rPr>
                      <w:rFonts w:ascii="Times New Roman" w:hAnsi="Times New Roman"/>
                      <w:color w:val="000000" w:themeColor="text1"/>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97" w:hRule="atLeast"/>
              </w:trPr>
              <w:tc>
                <w:tcPr>
                  <w:tcW w:w="334" w:type="pct"/>
                  <w:tcMar>
                    <w:top w:w="28" w:type="dxa"/>
                    <w:bottom w:w="57" w:type="dxa"/>
                  </w:tcMar>
                  <w:vAlign w:val="center"/>
                </w:tcPr>
                <w:p>
                  <w:pPr>
                    <w:pStyle w:val="5"/>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4</w:t>
                  </w:r>
                </w:p>
              </w:tc>
              <w:tc>
                <w:tcPr>
                  <w:tcW w:w="673" w:type="pct"/>
                  <w:vMerge w:val="continue"/>
                  <w:tcMar>
                    <w:top w:w="28" w:type="dxa"/>
                    <w:bottom w:w="57" w:type="dxa"/>
                  </w:tcMar>
                  <w:vAlign w:val="center"/>
                </w:tcPr>
                <w:p>
                  <w:pPr>
                    <w:pStyle w:val="5"/>
                    <w:jc w:val="center"/>
                    <w:rPr>
                      <w:rFonts w:ascii="Times New Roman" w:hAnsi="Times New Roman"/>
                      <w:color w:val="000000" w:themeColor="text1"/>
                      <w:sz w:val="21"/>
                      <w:szCs w:val="21"/>
                    </w:rPr>
                  </w:pPr>
                </w:p>
              </w:tc>
              <w:tc>
                <w:tcPr>
                  <w:tcW w:w="506" w:type="pct"/>
                  <w:tcMar>
                    <w:top w:w="28" w:type="dxa"/>
                    <w:bottom w:w="57" w:type="dxa"/>
                  </w:tcMar>
                  <w:vAlign w:val="center"/>
                </w:tcPr>
                <w:p>
                  <w:pPr>
                    <w:pStyle w:val="5"/>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纸制品印刷包装</w:t>
                  </w:r>
                </w:p>
              </w:tc>
              <w:tc>
                <w:tcPr>
                  <w:tcW w:w="2541" w:type="pct"/>
                  <w:tcMar>
                    <w:top w:w="28" w:type="dxa"/>
                    <w:bottom w:w="57" w:type="dxa"/>
                  </w:tcMar>
                  <w:vAlign w:val="center"/>
                </w:tcPr>
                <w:p>
                  <w:pPr>
                    <w:pStyle w:val="5"/>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禁止造纸制浆、油墨生产（单纯分装、复配除外）项目入驻</w:t>
                  </w:r>
                </w:p>
              </w:tc>
              <w:tc>
                <w:tcPr>
                  <w:tcW w:w="944" w:type="pct"/>
                  <w:vMerge w:val="continue"/>
                </w:tcPr>
                <w:p>
                  <w:pPr>
                    <w:pStyle w:val="5"/>
                    <w:jc w:val="center"/>
                    <w:rPr>
                      <w:rFonts w:ascii="Times New Roman" w:hAnsi="Times New Roman"/>
                      <w:color w:val="000000" w:themeColor="text1"/>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97" w:hRule="atLeast"/>
              </w:trPr>
              <w:tc>
                <w:tcPr>
                  <w:tcW w:w="334" w:type="pct"/>
                  <w:tcMar>
                    <w:top w:w="28" w:type="dxa"/>
                    <w:bottom w:w="57" w:type="dxa"/>
                  </w:tcMar>
                  <w:vAlign w:val="center"/>
                </w:tcPr>
                <w:p>
                  <w:pPr>
                    <w:pStyle w:val="5"/>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5</w:t>
                  </w:r>
                </w:p>
              </w:tc>
              <w:tc>
                <w:tcPr>
                  <w:tcW w:w="673" w:type="pct"/>
                  <w:vMerge w:val="continue"/>
                  <w:tcMar>
                    <w:top w:w="28" w:type="dxa"/>
                    <w:bottom w:w="57" w:type="dxa"/>
                  </w:tcMar>
                  <w:vAlign w:val="center"/>
                </w:tcPr>
                <w:p>
                  <w:pPr>
                    <w:pStyle w:val="5"/>
                    <w:jc w:val="center"/>
                    <w:rPr>
                      <w:rFonts w:ascii="Times New Roman" w:hAnsi="Times New Roman"/>
                      <w:color w:val="000000" w:themeColor="text1"/>
                      <w:sz w:val="21"/>
                      <w:szCs w:val="21"/>
                    </w:rPr>
                  </w:pPr>
                </w:p>
              </w:tc>
              <w:tc>
                <w:tcPr>
                  <w:tcW w:w="506" w:type="pct"/>
                  <w:tcMar>
                    <w:top w:w="28" w:type="dxa"/>
                    <w:bottom w:w="57" w:type="dxa"/>
                  </w:tcMar>
                  <w:vAlign w:val="center"/>
                </w:tcPr>
                <w:p>
                  <w:pPr>
                    <w:pStyle w:val="5"/>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其他</w:t>
                  </w:r>
                </w:p>
              </w:tc>
              <w:tc>
                <w:tcPr>
                  <w:tcW w:w="2541" w:type="pct"/>
                  <w:tcMar>
                    <w:top w:w="28" w:type="dxa"/>
                    <w:bottom w:w="57" w:type="dxa"/>
                  </w:tcMar>
                  <w:vAlign w:val="center"/>
                </w:tcPr>
                <w:p>
                  <w:pPr>
                    <w:pStyle w:val="5"/>
                    <w:jc w:val="center"/>
                    <w:rPr>
                      <w:rFonts w:ascii="Times New Roman" w:hAnsi="Times New Roman"/>
                      <w:color w:val="000000" w:themeColor="text1"/>
                      <w:sz w:val="21"/>
                      <w:szCs w:val="21"/>
                    </w:rPr>
                  </w:pPr>
                  <w:r>
                    <w:rPr>
                      <w:rFonts w:ascii="Times New Roman" w:hAnsi="Times New Roman"/>
                      <w:bCs/>
                      <w:color w:val="000000" w:themeColor="text1"/>
                      <w:sz w:val="20"/>
                    </w:rPr>
                    <w:t>禁止发展不在园区产业定位的制革、化纤浆粕、黑色冶金、焦化、独立电镀、皂素、金属冶炼等</w:t>
                  </w:r>
                  <w:r>
                    <w:rPr>
                      <w:rFonts w:hint="eastAsia" w:ascii="Times New Roman" w:hAnsi="Times New Roman"/>
                      <w:bCs/>
                      <w:color w:val="000000" w:themeColor="text1"/>
                      <w:sz w:val="20"/>
                    </w:rPr>
                    <w:t>不符合园区产业定位且污染较重的项目。</w:t>
                  </w:r>
                </w:p>
              </w:tc>
              <w:tc>
                <w:tcPr>
                  <w:tcW w:w="944" w:type="pct"/>
                  <w:vMerge w:val="continue"/>
                </w:tcPr>
                <w:p>
                  <w:pPr>
                    <w:pStyle w:val="5"/>
                    <w:jc w:val="center"/>
                    <w:rPr>
                      <w:rFonts w:ascii="Times New Roman" w:hAnsi="Times New Roman"/>
                      <w:color w:val="000000" w:themeColor="text1"/>
                      <w:sz w:val="21"/>
                      <w:szCs w:val="21"/>
                    </w:rPr>
                  </w:pPr>
                </w:p>
              </w:tc>
            </w:tr>
          </w:tbl>
          <w:p>
            <w:pPr>
              <w:pStyle w:val="5"/>
              <w:spacing w:line="440" w:lineRule="exact"/>
              <w:ind w:firstLine="480" w:firstLineChars="200"/>
              <w:rPr>
                <w:rFonts w:ascii="Times New Roman" w:hAnsi="Times New Roman"/>
                <w:color w:val="000000" w:themeColor="text1"/>
                <w:szCs w:val="24"/>
              </w:rPr>
            </w:pPr>
            <w:r>
              <w:rPr>
                <w:rFonts w:hint="eastAsia" w:ascii="Times New Roman" w:hAnsi="Times New Roman"/>
                <w:color w:val="000000" w:themeColor="text1"/>
                <w:kern w:val="0"/>
                <w:szCs w:val="24"/>
              </w:rPr>
              <w:t>由表14可知，</w:t>
            </w:r>
            <w:r>
              <w:rPr>
                <w:rFonts w:ascii="Times New Roman" w:hAnsi="Times New Roman"/>
                <w:color w:val="000000" w:themeColor="text1"/>
                <w:szCs w:val="24"/>
              </w:rPr>
              <w:t>本项目</w:t>
            </w:r>
            <w:r>
              <w:rPr>
                <w:rFonts w:hint="eastAsia" w:ascii="Times New Roman" w:hAnsi="Times New Roman"/>
                <w:color w:val="000000" w:themeColor="text1"/>
                <w:kern w:val="0"/>
                <w:szCs w:val="24"/>
              </w:rPr>
              <w:t>位于</w:t>
            </w:r>
            <w:r>
              <w:rPr>
                <w:rFonts w:ascii="Times New Roman" w:hAnsi="Times New Roman"/>
                <w:color w:val="000000" w:themeColor="text1"/>
                <w:szCs w:val="24"/>
              </w:rPr>
              <w:t>新乡经济技术产业集聚区</w:t>
            </w:r>
            <w:r>
              <w:rPr>
                <w:rFonts w:hint="eastAsia" w:ascii="Times New Roman" w:hAnsi="Times New Roman"/>
                <w:color w:val="000000" w:themeColor="text1"/>
                <w:szCs w:val="24"/>
              </w:rPr>
              <w:t>纸制品印刷包装产业园内，</w:t>
            </w:r>
            <w:r>
              <w:rPr>
                <w:rFonts w:hint="eastAsia" w:ascii="Times New Roman" w:hAnsi="Times New Roman"/>
                <w:color w:val="000000" w:themeColor="text1"/>
                <w:kern w:val="0"/>
                <w:szCs w:val="24"/>
              </w:rPr>
              <w:t>项目属于塑料制品项目，主要用于</w:t>
            </w:r>
            <w:r>
              <w:rPr>
                <w:rFonts w:hint="eastAsia" w:ascii="Times New Roman" w:hAnsi="Times New Roman"/>
                <w:color w:val="000000" w:themeColor="text1"/>
                <w:szCs w:val="24"/>
              </w:rPr>
              <w:t>生产</w:t>
            </w:r>
            <w:r>
              <w:rPr>
                <w:rFonts w:ascii="Times New Roman" w:hAnsi="Times New Roman"/>
                <w:color w:val="000000" w:themeColor="text1"/>
                <w:szCs w:val="24"/>
              </w:rPr>
              <w:t>塑料磁吸门帘</w:t>
            </w:r>
            <w:r>
              <w:rPr>
                <w:rFonts w:hint="eastAsia" w:ascii="Times New Roman" w:hAnsi="Times New Roman"/>
                <w:color w:val="000000" w:themeColor="text1"/>
                <w:kern w:val="0"/>
                <w:szCs w:val="24"/>
              </w:rPr>
              <w:t>，</w:t>
            </w:r>
            <w:r>
              <w:rPr>
                <w:rFonts w:hint="eastAsia" w:ascii="Times New Roman" w:hAnsi="Times New Roman"/>
                <w:color w:val="000000" w:themeColor="text1"/>
                <w:szCs w:val="24"/>
              </w:rPr>
              <w:t>不属于纸制品印刷包装产业，与园区内现有的产业定位不冲突。项目</w:t>
            </w:r>
            <w:r>
              <w:rPr>
                <w:rFonts w:ascii="Times New Roman" w:hAnsi="Times New Roman"/>
                <w:color w:val="000000" w:themeColor="text1"/>
                <w:szCs w:val="24"/>
              </w:rPr>
              <w:t>属于</w:t>
            </w:r>
            <w:r>
              <w:rPr>
                <w:rFonts w:hint="eastAsia" w:ascii="Times New Roman" w:hAnsi="Times New Roman"/>
                <w:color w:val="000000" w:themeColor="text1"/>
                <w:szCs w:val="24"/>
              </w:rPr>
              <w:t>允许</w:t>
            </w:r>
            <w:r>
              <w:rPr>
                <w:rFonts w:ascii="Times New Roman" w:hAnsi="Times New Roman"/>
                <w:color w:val="000000" w:themeColor="text1"/>
                <w:szCs w:val="24"/>
              </w:rPr>
              <w:t>类，生产工艺简单，能耗少、污染小</w:t>
            </w:r>
            <w:r>
              <w:rPr>
                <w:rFonts w:hint="eastAsia" w:ascii="Times New Roman" w:hAnsi="Times New Roman"/>
                <w:color w:val="000000" w:themeColor="text1"/>
                <w:szCs w:val="24"/>
              </w:rPr>
              <w:t>。</w:t>
            </w:r>
            <w:r>
              <w:rPr>
                <w:rFonts w:ascii="Times New Roman" w:hAnsi="Times New Roman"/>
                <w:color w:val="000000" w:themeColor="text1"/>
                <w:szCs w:val="24"/>
              </w:rPr>
              <w:t>本项目建设完成后</w:t>
            </w:r>
            <w:r>
              <w:rPr>
                <w:rFonts w:hint="eastAsia" w:ascii="Times New Roman" w:hAnsi="Times New Roman"/>
                <w:color w:val="000000" w:themeColor="text1"/>
                <w:szCs w:val="24"/>
              </w:rPr>
              <w:t>，</w:t>
            </w:r>
            <w:r>
              <w:rPr>
                <w:rFonts w:hint="eastAsia" w:ascii="Times New Roman" w:hAnsi="Times New Roman"/>
                <w:bCs/>
                <w:color w:val="000000" w:themeColor="text1"/>
                <w:szCs w:val="24"/>
              </w:rPr>
              <w:t>全厂卫生防护距离为</w:t>
            </w:r>
            <w:r>
              <w:rPr>
                <w:rFonts w:ascii="Times New Roman" w:hAnsi="Times New Roman"/>
                <w:color w:val="000000" w:themeColor="text1"/>
                <w:szCs w:val="24"/>
              </w:rPr>
              <w:t>东厂界外</w:t>
            </w:r>
            <w:r>
              <w:rPr>
                <w:rFonts w:hint="eastAsia" w:ascii="Times New Roman" w:hAnsi="Times New Roman"/>
                <w:color w:val="000000" w:themeColor="text1"/>
                <w:szCs w:val="24"/>
              </w:rPr>
              <w:t>95</w:t>
            </w:r>
            <w:r>
              <w:rPr>
                <w:rFonts w:ascii="Times New Roman" w:hAnsi="Times New Roman"/>
                <w:color w:val="000000" w:themeColor="text1"/>
                <w:szCs w:val="24"/>
              </w:rPr>
              <w:t>m、南厂界外</w:t>
            </w:r>
            <w:r>
              <w:rPr>
                <w:rFonts w:hint="eastAsia" w:ascii="Times New Roman" w:hAnsi="Times New Roman"/>
                <w:color w:val="000000" w:themeColor="text1"/>
                <w:szCs w:val="24"/>
              </w:rPr>
              <w:t>96</w:t>
            </w:r>
            <w:r>
              <w:rPr>
                <w:rFonts w:ascii="Times New Roman" w:hAnsi="Times New Roman"/>
                <w:color w:val="000000" w:themeColor="text1"/>
                <w:szCs w:val="24"/>
              </w:rPr>
              <w:t>m、西厂界外</w:t>
            </w:r>
            <w:r>
              <w:rPr>
                <w:rFonts w:hint="eastAsia" w:ascii="Times New Roman" w:hAnsi="Times New Roman"/>
                <w:color w:val="000000" w:themeColor="text1"/>
                <w:szCs w:val="24"/>
              </w:rPr>
              <w:t>95</w:t>
            </w:r>
            <w:r>
              <w:rPr>
                <w:rFonts w:ascii="Times New Roman" w:hAnsi="Times New Roman"/>
                <w:color w:val="000000" w:themeColor="text1"/>
                <w:szCs w:val="24"/>
              </w:rPr>
              <w:t>m、北厂界外</w:t>
            </w:r>
            <w:r>
              <w:rPr>
                <w:rFonts w:hint="eastAsia" w:ascii="Times New Roman" w:hAnsi="Times New Roman"/>
                <w:color w:val="000000" w:themeColor="text1"/>
                <w:szCs w:val="24"/>
              </w:rPr>
              <w:t>97</w:t>
            </w:r>
            <w:r>
              <w:rPr>
                <w:rFonts w:ascii="Times New Roman" w:hAnsi="Times New Roman"/>
                <w:color w:val="000000" w:themeColor="text1"/>
                <w:szCs w:val="24"/>
              </w:rPr>
              <w:t>m。</w:t>
            </w:r>
            <w:r>
              <w:rPr>
                <w:rFonts w:hint="eastAsia" w:ascii="Times New Roman" w:hAnsi="Times New Roman"/>
                <w:color w:val="000000" w:themeColor="text1"/>
                <w:szCs w:val="24"/>
              </w:rPr>
              <w:t>根据现场勘查，</w:t>
            </w:r>
            <w:r>
              <w:rPr>
                <w:rFonts w:ascii="Times New Roman" w:hAnsi="Times New Roman"/>
                <w:color w:val="000000" w:themeColor="text1"/>
                <w:szCs w:val="24"/>
              </w:rPr>
              <w:t>项目厂址四周均为工业企业</w:t>
            </w:r>
            <w:r>
              <w:rPr>
                <w:rFonts w:hint="eastAsia" w:ascii="Times New Roman" w:hAnsi="Times New Roman"/>
                <w:color w:val="000000" w:themeColor="text1"/>
                <w:szCs w:val="24"/>
              </w:rPr>
              <w:t>、</w:t>
            </w:r>
            <w:r>
              <w:rPr>
                <w:rFonts w:ascii="Times New Roman" w:hAnsi="Times New Roman"/>
                <w:color w:val="000000" w:themeColor="text1"/>
                <w:szCs w:val="24"/>
              </w:rPr>
              <w:t>空地和农田，</w:t>
            </w:r>
            <w:r>
              <w:rPr>
                <w:rFonts w:hint="eastAsia" w:ascii="Times New Roman" w:hAnsi="Times New Roman"/>
                <w:color w:val="000000" w:themeColor="text1"/>
                <w:szCs w:val="24"/>
              </w:rPr>
              <w:t>项目</w:t>
            </w:r>
            <w:r>
              <w:rPr>
                <w:rFonts w:ascii="Times New Roman" w:hAnsi="Times New Roman"/>
                <w:color w:val="000000" w:themeColor="text1"/>
                <w:szCs w:val="24"/>
              </w:rPr>
              <w:t>卫生防护距离内没有居民区、医院、学校、文教机关</w:t>
            </w:r>
            <w:r>
              <w:rPr>
                <w:rFonts w:hint="eastAsia" w:ascii="Times New Roman" w:hAnsi="Times New Roman"/>
                <w:color w:val="000000" w:themeColor="text1"/>
                <w:szCs w:val="24"/>
              </w:rPr>
              <w:t>等</w:t>
            </w:r>
            <w:r>
              <w:rPr>
                <w:rFonts w:ascii="Times New Roman" w:hAnsi="Times New Roman"/>
                <w:color w:val="000000" w:themeColor="text1"/>
                <w:szCs w:val="24"/>
              </w:rPr>
              <w:t>敏感点存在</w:t>
            </w:r>
            <w:r>
              <w:rPr>
                <w:rFonts w:hint="eastAsia" w:ascii="Times New Roman" w:hAnsi="Times New Roman"/>
                <w:color w:val="000000" w:themeColor="text1"/>
                <w:szCs w:val="24"/>
              </w:rPr>
              <w:t>，</w:t>
            </w:r>
            <w:r>
              <w:rPr>
                <w:rFonts w:ascii="Times New Roman" w:hAnsi="Times New Roman"/>
                <w:color w:val="000000" w:themeColor="text1"/>
                <w:szCs w:val="24"/>
              </w:rPr>
              <w:t>周边无食品加工厂</w:t>
            </w:r>
            <w:r>
              <w:rPr>
                <w:rFonts w:hint="eastAsia" w:ascii="Times New Roman" w:hAnsi="Times New Roman"/>
                <w:color w:val="000000" w:themeColor="text1"/>
                <w:szCs w:val="24"/>
              </w:rPr>
              <w:t>和医药厂</w:t>
            </w:r>
            <w:r>
              <w:rPr>
                <w:rFonts w:ascii="Times New Roman" w:hAnsi="Times New Roman"/>
                <w:color w:val="000000" w:themeColor="text1"/>
                <w:szCs w:val="24"/>
              </w:rPr>
              <w:t>等其他与本项目不相容的企业存在</w:t>
            </w:r>
            <w:r>
              <w:rPr>
                <w:rFonts w:hint="eastAsia" w:ascii="Times New Roman" w:hAnsi="Times New Roman"/>
                <w:color w:val="000000" w:themeColor="text1"/>
                <w:szCs w:val="24"/>
              </w:rPr>
              <w:t>，故本项目与纸制品印刷包装产业园相容，不冲突。</w:t>
            </w:r>
            <w:r>
              <w:rPr>
                <w:rFonts w:hint="eastAsia" w:ascii="Times New Roman" w:hAnsi="Times New Roman"/>
                <w:bCs/>
                <w:color w:val="000000" w:themeColor="text1"/>
                <w:kern w:val="0"/>
                <w:szCs w:val="24"/>
              </w:rPr>
              <w:t>同时对照表13和表14，本项目符合</w:t>
            </w:r>
            <w:r>
              <w:rPr>
                <w:rFonts w:ascii="Times New Roman" w:hAnsi="Times New Roman"/>
                <w:bCs/>
                <w:color w:val="000000" w:themeColor="text1"/>
                <w:kern w:val="0"/>
                <w:szCs w:val="24"/>
              </w:rPr>
              <w:t>新乡经济技术产业集聚区的</w:t>
            </w:r>
            <w:r>
              <w:rPr>
                <w:rFonts w:hint="eastAsia" w:ascii="Times New Roman" w:hAnsi="Times New Roman"/>
                <w:bCs/>
                <w:color w:val="000000" w:themeColor="text1"/>
                <w:kern w:val="0"/>
                <w:szCs w:val="24"/>
              </w:rPr>
              <w:t>环境</w:t>
            </w:r>
            <w:r>
              <w:rPr>
                <w:rFonts w:ascii="Times New Roman" w:hAnsi="Times New Roman"/>
                <w:bCs/>
                <w:color w:val="000000" w:themeColor="text1"/>
                <w:kern w:val="0"/>
                <w:szCs w:val="24"/>
              </w:rPr>
              <w:t>准入条件</w:t>
            </w:r>
            <w:r>
              <w:rPr>
                <w:rFonts w:hint="eastAsia" w:ascii="Times New Roman" w:hAnsi="Times New Roman"/>
                <w:bCs/>
                <w:color w:val="000000" w:themeColor="text1"/>
                <w:kern w:val="0"/>
                <w:szCs w:val="24"/>
              </w:rPr>
              <w:t>。</w:t>
            </w:r>
          </w:p>
          <w:p>
            <w:pPr>
              <w:pStyle w:val="5"/>
              <w:spacing w:line="440" w:lineRule="exact"/>
              <w:ind w:firstLine="480" w:firstLineChars="200"/>
              <w:rPr>
                <w:rFonts w:ascii="Times New Roman" w:hAnsi="Times New Roman"/>
                <w:bCs/>
                <w:color w:val="000000" w:themeColor="text1"/>
                <w:kern w:val="0"/>
                <w:szCs w:val="24"/>
              </w:rPr>
            </w:pPr>
            <w:r>
              <w:rPr>
                <w:rFonts w:hint="eastAsia" w:ascii="Times New Roman" w:hAnsi="Times New Roman"/>
                <w:bCs/>
                <w:color w:val="000000" w:themeColor="text1"/>
                <w:kern w:val="0"/>
                <w:szCs w:val="24"/>
              </w:rPr>
              <w:t>综上所述，本项目</w:t>
            </w:r>
            <w:r>
              <w:rPr>
                <w:rFonts w:ascii="Times New Roman" w:hAnsi="Times New Roman"/>
                <w:bCs/>
                <w:color w:val="000000" w:themeColor="text1"/>
                <w:kern w:val="0"/>
                <w:szCs w:val="24"/>
              </w:rPr>
              <w:t>符合新乡经济技术产业集聚区总体发展规划。</w:t>
            </w:r>
          </w:p>
          <w:p>
            <w:pPr>
              <w:pStyle w:val="5"/>
              <w:spacing w:line="440" w:lineRule="exact"/>
              <w:ind w:firstLine="480" w:firstLineChars="200"/>
              <w:rPr>
                <w:rFonts w:ascii="Times New Roman" w:hAnsi="Times New Roman"/>
                <w:bCs/>
                <w:color w:val="000000" w:themeColor="text1"/>
                <w:kern w:val="0"/>
                <w:szCs w:val="24"/>
              </w:rPr>
            </w:pPr>
          </w:p>
          <w:p>
            <w:pPr>
              <w:pStyle w:val="5"/>
              <w:spacing w:line="440" w:lineRule="exact"/>
              <w:ind w:firstLine="480" w:firstLineChars="200"/>
              <w:rPr>
                <w:rFonts w:ascii="Times New Roman" w:hAnsi="Times New Roman"/>
                <w:bCs/>
                <w:color w:val="000000" w:themeColor="text1"/>
                <w:kern w:val="0"/>
                <w:szCs w:val="24"/>
              </w:rPr>
            </w:pPr>
          </w:p>
          <w:p>
            <w:pPr>
              <w:pStyle w:val="5"/>
              <w:spacing w:line="440" w:lineRule="exact"/>
              <w:ind w:firstLine="480" w:firstLineChars="200"/>
              <w:rPr>
                <w:rFonts w:ascii="Times New Roman" w:hAnsi="Times New Roman"/>
                <w:bCs/>
                <w:color w:val="000000" w:themeColor="text1"/>
                <w:kern w:val="0"/>
                <w:szCs w:val="24"/>
              </w:rPr>
            </w:pPr>
          </w:p>
          <w:p>
            <w:pPr>
              <w:pStyle w:val="5"/>
              <w:spacing w:line="440" w:lineRule="exact"/>
              <w:ind w:firstLine="480" w:firstLineChars="200"/>
              <w:rPr>
                <w:rFonts w:ascii="Times New Roman" w:hAnsi="Times New Roman"/>
                <w:bCs/>
                <w:color w:val="000000" w:themeColor="text1"/>
                <w:kern w:val="0"/>
                <w:szCs w:val="24"/>
              </w:rPr>
            </w:pPr>
          </w:p>
          <w:p>
            <w:pPr>
              <w:pStyle w:val="5"/>
              <w:spacing w:line="440" w:lineRule="exact"/>
              <w:ind w:firstLine="480" w:firstLineChars="200"/>
              <w:rPr>
                <w:rFonts w:ascii="Times New Roman" w:hAnsi="Times New Roman"/>
                <w:bCs/>
                <w:color w:val="000000" w:themeColor="text1"/>
                <w:kern w:val="0"/>
                <w:szCs w:val="24"/>
              </w:rPr>
            </w:pPr>
          </w:p>
          <w:p>
            <w:pPr>
              <w:pStyle w:val="5"/>
              <w:spacing w:line="440" w:lineRule="exact"/>
              <w:ind w:firstLine="480" w:firstLineChars="200"/>
              <w:rPr>
                <w:rFonts w:ascii="Times New Roman" w:hAnsi="Times New Roman"/>
                <w:bCs/>
                <w:color w:val="000000" w:themeColor="text1"/>
                <w:kern w:val="0"/>
                <w:szCs w:val="24"/>
              </w:rPr>
            </w:pPr>
          </w:p>
          <w:p>
            <w:pPr>
              <w:pStyle w:val="5"/>
              <w:spacing w:line="440" w:lineRule="exact"/>
              <w:ind w:firstLine="480" w:firstLineChars="200"/>
              <w:rPr>
                <w:rFonts w:ascii="Times New Roman" w:hAnsi="Times New Roman"/>
                <w:bCs/>
                <w:color w:val="000000" w:themeColor="text1"/>
                <w:kern w:val="0"/>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127" w:hRule="atLeast"/>
          <w:jc w:val="center"/>
        </w:trPr>
        <w:tc>
          <w:tcPr>
            <w:tcW w:w="9186" w:type="dxa"/>
            <w:gridSpan w:val="6"/>
          </w:tcPr>
          <w:p>
            <w:pPr>
              <w:spacing w:line="440" w:lineRule="exact"/>
              <w:rPr>
                <w:rFonts w:ascii="Times New Roman" w:hAnsi="Times New Roman" w:eastAsia="宋体"/>
                <w:b/>
                <w:color w:val="000000" w:themeColor="text1"/>
                <w:sz w:val="24"/>
              </w:rPr>
            </w:pPr>
            <w:r>
              <w:rPr>
                <w:rFonts w:ascii="Times New Roman" w:hAnsi="Times New Roman" w:eastAsia="宋体"/>
                <w:b/>
                <w:color w:val="000000" w:themeColor="text1"/>
                <w:sz w:val="24"/>
              </w:rPr>
              <w:t>与本项目有关的原有污染情况及主要环境问题：</w:t>
            </w:r>
          </w:p>
          <w:p>
            <w:pPr>
              <w:pStyle w:val="9"/>
              <w:spacing w:line="440" w:lineRule="exact"/>
              <w:rPr>
                <w:rFonts w:ascii="Times New Roman" w:hAnsi="Times New Roman" w:eastAsia="宋体"/>
                <w:b/>
                <w:bCs/>
                <w:color w:val="000000" w:themeColor="text1"/>
                <w:sz w:val="24"/>
              </w:rPr>
            </w:pPr>
            <w:r>
              <w:rPr>
                <w:rFonts w:ascii="Times New Roman" w:hAnsi="Times New Roman" w:eastAsia="宋体"/>
                <w:color w:val="000000" w:themeColor="text1"/>
                <w:sz w:val="24"/>
              </w:rPr>
              <w:t xml:space="preserve">　  </w:t>
            </w:r>
            <w:r>
              <w:rPr>
                <w:rFonts w:ascii="Times New Roman" w:hAnsi="Times New Roman" w:eastAsia="宋体"/>
                <w:b/>
                <w:bCs/>
                <w:color w:val="000000" w:themeColor="text1"/>
                <w:sz w:val="24"/>
              </w:rPr>
              <w:t xml:space="preserve"> 1</w:t>
            </w:r>
            <w:r>
              <w:rPr>
                <w:rFonts w:hint="eastAsia" w:ascii="Times New Roman" w:hAnsi="Times New Roman" w:eastAsia="宋体"/>
                <w:b/>
                <w:bCs/>
                <w:color w:val="000000" w:themeColor="text1"/>
                <w:sz w:val="24"/>
              </w:rPr>
              <w:t>、原有工程基本情况</w:t>
            </w:r>
          </w:p>
          <w:p>
            <w:pPr>
              <w:pStyle w:val="9"/>
              <w:spacing w:line="440" w:lineRule="exact"/>
              <w:ind w:firstLine="480" w:firstLineChars="200"/>
              <w:rPr>
                <w:rFonts w:ascii="Times New Roman" w:hAnsi="Times New Roman" w:eastAsia="宋体"/>
                <w:color w:val="000000" w:themeColor="text1"/>
                <w:sz w:val="24"/>
              </w:rPr>
            </w:pPr>
            <w:r>
              <w:rPr>
                <w:rFonts w:hint="eastAsia" w:ascii="Times New Roman" w:hAnsi="Times New Roman" w:eastAsia="宋体"/>
                <w:color w:val="000000" w:themeColor="text1"/>
                <w:sz w:val="24"/>
              </w:rPr>
              <w:t>新乡市顺风船科技有限公司现有工程为年产1000吨PVC塑料制品项目和年产2800吨新型环保</w:t>
            </w:r>
            <w:r>
              <w:rPr>
                <w:rFonts w:hint="eastAsia" w:ascii="Times New Roman" w:hAnsi="Times New Roman" w:eastAsia="宋体"/>
                <w:bCs/>
                <w:color w:val="000000" w:themeColor="text1"/>
                <w:sz w:val="24"/>
              </w:rPr>
              <w:t>钙锌稳定剂项目</w:t>
            </w:r>
            <w:r>
              <w:rPr>
                <w:rFonts w:hint="eastAsia" w:ascii="Times New Roman" w:hAnsi="Times New Roman" w:eastAsia="宋体"/>
                <w:color w:val="000000" w:themeColor="text1"/>
                <w:sz w:val="24"/>
              </w:rPr>
              <w:t>，年产1000吨PVC塑料制品项目于</w:t>
            </w:r>
            <w:r>
              <w:rPr>
                <w:rFonts w:ascii="Times New Roman" w:hAnsi="Times New Roman" w:eastAsia="宋体"/>
                <w:color w:val="000000" w:themeColor="text1"/>
                <w:sz w:val="24"/>
              </w:rPr>
              <w:t>201</w:t>
            </w:r>
            <w:r>
              <w:rPr>
                <w:rFonts w:hint="eastAsia" w:ascii="Times New Roman" w:hAnsi="Times New Roman" w:eastAsia="宋体"/>
                <w:color w:val="000000" w:themeColor="text1"/>
                <w:sz w:val="24"/>
              </w:rPr>
              <w:t>8年9月10日经新乡县环境保护局以新环表（</w:t>
            </w:r>
            <w:r>
              <w:rPr>
                <w:rFonts w:ascii="Times New Roman" w:hAnsi="Times New Roman" w:eastAsia="宋体"/>
                <w:color w:val="000000" w:themeColor="text1"/>
                <w:sz w:val="24"/>
              </w:rPr>
              <w:t>20</w:t>
            </w:r>
            <w:r>
              <w:rPr>
                <w:rFonts w:hint="eastAsia" w:ascii="Times New Roman" w:hAnsi="Times New Roman" w:eastAsia="宋体"/>
                <w:color w:val="000000" w:themeColor="text1"/>
                <w:sz w:val="24"/>
              </w:rPr>
              <w:t>18）041号文（见附件4）批复。新乡市顺风船科技有限公司于</w:t>
            </w:r>
            <w:r>
              <w:rPr>
                <w:rFonts w:ascii="Times New Roman" w:hAnsi="Times New Roman" w:eastAsia="宋体"/>
                <w:color w:val="000000" w:themeColor="text1"/>
                <w:sz w:val="24"/>
              </w:rPr>
              <w:t>20</w:t>
            </w:r>
            <w:r>
              <w:rPr>
                <w:rFonts w:hint="eastAsia" w:ascii="Times New Roman" w:hAnsi="Times New Roman" w:eastAsia="宋体"/>
                <w:color w:val="000000" w:themeColor="text1"/>
                <w:sz w:val="24"/>
              </w:rPr>
              <w:t>19年5月</w:t>
            </w:r>
            <w:r>
              <w:rPr>
                <w:rFonts w:ascii="Times New Roman" w:hAnsi="Times New Roman" w:eastAsia="宋体"/>
                <w:color w:val="000000" w:themeColor="text1"/>
                <w:sz w:val="24"/>
              </w:rPr>
              <w:t>9</w:t>
            </w:r>
            <w:r>
              <w:rPr>
                <w:rFonts w:hint="eastAsia" w:ascii="Times New Roman" w:hAnsi="Times New Roman" w:eastAsia="宋体"/>
                <w:color w:val="000000" w:themeColor="text1"/>
                <w:sz w:val="24"/>
              </w:rPr>
              <w:t>日对该项目进行自主验收。年产2800吨新型环保</w:t>
            </w:r>
            <w:r>
              <w:rPr>
                <w:rFonts w:hint="eastAsia" w:ascii="Times New Roman" w:hAnsi="Times New Roman" w:eastAsia="宋体"/>
                <w:bCs/>
                <w:color w:val="000000" w:themeColor="text1"/>
                <w:sz w:val="24"/>
              </w:rPr>
              <w:t>钙锌稳定剂项目</w:t>
            </w:r>
            <w:r>
              <w:rPr>
                <w:rFonts w:hint="eastAsia" w:ascii="Times New Roman" w:hAnsi="Times New Roman" w:eastAsia="宋体"/>
                <w:color w:val="000000" w:themeColor="text1"/>
                <w:sz w:val="24"/>
              </w:rPr>
              <w:t>于</w:t>
            </w:r>
            <w:r>
              <w:rPr>
                <w:rFonts w:ascii="Times New Roman" w:hAnsi="Times New Roman" w:eastAsia="宋体"/>
                <w:color w:val="000000" w:themeColor="text1"/>
                <w:sz w:val="24"/>
              </w:rPr>
              <w:t>201</w:t>
            </w:r>
            <w:r>
              <w:rPr>
                <w:rFonts w:hint="eastAsia" w:ascii="Times New Roman" w:hAnsi="Times New Roman" w:eastAsia="宋体"/>
                <w:color w:val="000000" w:themeColor="text1"/>
                <w:sz w:val="24"/>
              </w:rPr>
              <w:t>8年9月25日经新乡县环境保护局以新环表（</w:t>
            </w:r>
            <w:r>
              <w:rPr>
                <w:rFonts w:ascii="Times New Roman" w:hAnsi="Times New Roman" w:eastAsia="宋体"/>
                <w:color w:val="000000" w:themeColor="text1"/>
                <w:sz w:val="24"/>
              </w:rPr>
              <w:t>20</w:t>
            </w:r>
            <w:r>
              <w:rPr>
                <w:rFonts w:hint="eastAsia" w:ascii="Times New Roman" w:hAnsi="Times New Roman" w:eastAsia="宋体"/>
                <w:color w:val="000000" w:themeColor="text1"/>
                <w:sz w:val="24"/>
              </w:rPr>
              <w:t>18）043号文（见附件5）批复。新乡市顺风船科技有限公司于</w:t>
            </w:r>
            <w:r>
              <w:rPr>
                <w:rFonts w:ascii="Times New Roman" w:hAnsi="Times New Roman" w:eastAsia="宋体"/>
                <w:color w:val="000000" w:themeColor="text1"/>
                <w:sz w:val="24"/>
              </w:rPr>
              <w:t>20</w:t>
            </w:r>
            <w:r>
              <w:rPr>
                <w:rFonts w:hint="eastAsia" w:ascii="Times New Roman" w:hAnsi="Times New Roman" w:eastAsia="宋体"/>
                <w:color w:val="000000" w:themeColor="text1"/>
                <w:sz w:val="24"/>
              </w:rPr>
              <w:t>19年5月</w:t>
            </w:r>
            <w:r>
              <w:rPr>
                <w:rFonts w:ascii="Times New Roman" w:hAnsi="Times New Roman" w:eastAsia="宋体"/>
                <w:color w:val="000000" w:themeColor="text1"/>
                <w:sz w:val="24"/>
              </w:rPr>
              <w:t>9</w:t>
            </w:r>
            <w:r>
              <w:rPr>
                <w:rFonts w:hint="eastAsia" w:ascii="Times New Roman" w:hAnsi="Times New Roman" w:eastAsia="宋体"/>
                <w:color w:val="000000" w:themeColor="text1"/>
                <w:sz w:val="24"/>
              </w:rPr>
              <w:t>日对该项目进行自主验收。</w:t>
            </w:r>
          </w:p>
          <w:p>
            <w:pPr>
              <w:pStyle w:val="9"/>
              <w:spacing w:line="440" w:lineRule="exact"/>
              <w:ind w:firstLine="480" w:firstLineChars="200"/>
              <w:rPr>
                <w:rFonts w:ascii="Times New Roman" w:hAnsi="Times New Roman" w:eastAsia="宋体"/>
                <w:color w:val="000000" w:themeColor="text1"/>
                <w:sz w:val="24"/>
              </w:rPr>
            </w:pPr>
            <w:r>
              <w:rPr>
                <w:rFonts w:hint="eastAsia" w:ascii="Times New Roman" w:hAnsi="Times New Roman" w:eastAsia="宋体"/>
                <w:color w:val="000000" w:themeColor="text1"/>
                <w:sz w:val="24"/>
              </w:rPr>
              <w:t>新乡市顺风船科技有限公司原有工程产品为塑料布、塑料皮帘和</w:t>
            </w:r>
            <w:r>
              <w:rPr>
                <w:rFonts w:hint="eastAsia" w:ascii="Times New Roman" w:hAnsi="Times New Roman" w:eastAsia="宋体"/>
                <w:bCs/>
                <w:color w:val="000000" w:themeColor="text1"/>
                <w:sz w:val="24"/>
              </w:rPr>
              <w:t>环保钙锌稳定剂</w:t>
            </w:r>
            <w:r>
              <w:rPr>
                <w:rFonts w:hint="eastAsia" w:ascii="Times New Roman" w:hAnsi="Times New Roman" w:eastAsia="宋体"/>
                <w:color w:val="000000" w:themeColor="text1"/>
                <w:sz w:val="24"/>
              </w:rPr>
              <w:t>，规模为</w:t>
            </w:r>
            <w:r>
              <w:rPr>
                <w:rFonts w:hint="eastAsia" w:ascii="Times New Roman" w:hAnsi="Times New Roman" w:eastAsia="宋体"/>
                <w:b/>
                <w:color w:val="000000" w:themeColor="text1"/>
                <w:sz w:val="24"/>
                <w:u w:val="single"/>
              </w:rPr>
              <w:t>年产1000吨塑料布、塑料皮帘</w:t>
            </w:r>
            <w:r>
              <w:rPr>
                <w:rFonts w:hint="eastAsia" w:ascii="Times New Roman" w:hAnsi="Times New Roman" w:eastAsia="宋体"/>
                <w:color w:val="000000" w:themeColor="text1"/>
                <w:sz w:val="24"/>
              </w:rPr>
              <w:t>和年产2800吨环保</w:t>
            </w:r>
            <w:r>
              <w:rPr>
                <w:rFonts w:hint="eastAsia" w:ascii="Times New Roman" w:hAnsi="Times New Roman" w:eastAsia="宋体"/>
                <w:bCs/>
                <w:color w:val="000000" w:themeColor="text1"/>
                <w:sz w:val="24"/>
              </w:rPr>
              <w:t>钙锌稳定剂</w:t>
            </w:r>
            <w:r>
              <w:rPr>
                <w:rFonts w:hint="eastAsia" w:ascii="Times New Roman" w:hAnsi="Times New Roman" w:eastAsia="宋体"/>
                <w:color w:val="000000" w:themeColor="text1"/>
                <w:sz w:val="24"/>
              </w:rPr>
              <w:t>，新乡市顺风船科技有限公司原有工程基本情况见下表：</w:t>
            </w:r>
          </w:p>
          <w:p>
            <w:pPr>
              <w:spacing w:line="440" w:lineRule="exact"/>
              <w:jc w:val="center"/>
              <w:textAlignment w:val="baseline"/>
              <w:rPr>
                <w:rFonts w:ascii="Times New Roman" w:hAnsi="Times New Roman" w:eastAsia="宋体"/>
                <w:b/>
                <w:bCs/>
                <w:color w:val="000000" w:themeColor="text1"/>
                <w:sz w:val="24"/>
              </w:rPr>
            </w:pPr>
            <w:r>
              <w:rPr>
                <w:rFonts w:ascii="Times New Roman" w:hAnsi="Times New Roman" w:eastAsia="宋体"/>
                <w:b/>
                <w:bCs/>
                <w:color w:val="000000" w:themeColor="text1"/>
                <w:sz w:val="24"/>
              </w:rPr>
              <w:t>表1</w:t>
            </w:r>
            <w:r>
              <w:rPr>
                <w:rFonts w:hint="eastAsia" w:ascii="Times New Roman" w:hAnsi="Times New Roman" w:eastAsia="宋体"/>
                <w:b/>
                <w:bCs/>
                <w:color w:val="000000" w:themeColor="text1"/>
                <w:sz w:val="24"/>
              </w:rPr>
              <w:t>5</w:t>
            </w:r>
            <w:r>
              <w:rPr>
                <w:rFonts w:ascii="Times New Roman" w:hAnsi="Times New Roman" w:eastAsia="宋体"/>
                <w:b/>
                <w:bCs/>
                <w:color w:val="000000" w:themeColor="text1"/>
                <w:sz w:val="24"/>
              </w:rPr>
              <w:t xml:space="preserve">   </w:t>
            </w:r>
            <w:r>
              <w:rPr>
                <w:rFonts w:hint="eastAsia" w:ascii="Times New Roman" w:hAnsi="Times New Roman" w:eastAsia="宋体"/>
                <w:b/>
                <w:bCs/>
                <w:color w:val="000000" w:themeColor="text1"/>
                <w:sz w:val="24"/>
              </w:rPr>
              <w:t xml:space="preserve"> 新乡市顺风船科技有限公司原有工程基本情况一览表</w:t>
            </w:r>
          </w:p>
          <w:tbl>
            <w:tblPr>
              <w:tblStyle w:val="24"/>
              <w:tblW w:w="9072" w:type="dxa"/>
              <w:jc w:val="center"/>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560"/>
              <w:gridCol w:w="3262"/>
              <w:gridCol w:w="3541"/>
            </w:tblGrid>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tcBorders>
                    <w:top w:val="single" w:color="auto" w:sz="8" w:space="0"/>
                    <w:left w:val="nil"/>
                    <w:bottom w:val="single" w:color="auto" w:sz="8" w:space="0"/>
                    <w:right w:val="single" w:color="auto" w:sz="4" w:space="0"/>
                  </w:tcBorders>
                  <w:vAlign w:val="center"/>
                </w:tcPr>
                <w:p>
                  <w:pPr>
                    <w:adjustRightInd w:val="0"/>
                    <w:snapToGrid w:val="0"/>
                    <w:jc w:val="center"/>
                    <w:textAlignment w:val="baseline"/>
                    <w:rPr>
                      <w:rFonts w:ascii="Times New Roman" w:hAnsi="Times New Roman" w:eastAsia="宋体"/>
                      <w:b/>
                      <w:color w:val="000000" w:themeColor="text1"/>
                      <w:szCs w:val="21"/>
                    </w:rPr>
                  </w:pPr>
                  <w:r>
                    <w:rPr>
                      <w:rFonts w:hint="eastAsia" w:ascii="Times New Roman" w:hAnsi="Times New Roman" w:eastAsia="宋体"/>
                      <w:b/>
                      <w:color w:val="000000" w:themeColor="text1"/>
                      <w:szCs w:val="21"/>
                    </w:rPr>
                    <w:t>序号</w:t>
                  </w:r>
                </w:p>
              </w:tc>
              <w:tc>
                <w:tcPr>
                  <w:tcW w:w="860" w:type="pct"/>
                  <w:tcBorders>
                    <w:top w:val="single" w:color="auto" w:sz="8" w:space="0"/>
                    <w:left w:val="single" w:color="auto" w:sz="4" w:space="0"/>
                    <w:bottom w:val="single" w:color="auto" w:sz="8" w:space="0"/>
                    <w:right w:val="single" w:color="auto" w:sz="4" w:space="0"/>
                  </w:tcBorders>
                  <w:vAlign w:val="center"/>
                </w:tcPr>
                <w:p>
                  <w:pPr>
                    <w:adjustRightInd w:val="0"/>
                    <w:snapToGrid w:val="0"/>
                    <w:jc w:val="center"/>
                    <w:textAlignment w:val="baseline"/>
                    <w:rPr>
                      <w:rFonts w:ascii="Times New Roman" w:hAnsi="Times New Roman" w:eastAsia="宋体"/>
                      <w:b/>
                      <w:color w:val="000000" w:themeColor="text1"/>
                      <w:szCs w:val="21"/>
                    </w:rPr>
                  </w:pPr>
                  <w:r>
                    <w:rPr>
                      <w:rFonts w:hint="eastAsia" w:ascii="Times New Roman" w:hAnsi="Times New Roman" w:eastAsia="宋体"/>
                      <w:b/>
                      <w:color w:val="000000" w:themeColor="text1"/>
                      <w:szCs w:val="21"/>
                    </w:rPr>
                    <w:t>项目</w:t>
                  </w:r>
                </w:p>
              </w:tc>
              <w:tc>
                <w:tcPr>
                  <w:tcW w:w="3749" w:type="pct"/>
                  <w:gridSpan w:val="2"/>
                  <w:tcBorders>
                    <w:top w:val="single" w:color="auto" w:sz="8" w:space="0"/>
                    <w:left w:val="single" w:color="auto" w:sz="4" w:space="0"/>
                    <w:bottom w:val="single" w:color="auto" w:sz="8" w:space="0"/>
                    <w:right w:val="nil"/>
                  </w:tcBorders>
                  <w:vAlign w:val="center"/>
                </w:tcPr>
                <w:p>
                  <w:pPr>
                    <w:adjustRightInd w:val="0"/>
                    <w:snapToGrid w:val="0"/>
                    <w:jc w:val="center"/>
                    <w:textAlignment w:val="baseline"/>
                    <w:rPr>
                      <w:rFonts w:ascii="Times New Roman" w:hAnsi="Times New Roman" w:eastAsia="宋体"/>
                      <w:b/>
                      <w:color w:val="000000" w:themeColor="text1"/>
                      <w:szCs w:val="21"/>
                    </w:rPr>
                  </w:pPr>
                  <w:r>
                    <w:rPr>
                      <w:rFonts w:hint="eastAsia" w:ascii="Times New Roman" w:hAnsi="Times New Roman" w:eastAsia="宋体"/>
                      <w:b/>
                      <w:color w:val="000000" w:themeColor="text1"/>
                      <w:szCs w:val="21"/>
                    </w:rPr>
                    <w:t>基本情况</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tcBorders>
                    <w:top w:val="single" w:color="auto" w:sz="4" w:space="0"/>
                    <w:left w:val="nil"/>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olor w:val="000000" w:themeColor="text1"/>
                      <w:szCs w:val="21"/>
                    </w:rPr>
                  </w:pPr>
                  <w:r>
                    <w:rPr>
                      <w:rFonts w:hint="eastAsia" w:ascii="Times New Roman" w:hAnsi="Times New Roman" w:eastAsia="宋体"/>
                      <w:color w:val="000000" w:themeColor="text1"/>
                      <w:szCs w:val="21"/>
                    </w:rPr>
                    <w:t>1</w:t>
                  </w:r>
                </w:p>
              </w:tc>
              <w:tc>
                <w:tcPr>
                  <w:tcW w:w="86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olor w:val="000000" w:themeColor="text1"/>
                      <w:szCs w:val="21"/>
                    </w:rPr>
                  </w:pPr>
                  <w:r>
                    <w:rPr>
                      <w:rFonts w:hint="eastAsia" w:ascii="Times New Roman" w:hAnsi="Times New Roman" w:eastAsia="宋体"/>
                      <w:color w:val="000000" w:themeColor="text1"/>
                      <w:szCs w:val="21"/>
                    </w:rPr>
                    <w:t>项目名称</w:t>
                  </w:r>
                </w:p>
              </w:tc>
              <w:tc>
                <w:tcPr>
                  <w:tcW w:w="1798" w:type="pct"/>
                  <w:tcBorders>
                    <w:top w:val="single" w:color="auto" w:sz="8" w:space="0"/>
                    <w:left w:val="single" w:color="auto" w:sz="4" w:space="0"/>
                    <w:bottom w:val="single" w:color="auto" w:sz="4" w:space="0"/>
                    <w:right w:val="nil"/>
                  </w:tcBorders>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年产1000吨PVC塑料制品项目</w:t>
                  </w:r>
                </w:p>
              </w:tc>
              <w:tc>
                <w:tcPr>
                  <w:tcW w:w="1951" w:type="pct"/>
                  <w:tcBorders>
                    <w:top w:val="single" w:color="auto" w:sz="8" w:space="0"/>
                    <w:left w:val="single" w:color="auto" w:sz="4" w:space="0"/>
                    <w:bottom w:val="single" w:color="auto" w:sz="4" w:space="0"/>
                    <w:right w:val="nil"/>
                  </w:tcBorders>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年产2800吨新型环保</w:t>
                  </w:r>
                  <w:r>
                    <w:rPr>
                      <w:rFonts w:hint="eastAsia" w:ascii="Times New Roman" w:hAnsi="Times New Roman" w:eastAsia="宋体"/>
                      <w:bCs/>
                      <w:color w:val="000000" w:themeColor="text1"/>
                      <w:szCs w:val="21"/>
                    </w:rPr>
                    <w:t>钙锌稳定剂项目</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tcBorders>
                    <w:top w:val="single" w:color="auto" w:sz="4" w:space="0"/>
                    <w:left w:val="nil"/>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olor w:val="000000" w:themeColor="text1"/>
                      <w:szCs w:val="21"/>
                    </w:rPr>
                  </w:pPr>
                  <w:r>
                    <w:rPr>
                      <w:rFonts w:hint="eastAsia" w:ascii="Times New Roman" w:hAnsi="Times New Roman" w:eastAsia="宋体"/>
                      <w:color w:val="000000" w:themeColor="text1"/>
                      <w:szCs w:val="21"/>
                    </w:rPr>
                    <w:t>2</w:t>
                  </w:r>
                </w:p>
              </w:tc>
              <w:tc>
                <w:tcPr>
                  <w:tcW w:w="86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olor w:val="000000" w:themeColor="text1"/>
                      <w:szCs w:val="21"/>
                    </w:rPr>
                  </w:pPr>
                  <w:r>
                    <w:rPr>
                      <w:rFonts w:hint="eastAsia" w:ascii="Times New Roman" w:hAnsi="Times New Roman" w:eastAsia="宋体"/>
                      <w:color w:val="000000" w:themeColor="text1"/>
                      <w:szCs w:val="21"/>
                    </w:rPr>
                    <w:t>建设单位</w:t>
                  </w:r>
                </w:p>
              </w:tc>
              <w:tc>
                <w:tcPr>
                  <w:tcW w:w="1798" w:type="pct"/>
                  <w:tcBorders>
                    <w:top w:val="single" w:color="auto" w:sz="4" w:space="0"/>
                    <w:left w:val="single" w:color="auto" w:sz="4" w:space="0"/>
                    <w:bottom w:val="single" w:color="auto" w:sz="4" w:space="0"/>
                    <w:right w:val="nil"/>
                  </w:tcBorders>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新乡市顺风船科技有限公司</w:t>
                  </w:r>
                </w:p>
              </w:tc>
              <w:tc>
                <w:tcPr>
                  <w:tcW w:w="1951" w:type="pct"/>
                  <w:tcBorders>
                    <w:top w:val="single" w:color="auto" w:sz="4" w:space="0"/>
                    <w:left w:val="single" w:color="auto" w:sz="4" w:space="0"/>
                    <w:bottom w:val="single" w:color="auto" w:sz="4" w:space="0"/>
                    <w:right w:val="nil"/>
                  </w:tcBorders>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新乡市顺风船科技有限公司</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tcBorders>
                    <w:top w:val="single" w:color="auto" w:sz="4" w:space="0"/>
                    <w:left w:val="nil"/>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olor w:val="000000" w:themeColor="text1"/>
                      <w:szCs w:val="21"/>
                    </w:rPr>
                  </w:pPr>
                  <w:r>
                    <w:rPr>
                      <w:rFonts w:hint="eastAsia" w:ascii="Times New Roman" w:hAnsi="Times New Roman" w:eastAsia="宋体"/>
                      <w:color w:val="000000" w:themeColor="text1"/>
                      <w:szCs w:val="21"/>
                    </w:rPr>
                    <w:t>3</w:t>
                  </w:r>
                </w:p>
              </w:tc>
              <w:tc>
                <w:tcPr>
                  <w:tcW w:w="86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olor w:val="000000" w:themeColor="text1"/>
                      <w:szCs w:val="21"/>
                    </w:rPr>
                  </w:pPr>
                  <w:r>
                    <w:rPr>
                      <w:rFonts w:hint="eastAsia" w:ascii="Times New Roman" w:hAnsi="Times New Roman" w:eastAsia="宋体"/>
                      <w:color w:val="000000" w:themeColor="text1"/>
                      <w:szCs w:val="21"/>
                    </w:rPr>
                    <w:t>环评编制单位</w:t>
                  </w:r>
                </w:p>
              </w:tc>
              <w:tc>
                <w:tcPr>
                  <w:tcW w:w="1798" w:type="pct"/>
                  <w:tcBorders>
                    <w:top w:val="single" w:color="auto" w:sz="4" w:space="0"/>
                    <w:left w:val="single" w:color="auto" w:sz="4" w:space="0"/>
                    <w:bottom w:val="single" w:color="auto" w:sz="4" w:space="0"/>
                    <w:right w:val="nil"/>
                  </w:tcBorders>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河南省正德环保科技有限公司</w:t>
                  </w:r>
                </w:p>
              </w:tc>
              <w:tc>
                <w:tcPr>
                  <w:tcW w:w="1951" w:type="pct"/>
                  <w:tcBorders>
                    <w:top w:val="single" w:color="auto" w:sz="4" w:space="0"/>
                    <w:left w:val="single" w:color="auto" w:sz="4" w:space="0"/>
                    <w:bottom w:val="single" w:color="auto" w:sz="4" w:space="0"/>
                    <w:right w:val="nil"/>
                  </w:tcBorders>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河南省正德环保科技有限公司</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tcBorders>
                    <w:top w:val="single" w:color="auto" w:sz="4" w:space="0"/>
                    <w:left w:val="nil"/>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olor w:val="000000" w:themeColor="text1"/>
                      <w:szCs w:val="21"/>
                    </w:rPr>
                  </w:pPr>
                  <w:r>
                    <w:rPr>
                      <w:rFonts w:hint="eastAsia" w:ascii="Times New Roman" w:hAnsi="Times New Roman" w:eastAsia="宋体"/>
                      <w:color w:val="000000" w:themeColor="text1"/>
                      <w:szCs w:val="21"/>
                    </w:rPr>
                    <w:t>4</w:t>
                  </w:r>
                </w:p>
              </w:tc>
              <w:tc>
                <w:tcPr>
                  <w:tcW w:w="86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olor w:val="000000" w:themeColor="text1"/>
                      <w:szCs w:val="21"/>
                    </w:rPr>
                  </w:pPr>
                  <w:r>
                    <w:rPr>
                      <w:rFonts w:hint="eastAsia" w:ascii="Times New Roman" w:hAnsi="Times New Roman" w:eastAsia="宋体"/>
                      <w:color w:val="000000" w:themeColor="text1"/>
                      <w:szCs w:val="21"/>
                    </w:rPr>
                    <w:t>环评审批时间及单位、文号</w:t>
                  </w:r>
                </w:p>
              </w:tc>
              <w:tc>
                <w:tcPr>
                  <w:tcW w:w="1798" w:type="pct"/>
                  <w:tcBorders>
                    <w:top w:val="single" w:color="auto" w:sz="4" w:space="0"/>
                    <w:left w:val="single" w:color="auto" w:sz="4" w:space="0"/>
                    <w:bottom w:val="single" w:color="auto" w:sz="4" w:space="0"/>
                    <w:right w:val="nil"/>
                  </w:tcBorders>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2</w:t>
                  </w:r>
                  <w:r>
                    <w:rPr>
                      <w:rFonts w:ascii="Times New Roman" w:hAnsi="Times New Roman" w:eastAsia="宋体"/>
                      <w:color w:val="000000" w:themeColor="text1"/>
                      <w:szCs w:val="21"/>
                    </w:rPr>
                    <w:t>01</w:t>
                  </w:r>
                  <w:r>
                    <w:rPr>
                      <w:rFonts w:hint="eastAsia" w:ascii="Times New Roman" w:hAnsi="Times New Roman" w:eastAsia="宋体"/>
                      <w:color w:val="000000" w:themeColor="text1"/>
                      <w:szCs w:val="21"/>
                    </w:rPr>
                    <w:t>8年9月10日、新乡县环境保护局、新环表（2</w:t>
                  </w:r>
                  <w:r>
                    <w:rPr>
                      <w:rFonts w:ascii="Times New Roman" w:hAnsi="Times New Roman" w:eastAsia="宋体"/>
                      <w:color w:val="000000" w:themeColor="text1"/>
                      <w:szCs w:val="21"/>
                    </w:rPr>
                    <w:t>01</w:t>
                  </w:r>
                  <w:r>
                    <w:rPr>
                      <w:rFonts w:hint="eastAsia" w:ascii="Times New Roman" w:hAnsi="Times New Roman" w:eastAsia="宋体"/>
                      <w:color w:val="000000" w:themeColor="text1"/>
                      <w:szCs w:val="21"/>
                    </w:rPr>
                    <w:t>8）041号文</w:t>
                  </w:r>
                </w:p>
              </w:tc>
              <w:tc>
                <w:tcPr>
                  <w:tcW w:w="1951" w:type="pct"/>
                  <w:tcBorders>
                    <w:top w:val="single" w:color="auto" w:sz="4" w:space="0"/>
                    <w:left w:val="single" w:color="auto" w:sz="4" w:space="0"/>
                    <w:bottom w:val="single" w:color="auto" w:sz="4" w:space="0"/>
                    <w:right w:val="nil"/>
                  </w:tcBorders>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2</w:t>
                  </w:r>
                  <w:r>
                    <w:rPr>
                      <w:rFonts w:ascii="Times New Roman" w:hAnsi="Times New Roman" w:eastAsia="宋体"/>
                      <w:color w:val="000000" w:themeColor="text1"/>
                      <w:szCs w:val="21"/>
                    </w:rPr>
                    <w:t>01</w:t>
                  </w:r>
                  <w:r>
                    <w:rPr>
                      <w:rFonts w:hint="eastAsia" w:ascii="Times New Roman" w:hAnsi="Times New Roman" w:eastAsia="宋体"/>
                      <w:color w:val="000000" w:themeColor="text1"/>
                      <w:szCs w:val="21"/>
                    </w:rPr>
                    <w:t>8年9月25日、新乡县环境保护局、新环表（2</w:t>
                  </w:r>
                  <w:r>
                    <w:rPr>
                      <w:rFonts w:ascii="Times New Roman" w:hAnsi="Times New Roman" w:eastAsia="宋体"/>
                      <w:color w:val="000000" w:themeColor="text1"/>
                      <w:szCs w:val="21"/>
                    </w:rPr>
                    <w:t>01</w:t>
                  </w:r>
                  <w:r>
                    <w:rPr>
                      <w:rFonts w:hint="eastAsia" w:ascii="Times New Roman" w:hAnsi="Times New Roman" w:eastAsia="宋体"/>
                      <w:color w:val="000000" w:themeColor="text1"/>
                      <w:szCs w:val="21"/>
                    </w:rPr>
                    <w:t>8）043号文</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tcBorders>
                    <w:top w:val="single" w:color="auto" w:sz="4" w:space="0"/>
                    <w:left w:val="nil"/>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olor w:val="000000" w:themeColor="text1"/>
                      <w:szCs w:val="21"/>
                    </w:rPr>
                  </w:pPr>
                  <w:r>
                    <w:rPr>
                      <w:rFonts w:hint="eastAsia" w:ascii="Times New Roman" w:hAnsi="Times New Roman" w:eastAsia="宋体"/>
                      <w:color w:val="000000" w:themeColor="text1"/>
                      <w:szCs w:val="21"/>
                    </w:rPr>
                    <w:t>5</w:t>
                  </w:r>
                </w:p>
              </w:tc>
              <w:tc>
                <w:tcPr>
                  <w:tcW w:w="86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olor w:val="000000" w:themeColor="text1"/>
                      <w:szCs w:val="21"/>
                    </w:rPr>
                  </w:pPr>
                  <w:r>
                    <w:rPr>
                      <w:rFonts w:hint="eastAsia" w:ascii="Times New Roman" w:hAnsi="Times New Roman" w:eastAsia="宋体"/>
                      <w:color w:val="000000" w:themeColor="text1"/>
                      <w:szCs w:val="21"/>
                    </w:rPr>
                    <w:t>验收审批时间及单位、文号</w:t>
                  </w:r>
                </w:p>
              </w:tc>
              <w:tc>
                <w:tcPr>
                  <w:tcW w:w="1798" w:type="pct"/>
                  <w:tcBorders>
                    <w:top w:val="single" w:color="auto" w:sz="4" w:space="0"/>
                    <w:left w:val="single" w:color="auto" w:sz="4" w:space="0"/>
                    <w:bottom w:val="single" w:color="auto" w:sz="4" w:space="0"/>
                    <w:right w:val="nil"/>
                  </w:tcBorders>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2</w:t>
                  </w:r>
                  <w:r>
                    <w:rPr>
                      <w:rFonts w:ascii="Times New Roman" w:hAnsi="Times New Roman" w:eastAsia="宋体"/>
                      <w:color w:val="000000" w:themeColor="text1"/>
                      <w:szCs w:val="21"/>
                    </w:rPr>
                    <w:t>0</w:t>
                  </w:r>
                  <w:r>
                    <w:rPr>
                      <w:rFonts w:hint="eastAsia" w:ascii="Times New Roman" w:hAnsi="Times New Roman" w:eastAsia="宋体"/>
                      <w:color w:val="000000" w:themeColor="text1"/>
                      <w:szCs w:val="21"/>
                    </w:rPr>
                    <w:t>19年5月</w:t>
                  </w:r>
                  <w:r>
                    <w:rPr>
                      <w:rFonts w:ascii="Times New Roman" w:hAnsi="Times New Roman" w:eastAsia="宋体"/>
                      <w:color w:val="000000" w:themeColor="text1"/>
                      <w:szCs w:val="21"/>
                    </w:rPr>
                    <w:t>9</w:t>
                  </w:r>
                  <w:r>
                    <w:rPr>
                      <w:rFonts w:hint="eastAsia" w:ascii="Times New Roman" w:hAnsi="Times New Roman" w:eastAsia="宋体"/>
                      <w:color w:val="000000" w:themeColor="text1"/>
                      <w:szCs w:val="21"/>
                    </w:rPr>
                    <w:t>日，企业自主验收</w:t>
                  </w:r>
                </w:p>
              </w:tc>
              <w:tc>
                <w:tcPr>
                  <w:tcW w:w="1951" w:type="pct"/>
                  <w:tcBorders>
                    <w:top w:val="single" w:color="auto" w:sz="4" w:space="0"/>
                    <w:left w:val="single" w:color="auto" w:sz="4" w:space="0"/>
                    <w:bottom w:val="single" w:color="auto" w:sz="4" w:space="0"/>
                    <w:right w:val="nil"/>
                  </w:tcBorders>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2</w:t>
                  </w:r>
                  <w:r>
                    <w:rPr>
                      <w:rFonts w:ascii="Times New Roman" w:hAnsi="Times New Roman" w:eastAsia="宋体"/>
                      <w:color w:val="000000" w:themeColor="text1"/>
                      <w:szCs w:val="21"/>
                    </w:rPr>
                    <w:t>0</w:t>
                  </w:r>
                  <w:r>
                    <w:rPr>
                      <w:rFonts w:hint="eastAsia" w:ascii="Times New Roman" w:hAnsi="Times New Roman" w:eastAsia="宋体"/>
                      <w:color w:val="000000" w:themeColor="text1"/>
                      <w:szCs w:val="21"/>
                    </w:rPr>
                    <w:t>19年5月</w:t>
                  </w:r>
                  <w:r>
                    <w:rPr>
                      <w:rFonts w:ascii="Times New Roman" w:hAnsi="Times New Roman" w:eastAsia="宋体"/>
                      <w:color w:val="000000" w:themeColor="text1"/>
                      <w:szCs w:val="21"/>
                    </w:rPr>
                    <w:t>9</w:t>
                  </w:r>
                  <w:r>
                    <w:rPr>
                      <w:rFonts w:hint="eastAsia" w:ascii="Times New Roman" w:hAnsi="Times New Roman" w:eastAsia="宋体"/>
                      <w:color w:val="000000" w:themeColor="text1"/>
                      <w:szCs w:val="21"/>
                    </w:rPr>
                    <w:t>日，企业自主验收</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tcBorders>
                    <w:top w:val="single" w:color="auto" w:sz="4" w:space="0"/>
                    <w:left w:val="nil"/>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olor w:val="000000" w:themeColor="text1"/>
                      <w:szCs w:val="21"/>
                    </w:rPr>
                  </w:pPr>
                  <w:r>
                    <w:rPr>
                      <w:rFonts w:hint="eastAsia" w:ascii="Times New Roman" w:hAnsi="Times New Roman" w:eastAsia="宋体"/>
                      <w:color w:val="000000" w:themeColor="text1"/>
                      <w:szCs w:val="21"/>
                    </w:rPr>
                    <w:t>6</w:t>
                  </w:r>
                </w:p>
              </w:tc>
              <w:tc>
                <w:tcPr>
                  <w:tcW w:w="86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olor w:val="000000" w:themeColor="text1"/>
                      <w:szCs w:val="21"/>
                    </w:rPr>
                  </w:pPr>
                  <w:r>
                    <w:rPr>
                      <w:rFonts w:hint="eastAsia" w:ascii="Times New Roman" w:hAnsi="Times New Roman" w:eastAsia="宋体"/>
                      <w:color w:val="000000" w:themeColor="text1"/>
                      <w:szCs w:val="21"/>
                    </w:rPr>
                    <w:t>建设情况</w:t>
                  </w:r>
                </w:p>
              </w:tc>
              <w:tc>
                <w:tcPr>
                  <w:tcW w:w="1798" w:type="pct"/>
                  <w:tcBorders>
                    <w:top w:val="single" w:color="auto" w:sz="4" w:space="0"/>
                    <w:left w:val="single" w:color="auto" w:sz="4" w:space="0"/>
                    <w:bottom w:val="single" w:color="auto" w:sz="4" w:space="0"/>
                    <w:right w:val="nil"/>
                  </w:tcBorders>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目前该工程已建成并投产</w:t>
                  </w:r>
                </w:p>
              </w:tc>
              <w:tc>
                <w:tcPr>
                  <w:tcW w:w="1951" w:type="pct"/>
                  <w:tcBorders>
                    <w:top w:val="single" w:color="auto" w:sz="4" w:space="0"/>
                    <w:left w:val="single" w:color="auto" w:sz="4" w:space="0"/>
                    <w:bottom w:val="single" w:color="auto" w:sz="4" w:space="0"/>
                    <w:right w:val="nil"/>
                  </w:tcBorders>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目前该工程已建成并投产</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tcBorders>
                    <w:top w:val="single" w:color="auto" w:sz="4" w:space="0"/>
                    <w:left w:val="nil"/>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olor w:val="000000" w:themeColor="text1"/>
                      <w:szCs w:val="21"/>
                    </w:rPr>
                  </w:pPr>
                  <w:r>
                    <w:rPr>
                      <w:rFonts w:hint="eastAsia" w:ascii="Times New Roman" w:hAnsi="Times New Roman" w:eastAsia="宋体"/>
                      <w:color w:val="000000" w:themeColor="text1"/>
                      <w:szCs w:val="21"/>
                    </w:rPr>
                    <w:t>7</w:t>
                  </w:r>
                </w:p>
              </w:tc>
              <w:tc>
                <w:tcPr>
                  <w:tcW w:w="86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olor w:val="000000" w:themeColor="text1"/>
                      <w:szCs w:val="21"/>
                    </w:rPr>
                  </w:pPr>
                  <w:r>
                    <w:rPr>
                      <w:rFonts w:hint="eastAsia" w:ascii="Times New Roman" w:hAnsi="Times New Roman" w:eastAsia="宋体"/>
                      <w:color w:val="000000" w:themeColor="text1"/>
                      <w:szCs w:val="21"/>
                    </w:rPr>
                    <w:t>劳动定员情况</w:t>
                  </w:r>
                </w:p>
              </w:tc>
              <w:tc>
                <w:tcPr>
                  <w:tcW w:w="1798" w:type="pct"/>
                  <w:tcBorders>
                    <w:top w:val="single" w:color="auto" w:sz="4" w:space="0"/>
                    <w:left w:val="single" w:color="auto" w:sz="4" w:space="0"/>
                    <w:bottom w:val="single" w:color="auto" w:sz="4" w:space="0"/>
                    <w:right w:val="nil"/>
                  </w:tcBorders>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劳动定员21人，</w:t>
                  </w:r>
                  <w:r>
                    <w:rPr>
                      <w:rFonts w:ascii="Times New Roman" w:hAnsi="Times New Roman" w:eastAsia="宋体"/>
                      <w:color w:val="000000" w:themeColor="text1"/>
                      <w:szCs w:val="21"/>
                    </w:rPr>
                    <w:t>单</w:t>
                  </w:r>
                  <w:r>
                    <w:rPr>
                      <w:rFonts w:hint="eastAsia" w:ascii="Times New Roman" w:hAnsi="Times New Roman" w:eastAsia="宋体"/>
                      <w:color w:val="000000" w:themeColor="text1"/>
                      <w:szCs w:val="21"/>
                    </w:rPr>
                    <w:t>班制</w:t>
                  </w:r>
                  <w:r>
                    <w:rPr>
                      <w:rFonts w:ascii="Times New Roman" w:hAnsi="Times New Roman" w:eastAsia="宋体"/>
                      <w:color w:val="000000" w:themeColor="text1"/>
                      <w:szCs w:val="21"/>
                    </w:rPr>
                    <w:t>，每班工作8小时，年工作300天</w:t>
                  </w:r>
                  <w:r>
                    <w:rPr>
                      <w:rFonts w:hint="eastAsia" w:ascii="Times New Roman" w:hAnsi="Times New Roman" w:eastAsia="宋体"/>
                      <w:color w:val="000000" w:themeColor="text1"/>
                      <w:szCs w:val="21"/>
                    </w:rPr>
                    <w:t>；</w:t>
                  </w:r>
                </w:p>
              </w:tc>
              <w:tc>
                <w:tcPr>
                  <w:tcW w:w="1951" w:type="pct"/>
                  <w:tcBorders>
                    <w:top w:val="single" w:color="auto" w:sz="4" w:space="0"/>
                    <w:left w:val="single" w:color="auto" w:sz="4" w:space="0"/>
                    <w:bottom w:val="single" w:color="auto" w:sz="4" w:space="0"/>
                    <w:right w:val="nil"/>
                  </w:tcBorders>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劳动定员21人，</w:t>
                  </w:r>
                  <w:r>
                    <w:rPr>
                      <w:rFonts w:ascii="Times New Roman" w:hAnsi="Times New Roman" w:eastAsia="宋体"/>
                      <w:color w:val="000000" w:themeColor="text1"/>
                      <w:szCs w:val="21"/>
                    </w:rPr>
                    <w:t>单</w:t>
                  </w:r>
                  <w:r>
                    <w:rPr>
                      <w:rFonts w:hint="eastAsia" w:ascii="Times New Roman" w:hAnsi="Times New Roman" w:eastAsia="宋体"/>
                      <w:color w:val="000000" w:themeColor="text1"/>
                      <w:szCs w:val="21"/>
                    </w:rPr>
                    <w:t>班制</w:t>
                  </w:r>
                  <w:r>
                    <w:rPr>
                      <w:rFonts w:ascii="Times New Roman" w:hAnsi="Times New Roman" w:eastAsia="宋体"/>
                      <w:color w:val="000000" w:themeColor="text1"/>
                      <w:szCs w:val="21"/>
                    </w:rPr>
                    <w:t>，每班工作8小时，年工作300天</w:t>
                  </w:r>
                  <w:r>
                    <w:rPr>
                      <w:rFonts w:hint="eastAsia" w:ascii="Times New Roman" w:hAnsi="Times New Roman" w:eastAsia="宋体"/>
                      <w:color w:val="000000" w:themeColor="text1"/>
                      <w:szCs w:val="21"/>
                    </w:rPr>
                    <w:t>；</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1" w:type="pct"/>
                  <w:tcBorders>
                    <w:top w:val="single" w:color="auto" w:sz="4" w:space="0"/>
                    <w:left w:val="nil"/>
                    <w:bottom w:val="single" w:color="auto" w:sz="8" w:space="0"/>
                    <w:right w:val="single" w:color="auto" w:sz="4" w:space="0"/>
                  </w:tcBorders>
                  <w:vAlign w:val="center"/>
                </w:tcPr>
                <w:p>
                  <w:pPr>
                    <w:adjustRightInd w:val="0"/>
                    <w:snapToGrid w:val="0"/>
                    <w:jc w:val="center"/>
                    <w:textAlignment w:val="baseline"/>
                    <w:rPr>
                      <w:rFonts w:ascii="Times New Roman" w:hAnsi="Times New Roman" w:eastAsia="宋体"/>
                      <w:color w:val="000000" w:themeColor="text1"/>
                      <w:szCs w:val="21"/>
                    </w:rPr>
                  </w:pPr>
                  <w:r>
                    <w:rPr>
                      <w:rFonts w:hint="eastAsia" w:ascii="Times New Roman" w:hAnsi="Times New Roman" w:eastAsia="宋体"/>
                      <w:color w:val="000000" w:themeColor="text1"/>
                      <w:szCs w:val="21"/>
                    </w:rPr>
                    <w:t>8</w:t>
                  </w:r>
                </w:p>
              </w:tc>
              <w:tc>
                <w:tcPr>
                  <w:tcW w:w="860" w:type="pct"/>
                  <w:tcBorders>
                    <w:top w:val="single" w:color="auto" w:sz="4" w:space="0"/>
                    <w:left w:val="single" w:color="auto" w:sz="4" w:space="0"/>
                    <w:bottom w:val="single" w:color="auto" w:sz="8" w:space="0"/>
                    <w:right w:val="single" w:color="auto" w:sz="4" w:space="0"/>
                  </w:tcBorders>
                  <w:vAlign w:val="center"/>
                </w:tcPr>
                <w:p>
                  <w:pPr>
                    <w:adjustRightInd w:val="0"/>
                    <w:snapToGrid w:val="0"/>
                    <w:jc w:val="center"/>
                    <w:textAlignment w:val="baseline"/>
                    <w:rPr>
                      <w:rFonts w:ascii="Times New Roman" w:hAnsi="Times New Roman" w:eastAsia="宋体"/>
                      <w:color w:val="000000" w:themeColor="text1"/>
                      <w:szCs w:val="21"/>
                    </w:rPr>
                  </w:pPr>
                  <w:r>
                    <w:rPr>
                      <w:rFonts w:hint="eastAsia" w:ascii="Times New Roman" w:hAnsi="Times New Roman" w:eastAsia="宋体"/>
                      <w:color w:val="000000" w:themeColor="text1"/>
                      <w:szCs w:val="21"/>
                    </w:rPr>
                    <w:t>生产工艺</w:t>
                  </w:r>
                </w:p>
              </w:tc>
              <w:tc>
                <w:tcPr>
                  <w:tcW w:w="1798" w:type="pct"/>
                  <w:tcBorders>
                    <w:top w:val="single" w:color="auto" w:sz="4" w:space="0"/>
                    <w:left w:val="single" w:color="auto" w:sz="4" w:space="0"/>
                    <w:bottom w:val="single" w:color="auto" w:sz="8" w:space="0"/>
                    <w:right w:val="nil"/>
                  </w:tcBorders>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原料</w:t>
                  </w:r>
                  <w:r>
                    <w:rPr>
                      <w:rFonts w:ascii="Times New Roman" w:hAnsi="Times New Roman" w:eastAsia="宋体"/>
                      <w:color w:val="000000" w:themeColor="text1"/>
                      <w:szCs w:val="21"/>
                    </w:rPr>
                    <w:t>—</w:t>
                  </w:r>
                  <w:r>
                    <w:rPr>
                      <w:rFonts w:hint="eastAsia" w:ascii="Times New Roman" w:hAnsi="Times New Roman" w:eastAsia="宋体"/>
                      <w:color w:val="000000" w:themeColor="text1"/>
                      <w:szCs w:val="21"/>
                    </w:rPr>
                    <w:t>捏合</w:t>
                  </w:r>
                  <w:r>
                    <w:rPr>
                      <w:rFonts w:ascii="Times New Roman" w:hAnsi="Times New Roman" w:eastAsia="宋体"/>
                      <w:color w:val="000000" w:themeColor="text1"/>
                      <w:szCs w:val="21"/>
                    </w:rPr>
                    <w:t>—</w:t>
                  </w:r>
                  <w:r>
                    <w:rPr>
                      <w:rFonts w:hint="eastAsia" w:ascii="Times New Roman" w:hAnsi="Times New Roman" w:eastAsia="宋体"/>
                      <w:color w:val="000000" w:themeColor="text1"/>
                      <w:szCs w:val="21"/>
                    </w:rPr>
                    <w:t>挤出</w:t>
                  </w:r>
                  <w:r>
                    <w:rPr>
                      <w:rFonts w:ascii="Times New Roman" w:hAnsi="Times New Roman" w:eastAsia="宋体"/>
                      <w:color w:val="000000" w:themeColor="text1"/>
                      <w:szCs w:val="21"/>
                    </w:rPr>
                    <w:t>—</w:t>
                  </w:r>
                  <w:r>
                    <w:rPr>
                      <w:rFonts w:hint="eastAsia" w:ascii="Times New Roman" w:hAnsi="Times New Roman" w:eastAsia="宋体"/>
                      <w:color w:val="000000" w:themeColor="text1"/>
                      <w:szCs w:val="21"/>
                    </w:rPr>
                    <w:t>压光</w:t>
                  </w:r>
                  <w:r>
                    <w:rPr>
                      <w:rFonts w:ascii="Times New Roman" w:hAnsi="Times New Roman" w:eastAsia="宋体"/>
                      <w:color w:val="000000" w:themeColor="text1"/>
                      <w:szCs w:val="21"/>
                    </w:rPr>
                    <w:t>—</w:t>
                  </w:r>
                  <w:r>
                    <w:rPr>
                      <w:rFonts w:hint="eastAsia" w:ascii="Times New Roman" w:hAnsi="Times New Roman" w:eastAsia="宋体"/>
                      <w:color w:val="000000" w:themeColor="text1"/>
                      <w:szCs w:val="21"/>
                    </w:rPr>
                    <w:t>切边</w:t>
                  </w:r>
                  <w:r>
                    <w:rPr>
                      <w:rFonts w:ascii="Times New Roman" w:hAnsi="Times New Roman" w:eastAsia="宋体"/>
                      <w:color w:val="000000" w:themeColor="text1"/>
                      <w:szCs w:val="21"/>
                    </w:rPr>
                    <w:t>—</w:t>
                  </w:r>
                  <w:r>
                    <w:rPr>
                      <w:rFonts w:hint="eastAsia" w:ascii="Times New Roman" w:hAnsi="Times New Roman" w:eastAsia="宋体"/>
                      <w:color w:val="000000" w:themeColor="text1"/>
                      <w:szCs w:val="21"/>
                    </w:rPr>
                    <w:t>打卷</w:t>
                  </w:r>
                  <w:r>
                    <w:rPr>
                      <w:rFonts w:ascii="Times New Roman" w:hAnsi="Times New Roman" w:eastAsia="宋体"/>
                      <w:color w:val="000000" w:themeColor="text1"/>
                      <w:szCs w:val="21"/>
                    </w:rPr>
                    <w:t>—</w:t>
                  </w:r>
                  <w:r>
                    <w:rPr>
                      <w:rFonts w:hint="eastAsia" w:ascii="Times New Roman" w:hAnsi="Times New Roman" w:eastAsia="宋体"/>
                      <w:color w:val="000000" w:themeColor="text1"/>
                      <w:szCs w:val="21"/>
                    </w:rPr>
                    <w:t>包装</w:t>
                  </w:r>
                  <w:r>
                    <w:rPr>
                      <w:rFonts w:ascii="Times New Roman" w:hAnsi="Times New Roman" w:eastAsia="宋体"/>
                      <w:color w:val="000000" w:themeColor="text1"/>
                      <w:szCs w:val="21"/>
                    </w:rPr>
                    <w:t>—成品</w:t>
                  </w:r>
                  <w:r>
                    <w:rPr>
                      <w:rFonts w:hint="eastAsia" w:ascii="Times New Roman" w:hAnsi="Times New Roman" w:eastAsia="宋体"/>
                      <w:color w:val="000000" w:themeColor="text1"/>
                      <w:szCs w:val="21"/>
                    </w:rPr>
                    <w:t>；</w:t>
                  </w:r>
                </w:p>
              </w:tc>
              <w:tc>
                <w:tcPr>
                  <w:tcW w:w="1951" w:type="pct"/>
                  <w:tcBorders>
                    <w:top w:val="single" w:color="auto" w:sz="4" w:space="0"/>
                    <w:left w:val="single" w:color="auto" w:sz="4" w:space="0"/>
                    <w:bottom w:val="single" w:color="auto" w:sz="8" w:space="0"/>
                    <w:right w:val="nil"/>
                  </w:tcBorders>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粉状生产工艺：原料</w:t>
                  </w:r>
                  <w:r>
                    <w:rPr>
                      <w:rFonts w:ascii="Times New Roman" w:hAnsi="Times New Roman" w:eastAsia="宋体"/>
                      <w:color w:val="000000" w:themeColor="text1"/>
                      <w:szCs w:val="21"/>
                    </w:rPr>
                    <w:t>—</w:t>
                  </w:r>
                  <w:r>
                    <w:rPr>
                      <w:rFonts w:hint="eastAsia" w:ascii="Times New Roman" w:hAnsi="Times New Roman" w:eastAsia="宋体"/>
                      <w:color w:val="000000" w:themeColor="text1"/>
                      <w:szCs w:val="21"/>
                    </w:rPr>
                    <w:t>混料</w:t>
                  </w:r>
                  <w:r>
                    <w:rPr>
                      <w:rFonts w:ascii="Times New Roman" w:hAnsi="Times New Roman" w:eastAsia="宋体"/>
                      <w:color w:val="000000" w:themeColor="text1"/>
                      <w:szCs w:val="21"/>
                    </w:rPr>
                    <w:t>—</w:t>
                  </w:r>
                  <w:r>
                    <w:rPr>
                      <w:rFonts w:hint="eastAsia" w:ascii="Times New Roman" w:hAnsi="Times New Roman" w:eastAsia="宋体"/>
                      <w:color w:val="000000" w:themeColor="text1"/>
                      <w:szCs w:val="21"/>
                    </w:rPr>
                    <w:t>包装</w:t>
                  </w:r>
                  <w:r>
                    <w:rPr>
                      <w:rFonts w:ascii="Times New Roman" w:hAnsi="Times New Roman" w:eastAsia="宋体"/>
                      <w:color w:val="000000" w:themeColor="text1"/>
                      <w:szCs w:val="21"/>
                    </w:rPr>
                    <w:t>—</w:t>
                  </w:r>
                  <w:r>
                    <w:rPr>
                      <w:rFonts w:hint="eastAsia" w:ascii="Times New Roman" w:hAnsi="Times New Roman" w:eastAsia="宋体"/>
                      <w:color w:val="000000" w:themeColor="text1"/>
                      <w:szCs w:val="21"/>
                    </w:rPr>
                    <w:t>检验</w:t>
                  </w:r>
                  <w:r>
                    <w:rPr>
                      <w:rFonts w:ascii="Times New Roman" w:hAnsi="Times New Roman" w:eastAsia="宋体"/>
                      <w:color w:val="000000" w:themeColor="text1"/>
                      <w:szCs w:val="21"/>
                    </w:rPr>
                    <w:t>—</w:t>
                  </w:r>
                  <w:r>
                    <w:rPr>
                      <w:rFonts w:hint="eastAsia" w:ascii="Times New Roman" w:hAnsi="Times New Roman" w:eastAsia="宋体"/>
                      <w:color w:val="000000" w:themeColor="text1"/>
                      <w:szCs w:val="21"/>
                    </w:rPr>
                    <w:t>入库；</w:t>
                  </w:r>
                </w:p>
                <w:p>
                  <w:pPr>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片状生产工艺</w:t>
                  </w:r>
                  <w:r>
                    <w:rPr>
                      <w:rFonts w:hint="eastAsia" w:ascii="Times New Roman" w:hAnsi="Times New Roman" w:eastAsia="宋体"/>
                      <w:color w:val="000000" w:themeColor="text1"/>
                      <w:szCs w:val="21"/>
                    </w:rPr>
                    <w:t>：</w:t>
                  </w:r>
                  <w:r>
                    <w:rPr>
                      <w:rFonts w:ascii="Times New Roman" w:hAnsi="Times New Roman" w:eastAsia="宋体"/>
                      <w:color w:val="000000" w:themeColor="text1"/>
                      <w:szCs w:val="21"/>
                    </w:rPr>
                    <w:t>原料—</w:t>
                  </w:r>
                  <w:r>
                    <w:rPr>
                      <w:rFonts w:hint="eastAsia" w:ascii="Times New Roman" w:hAnsi="Times New Roman" w:eastAsia="宋体"/>
                      <w:color w:val="000000" w:themeColor="text1"/>
                      <w:szCs w:val="21"/>
                    </w:rPr>
                    <w:t>混料</w:t>
                  </w:r>
                  <w:r>
                    <w:rPr>
                      <w:rFonts w:ascii="Times New Roman" w:hAnsi="Times New Roman" w:eastAsia="宋体"/>
                      <w:color w:val="000000" w:themeColor="text1"/>
                      <w:szCs w:val="21"/>
                    </w:rPr>
                    <w:t>—</w:t>
                  </w:r>
                  <w:r>
                    <w:rPr>
                      <w:rFonts w:hint="eastAsia" w:ascii="Times New Roman" w:hAnsi="Times New Roman" w:eastAsia="宋体"/>
                      <w:color w:val="000000" w:themeColor="text1"/>
                      <w:szCs w:val="21"/>
                    </w:rPr>
                    <w:t>搅拌熔融（无反应）</w:t>
                  </w:r>
                  <w:r>
                    <w:rPr>
                      <w:rFonts w:ascii="Times New Roman" w:hAnsi="Times New Roman" w:eastAsia="宋体"/>
                      <w:color w:val="000000" w:themeColor="text1"/>
                      <w:szCs w:val="21"/>
                    </w:rPr>
                    <w:t>—</w:t>
                  </w:r>
                  <w:r>
                    <w:rPr>
                      <w:rFonts w:hint="eastAsia" w:ascii="Times New Roman" w:hAnsi="Times New Roman" w:eastAsia="宋体"/>
                      <w:color w:val="000000" w:themeColor="text1"/>
                      <w:szCs w:val="21"/>
                    </w:rPr>
                    <w:t>压片</w:t>
                  </w:r>
                  <w:r>
                    <w:rPr>
                      <w:rFonts w:ascii="Times New Roman" w:hAnsi="Times New Roman" w:eastAsia="宋体"/>
                      <w:color w:val="000000" w:themeColor="text1"/>
                      <w:szCs w:val="21"/>
                    </w:rPr>
                    <w:t>—</w:t>
                  </w:r>
                  <w:r>
                    <w:rPr>
                      <w:rFonts w:hint="eastAsia" w:ascii="Times New Roman" w:hAnsi="Times New Roman" w:eastAsia="宋体"/>
                      <w:color w:val="000000" w:themeColor="text1"/>
                      <w:szCs w:val="21"/>
                    </w:rPr>
                    <w:t>包装</w:t>
                  </w:r>
                  <w:r>
                    <w:rPr>
                      <w:rFonts w:ascii="Times New Roman" w:hAnsi="Times New Roman" w:eastAsia="宋体"/>
                      <w:color w:val="000000" w:themeColor="text1"/>
                      <w:szCs w:val="21"/>
                    </w:rPr>
                    <w:t>—</w:t>
                  </w:r>
                  <w:r>
                    <w:rPr>
                      <w:rFonts w:hint="eastAsia" w:ascii="Times New Roman" w:hAnsi="Times New Roman" w:eastAsia="宋体"/>
                      <w:color w:val="000000" w:themeColor="text1"/>
                      <w:szCs w:val="21"/>
                    </w:rPr>
                    <w:t>检验</w:t>
                  </w:r>
                  <w:r>
                    <w:rPr>
                      <w:rFonts w:ascii="Times New Roman" w:hAnsi="Times New Roman" w:eastAsia="宋体"/>
                      <w:color w:val="000000" w:themeColor="text1"/>
                      <w:szCs w:val="21"/>
                    </w:rPr>
                    <w:t>—</w:t>
                  </w:r>
                  <w:r>
                    <w:rPr>
                      <w:rFonts w:hint="eastAsia" w:ascii="Times New Roman" w:hAnsi="Times New Roman" w:eastAsia="宋体"/>
                      <w:color w:val="000000" w:themeColor="text1"/>
                      <w:szCs w:val="21"/>
                    </w:rPr>
                    <w:t>入库；</w:t>
                  </w:r>
                </w:p>
              </w:tc>
            </w:tr>
          </w:tbl>
          <w:p>
            <w:pPr>
              <w:pStyle w:val="9"/>
              <w:spacing w:line="440" w:lineRule="exact"/>
              <w:ind w:firstLine="482" w:firstLineChars="200"/>
              <w:rPr>
                <w:rFonts w:ascii="Times New Roman" w:hAnsi="Times New Roman" w:eastAsia="宋体"/>
                <w:b/>
                <w:color w:val="000000" w:themeColor="text1"/>
                <w:sz w:val="24"/>
              </w:rPr>
            </w:pPr>
            <w:r>
              <w:rPr>
                <w:rFonts w:ascii="Times New Roman" w:hAnsi="Times New Roman" w:eastAsia="宋体"/>
                <w:b/>
                <w:color w:val="000000" w:themeColor="text1"/>
                <w:sz w:val="24"/>
              </w:rPr>
              <w:t>2</w:t>
            </w:r>
            <w:r>
              <w:rPr>
                <w:rFonts w:hint="eastAsia" w:ascii="Times New Roman" w:hAnsi="Times New Roman" w:eastAsia="宋体"/>
                <w:b/>
                <w:color w:val="000000" w:themeColor="text1"/>
                <w:sz w:val="24"/>
              </w:rPr>
              <w:t>、原有工程生产工艺</w:t>
            </w:r>
          </w:p>
          <w:p>
            <w:pPr>
              <w:snapToGrid w:val="0"/>
              <w:spacing w:line="440" w:lineRule="exact"/>
              <w:ind w:firstLine="480" w:firstLineChars="200"/>
              <w:rPr>
                <w:rFonts w:ascii="Times New Roman" w:hAnsi="Times New Roman" w:eastAsia="宋体"/>
                <w:color w:val="000000" w:themeColor="text1"/>
                <w:sz w:val="24"/>
              </w:rPr>
            </w:pPr>
            <w:r>
              <w:rPr>
                <w:rFonts w:hint="eastAsia" w:ascii="宋体" w:hAnsi="宋体" w:eastAsia="宋体"/>
                <w:color w:val="000000" w:themeColor="text1"/>
                <w:sz w:val="24"/>
              </w:rPr>
              <w:t>企业原有工程</w:t>
            </w:r>
            <w:r>
              <w:rPr>
                <w:rFonts w:hint="eastAsia" w:ascii="Times New Roman" w:hAnsi="Times New Roman" w:eastAsia="宋体"/>
                <w:color w:val="000000" w:themeColor="text1"/>
                <w:sz w:val="24"/>
              </w:rPr>
              <w:t>年产1000吨PVC塑料制品项目的塑料布和塑料皮帘生产工艺为原料</w:t>
            </w:r>
            <w:r>
              <w:rPr>
                <w:rFonts w:ascii="Times New Roman" w:hAnsi="Times New Roman" w:eastAsia="宋体"/>
                <w:color w:val="000000" w:themeColor="text1"/>
                <w:sz w:val="24"/>
              </w:rPr>
              <w:t>—</w:t>
            </w:r>
            <w:r>
              <w:rPr>
                <w:rFonts w:hint="eastAsia" w:ascii="Times New Roman" w:hAnsi="Times New Roman" w:eastAsia="宋体"/>
                <w:color w:val="000000" w:themeColor="text1"/>
                <w:sz w:val="24"/>
              </w:rPr>
              <w:t>捏合</w:t>
            </w:r>
            <w:r>
              <w:rPr>
                <w:rFonts w:ascii="Times New Roman" w:hAnsi="Times New Roman" w:eastAsia="宋体"/>
                <w:color w:val="000000" w:themeColor="text1"/>
                <w:sz w:val="24"/>
              </w:rPr>
              <w:t>—</w:t>
            </w:r>
            <w:r>
              <w:rPr>
                <w:rFonts w:hint="eastAsia" w:ascii="Times New Roman" w:hAnsi="Times New Roman" w:eastAsia="宋体"/>
                <w:color w:val="000000" w:themeColor="text1"/>
                <w:sz w:val="24"/>
              </w:rPr>
              <w:t>挤出</w:t>
            </w:r>
            <w:r>
              <w:rPr>
                <w:rFonts w:ascii="Times New Roman" w:hAnsi="Times New Roman" w:eastAsia="宋体"/>
                <w:color w:val="000000" w:themeColor="text1"/>
                <w:sz w:val="24"/>
              </w:rPr>
              <w:t>—</w:t>
            </w:r>
            <w:r>
              <w:rPr>
                <w:rFonts w:hint="eastAsia" w:ascii="Times New Roman" w:hAnsi="Times New Roman" w:eastAsia="宋体"/>
                <w:color w:val="000000" w:themeColor="text1"/>
                <w:sz w:val="24"/>
              </w:rPr>
              <w:t>压光</w:t>
            </w:r>
            <w:r>
              <w:rPr>
                <w:rFonts w:ascii="Times New Roman" w:hAnsi="Times New Roman" w:eastAsia="宋体"/>
                <w:color w:val="000000" w:themeColor="text1"/>
                <w:sz w:val="24"/>
              </w:rPr>
              <w:t>—</w:t>
            </w:r>
            <w:r>
              <w:rPr>
                <w:rFonts w:hint="eastAsia" w:ascii="Times New Roman" w:hAnsi="Times New Roman" w:eastAsia="宋体"/>
                <w:color w:val="000000" w:themeColor="text1"/>
                <w:sz w:val="24"/>
              </w:rPr>
              <w:t>切边</w:t>
            </w:r>
            <w:r>
              <w:rPr>
                <w:rFonts w:ascii="Times New Roman" w:hAnsi="Times New Roman" w:eastAsia="宋体"/>
                <w:color w:val="000000" w:themeColor="text1"/>
                <w:sz w:val="24"/>
              </w:rPr>
              <w:t>—</w:t>
            </w:r>
            <w:r>
              <w:rPr>
                <w:rFonts w:hint="eastAsia" w:ascii="Times New Roman" w:hAnsi="Times New Roman" w:eastAsia="宋体"/>
                <w:color w:val="000000" w:themeColor="text1"/>
                <w:sz w:val="24"/>
              </w:rPr>
              <w:t>打卷</w:t>
            </w:r>
            <w:r>
              <w:rPr>
                <w:rFonts w:ascii="Times New Roman" w:hAnsi="Times New Roman" w:eastAsia="宋体"/>
                <w:color w:val="000000" w:themeColor="text1"/>
                <w:sz w:val="24"/>
              </w:rPr>
              <w:t>—</w:t>
            </w:r>
            <w:r>
              <w:rPr>
                <w:rFonts w:hint="eastAsia" w:ascii="Times New Roman" w:hAnsi="Times New Roman" w:eastAsia="宋体"/>
                <w:color w:val="000000" w:themeColor="text1"/>
                <w:sz w:val="24"/>
              </w:rPr>
              <w:t>包装</w:t>
            </w:r>
            <w:r>
              <w:rPr>
                <w:rFonts w:ascii="Times New Roman" w:hAnsi="Times New Roman" w:eastAsia="宋体"/>
                <w:color w:val="000000" w:themeColor="text1"/>
                <w:sz w:val="24"/>
              </w:rPr>
              <w:t>—成品</w:t>
            </w:r>
            <w:r>
              <w:rPr>
                <w:rFonts w:hint="eastAsia" w:ascii="Times New Roman" w:hAnsi="Times New Roman" w:eastAsia="宋体"/>
                <w:color w:val="000000" w:themeColor="text1"/>
                <w:sz w:val="24"/>
              </w:rPr>
              <w:t>；年产2800吨新型环保</w:t>
            </w:r>
            <w:r>
              <w:rPr>
                <w:rFonts w:hint="eastAsia" w:ascii="Times New Roman" w:hAnsi="Times New Roman" w:eastAsia="宋体"/>
                <w:bCs/>
                <w:color w:val="000000" w:themeColor="text1"/>
                <w:sz w:val="24"/>
              </w:rPr>
              <w:t>钙锌稳定剂项目的生产工艺为</w:t>
            </w:r>
            <w:r>
              <w:rPr>
                <w:rFonts w:hint="eastAsia" w:ascii="Times New Roman" w:hAnsi="Times New Roman" w:eastAsia="宋体"/>
                <w:color w:val="000000" w:themeColor="text1"/>
                <w:sz w:val="24"/>
              </w:rPr>
              <w:t>粉状生产工艺：原料</w:t>
            </w:r>
            <w:r>
              <w:rPr>
                <w:rFonts w:ascii="Times New Roman" w:hAnsi="Times New Roman" w:eastAsia="宋体"/>
                <w:color w:val="000000" w:themeColor="text1"/>
                <w:sz w:val="24"/>
              </w:rPr>
              <w:t>—</w:t>
            </w:r>
            <w:r>
              <w:rPr>
                <w:rFonts w:hint="eastAsia" w:ascii="Times New Roman" w:hAnsi="Times New Roman" w:eastAsia="宋体"/>
                <w:color w:val="000000" w:themeColor="text1"/>
                <w:sz w:val="24"/>
              </w:rPr>
              <w:t>混料</w:t>
            </w:r>
            <w:r>
              <w:rPr>
                <w:rFonts w:ascii="Times New Roman" w:hAnsi="Times New Roman" w:eastAsia="宋体"/>
                <w:color w:val="000000" w:themeColor="text1"/>
                <w:sz w:val="24"/>
              </w:rPr>
              <w:t>—</w:t>
            </w:r>
            <w:r>
              <w:rPr>
                <w:rFonts w:hint="eastAsia" w:ascii="Times New Roman" w:hAnsi="Times New Roman" w:eastAsia="宋体"/>
                <w:color w:val="000000" w:themeColor="text1"/>
                <w:sz w:val="24"/>
              </w:rPr>
              <w:t>包装</w:t>
            </w:r>
            <w:r>
              <w:rPr>
                <w:rFonts w:ascii="Times New Roman" w:hAnsi="Times New Roman" w:eastAsia="宋体"/>
                <w:color w:val="000000" w:themeColor="text1"/>
                <w:sz w:val="24"/>
              </w:rPr>
              <w:t>—</w:t>
            </w:r>
            <w:r>
              <w:rPr>
                <w:rFonts w:hint="eastAsia" w:ascii="Times New Roman" w:hAnsi="Times New Roman" w:eastAsia="宋体"/>
                <w:color w:val="000000" w:themeColor="text1"/>
                <w:sz w:val="24"/>
              </w:rPr>
              <w:t>检验</w:t>
            </w:r>
            <w:r>
              <w:rPr>
                <w:rFonts w:ascii="Times New Roman" w:hAnsi="Times New Roman" w:eastAsia="宋体"/>
                <w:color w:val="000000" w:themeColor="text1"/>
                <w:sz w:val="24"/>
              </w:rPr>
              <w:t>—</w:t>
            </w:r>
            <w:r>
              <w:rPr>
                <w:rFonts w:hint="eastAsia" w:ascii="Times New Roman" w:hAnsi="Times New Roman" w:eastAsia="宋体"/>
                <w:color w:val="000000" w:themeColor="text1"/>
                <w:sz w:val="24"/>
              </w:rPr>
              <w:t>入库；</w:t>
            </w:r>
            <w:r>
              <w:rPr>
                <w:rFonts w:ascii="Times New Roman" w:hAnsi="Times New Roman" w:eastAsia="宋体"/>
                <w:color w:val="000000" w:themeColor="text1"/>
                <w:sz w:val="24"/>
              </w:rPr>
              <w:t>片状生产工艺</w:t>
            </w:r>
            <w:r>
              <w:rPr>
                <w:rFonts w:hint="eastAsia" w:ascii="Times New Roman" w:hAnsi="Times New Roman" w:eastAsia="宋体"/>
                <w:color w:val="000000" w:themeColor="text1"/>
                <w:sz w:val="24"/>
              </w:rPr>
              <w:t>：</w:t>
            </w:r>
            <w:r>
              <w:rPr>
                <w:rFonts w:ascii="Times New Roman" w:hAnsi="Times New Roman" w:eastAsia="宋体"/>
                <w:color w:val="000000" w:themeColor="text1"/>
                <w:sz w:val="24"/>
              </w:rPr>
              <w:t>原料—</w:t>
            </w:r>
            <w:r>
              <w:rPr>
                <w:rFonts w:hint="eastAsia" w:ascii="Times New Roman" w:hAnsi="Times New Roman" w:eastAsia="宋体"/>
                <w:color w:val="000000" w:themeColor="text1"/>
                <w:sz w:val="24"/>
              </w:rPr>
              <w:t>混料</w:t>
            </w:r>
            <w:r>
              <w:rPr>
                <w:rFonts w:ascii="Times New Roman" w:hAnsi="Times New Roman" w:eastAsia="宋体"/>
                <w:color w:val="000000" w:themeColor="text1"/>
                <w:sz w:val="24"/>
              </w:rPr>
              <w:t>—</w:t>
            </w:r>
            <w:r>
              <w:rPr>
                <w:rFonts w:hint="eastAsia" w:ascii="Times New Roman" w:hAnsi="Times New Roman" w:eastAsia="宋体"/>
                <w:color w:val="000000" w:themeColor="text1"/>
                <w:sz w:val="24"/>
              </w:rPr>
              <w:t>搅拌熔融（无反应）</w:t>
            </w:r>
            <w:r>
              <w:rPr>
                <w:rFonts w:ascii="Times New Roman" w:hAnsi="Times New Roman" w:eastAsia="宋体"/>
                <w:color w:val="000000" w:themeColor="text1"/>
                <w:sz w:val="24"/>
              </w:rPr>
              <w:t>—</w:t>
            </w:r>
            <w:r>
              <w:rPr>
                <w:rFonts w:hint="eastAsia" w:ascii="Times New Roman" w:hAnsi="Times New Roman" w:eastAsia="宋体"/>
                <w:color w:val="000000" w:themeColor="text1"/>
                <w:sz w:val="24"/>
              </w:rPr>
              <w:t>压片</w:t>
            </w:r>
            <w:r>
              <w:rPr>
                <w:rFonts w:ascii="Times New Roman" w:hAnsi="Times New Roman" w:eastAsia="宋体"/>
                <w:color w:val="000000" w:themeColor="text1"/>
                <w:sz w:val="24"/>
              </w:rPr>
              <w:t>—</w:t>
            </w:r>
            <w:r>
              <w:rPr>
                <w:rFonts w:hint="eastAsia" w:ascii="Times New Roman" w:hAnsi="Times New Roman" w:eastAsia="宋体"/>
                <w:color w:val="000000" w:themeColor="text1"/>
                <w:sz w:val="24"/>
              </w:rPr>
              <w:t>包装</w:t>
            </w:r>
            <w:r>
              <w:rPr>
                <w:rFonts w:ascii="Times New Roman" w:hAnsi="Times New Roman" w:eastAsia="宋体"/>
                <w:color w:val="000000" w:themeColor="text1"/>
                <w:sz w:val="24"/>
              </w:rPr>
              <w:t>—</w:t>
            </w:r>
            <w:r>
              <w:rPr>
                <w:rFonts w:hint="eastAsia" w:ascii="Times New Roman" w:hAnsi="Times New Roman" w:eastAsia="宋体"/>
                <w:color w:val="000000" w:themeColor="text1"/>
                <w:sz w:val="24"/>
              </w:rPr>
              <w:t>检验</w:t>
            </w:r>
            <w:r>
              <w:rPr>
                <w:rFonts w:ascii="Times New Roman" w:hAnsi="Times New Roman" w:eastAsia="宋体"/>
                <w:color w:val="000000" w:themeColor="text1"/>
                <w:sz w:val="24"/>
              </w:rPr>
              <w:t>—</w:t>
            </w:r>
            <w:r>
              <w:rPr>
                <w:rFonts w:hint="eastAsia" w:ascii="Times New Roman" w:hAnsi="Times New Roman" w:eastAsia="宋体"/>
                <w:color w:val="000000" w:themeColor="text1"/>
                <w:sz w:val="24"/>
              </w:rPr>
              <w:t>入库</w:t>
            </w:r>
            <w:r>
              <w:rPr>
                <w:rFonts w:hint="eastAsia" w:ascii="宋体" w:hAnsi="宋体" w:eastAsia="宋体"/>
                <w:color w:val="000000" w:themeColor="text1"/>
                <w:sz w:val="24"/>
              </w:rPr>
              <w:t>。</w:t>
            </w:r>
            <w:r>
              <w:rPr>
                <w:rFonts w:hint="eastAsia" w:ascii="Times New Roman" w:hAnsi="Times New Roman" w:eastAsia="宋体"/>
                <w:color w:val="000000" w:themeColor="text1"/>
                <w:sz w:val="24"/>
              </w:rPr>
              <w:t>具体工艺流程及产污环节详见下图：</w:t>
            </w:r>
          </w:p>
          <w:p>
            <w:pPr>
              <w:pStyle w:val="2"/>
            </w:pPr>
          </w:p>
          <w:p/>
          <w:p>
            <w:pPr>
              <w:pStyle w:val="9"/>
              <w:spacing w:line="440" w:lineRule="exact"/>
              <w:rPr>
                <w:rFonts w:ascii="Times New Roman" w:hAnsi="Times New Roman" w:eastAsia="宋体"/>
                <w:color w:val="000000" w:themeColor="text1"/>
                <w:sz w:val="24"/>
              </w:rPr>
            </w:pPr>
          </w:p>
          <w:p>
            <w:pPr>
              <w:pStyle w:val="9"/>
              <w:spacing w:line="440" w:lineRule="exact"/>
              <w:ind w:firstLine="480" w:firstLineChars="200"/>
              <w:rPr>
                <w:rFonts w:ascii="Times New Roman" w:hAnsi="Times New Roman" w:eastAsia="宋体"/>
                <w:color w:val="000000" w:themeColor="text1"/>
                <w:sz w:val="24"/>
              </w:rPr>
            </w:pPr>
          </w:p>
          <w:p>
            <w:pPr>
              <w:pStyle w:val="9"/>
              <w:spacing w:line="440" w:lineRule="exact"/>
              <w:ind w:firstLine="480" w:firstLineChars="200"/>
              <w:rPr>
                <w:rFonts w:ascii="Times New Roman" w:hAnsi="Times New Roman" w:eastAsia="宋体"/>
                <w:color w:val="000000" w:themeColor="text1"/>
                <w:sz w:val="24"/>
              </w:rPr>
            </w:pPr>
          </w:p>
          <w:p>
            <w:pPr>
              <w:pStyle w:val="9"/>
              <w:spacing w:line="440" w:lineRule="exact"/>
              <w:ind w:firstLine="480" w:firstLineChars="200"/>
              <w:rPr>
                <w:rFonts w:ascii="Times New Roman" w:hAnsi="Times New Roman" w:eastAsia="宋体"/>
                <w:color w:val="000000" w:themeColor="text1"/>
                <w:sz w:val="24"/>
              </w:rPr>
            </w:pPr>
          </w:p>
          <w:p>
            <w:pPr>
              <w:pStyle w:val="9"/>
              <w:spacing w:line="440" w:lineRule="exact"/>
              <w:ind w:firstLine="480" w:firstLineChars="200"/>
              <w:rPr>
                <w:rFonts w:ascii="Times New Roman" w:hAnsi="Times New Roman" w:eastAsia="宋体"/>
                <w:color w:val="000000" w:themeColor="text1"/>
                <w:sz w:val="24"/>
              </w:rPr>
            </w:pPr>
          </w:p>
          <w:p>
            <w:pPr>
              <w:pStyle w:val="9"/>
              <w:spacing w:line="440" w:lineRule="exact"/>
              <w:ind w:firstLine="480" w:firstLineChars="200"/>
              <w:rPr>
                <w:rFonts w:ascii="Times New Roman" w:hAnsi="Times New Roman" w:eastAsia="宋体"/>
                <w:color w:val="000000" w:themeColor="text1"/>
                <w:sz w:val="24"/>
              </w:rPr>
            </w:pPr>
          </w:p>
          <w:p>
            <w:pPr>
              <w:pStyle w:val="9"/>
              <w:spacing w:line="440" w:lineRule="exact"/>
              <w:ind w:firstLine="482" w:firstLineChars="200"/>
              <w:rPr>
                <w:rFonts w:ascii="Times New Roman" w:hAnsi="Times New Roman" w:eastAsia="宋体"/>
                <w:color w:val="000000" w:themeColor="text1"/>
                <w:sz w:val="24"/>
              </w:rPr>
            </w:pPr>
            <w:r>
              <w:rPr>
                <w:rFonts w:eastAsia="宋体"/>
                <w:b/>
                <w:color w:val="000000" w:themeColor="text1"/>
                <w:sz w:val="24"/>
              </w:rPr>
              <w:pict>
                <v:group id="_x0000_s1537" o:spid="_x0000_s1537" o:spt="203" style="height:135.55pt;width:446.25pt;" coordorigin="103505,-360680" coordsize="5667375,1721485" editas="canvas">
                  <o:lock v:ext="edit"/>
                  <v:shape id="_x0000_s1538" o:spid="_x0000_s1538" o:spt="75" type="#_x0000_t75" style="position:absolute;left:103505;top:-360680;height:1721485;width:5667375;" filled="f" o:preferrelative="t" stroked="f" coordsize="21600,21600">
                    <v:fill on="f" focussize="0,0"/>
                    <v:stroke on="f" joinstyle="miter"/>
                    <v:imagedata o:title=""/>
                    <o:lock v:ext="edit" rotation="t" aspectratio="t"/>
                  </v:shape>
                  <v:shape id="文本框 10" o:spid="_x0000_s1539" o:spt="202" type="#_x0000_t202" style="position:absolute;left:372110;top:231140;height:288290;width:46799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vMMA&#10;AADbAAAADwAAAGRycy9kb3ducmV2LnhtbESPT2vDMAzF74V9B6PBLmV1WtgfsrqlFAq7tgvpVcRa&#10;HBrLwfaadJ9+OhR2k3hP7/203k6+V1eKqQtsYLkoQBE3wXbcGqi+Ds/voFJGttgHJgM3SrDdPMzW&#10;WNow8pGup9wqCeFUogGX81BqnRpHHtMiDMSifYfoMcsaW20jjhLue70qilftsWNpcDjQ3lFzOf14&#10;Ay/9ebWMeT+Mc7erLlRXb/VvZczT47T7AJVpyv/m+/WnFXyhl19kAL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q/vMMAAADbAAAADwAAAAAAAAAAAAAAAACYAgAAZHJzL2Rv&#10;d25yZXYueG1sUEsFBgAAAAAEAAQA9QAAAIgDAAAAAA==&#10;">
                    <v:path/>
                    <v:fill type="gradient" on="f" angle="90" focus="100%" focussize="0,0">
                      <o:fill type="gradientUnscaled" v:ext="backwardCompatible"/>
                    </v:fill>
                    <v:stroke on="f" weight="1.25pt" joinstyle="miter"/>
                    <v:imagedata o:title=""/>
                    <o:lock v:ext="edit"/>
                    <v:textbox>
                      <w:txbxContent/>
                    </v:textbox>
                  </v:shape>
                  <v:shape id="文本框 12" o:spid="_x0000_s1540" o:spt="202" type="#_x0000_t202" style="position:absolute;left:1326515;top:241935;height:288290;width:46799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SEUMAA&#10;AADbAAAADwAAAGRycy9kb3ducmV2LnhtbERPTYvCMBC9L+x/CLPgZVlTC+pSjSLCgle16HVoxqbY&#10;TEqStdVfb4SFvc3jfc5yPdhW3MiHxrGCyTgDQVw53XCtoDz+fH2DCBFZY+uYFNwpwHr1/rbEQrue&#10;93Q7xFqkEA4FKjAxdoWUoTJkMYxdR5y4i/MWY4K+ltpjn8JtK/Msm0mLDacGgx1tDVXXw69VMG3P&#10;+cTHbdd/mk15pVM5Pz1KpUYfw2YBItIQ/8V/7p1O83N4/ZIO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SEUMAAAADbAAAADwAAAAAAAAAAAAAAAACYAgAAZHJzL2Rvd25y&#10;ZXYueG1sUEsFBgAAAAAEAAQA9QAAAIUDAAAAAA==&#10;">
                    <v:path/>
                    <v:fill type="gradient" on="f" angle="90" focus="100%" focussize="0,0">
                      <o:fill type="gradientUnscaled" v:ext="backwardCompatible"/>
                    </v:fill>
                    <v:stroke on="f" weight="1.25pt" joinstyle="miter"/>
                    <v:imagedata o:title=""/>
                    <o:lock v:ext="edit"/>
                    <v:textbox>
                      <w:txbxContent>
                        <w:p>
                          <w:pPr>
                            <w:jc w:val="center"/>
                            <w:rPr>
                              <w:rFonts w:ascii="宋体" w:hAnsi="宋体" w:eastAsia="宋体"/>
                            </w:rPr>
                          </w:pPr>
                          <w:r>
                            <w:rPr>
                              <w:rFonts w:hint="eastAsia" w:ascii="宋体" w:hAnsi="宋体" w:eastAsia="宋体"/>
                            </w:rPr>
                            <w:t>捏合</w:t>
                          </w:r>
                        </w:p>
                      </w:txbxContent>
                    </v:textbox>
                  </v:shape>
                  <v:line id="直接连接符 13" o:spid="_x0000_s1541" o:spt="20" style="position:absolute;left:840105;top:381635;flip:y;height:1;width:43180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cGpcIAAADbAAAADwAAAGRycy9kb3ducmV2LnhtbERP22oCMRB9L/QfwhT6IjXbWpayGqUU&#10;BcW24OUDxs24u3QzWZK4xr83gtC3OZzrTGbRtKIn5xvLCl6HGQji0uqGKwX73eLlA4QPyBpby6Tg&#10;Qh5m08eHCRbannlD/TZUIoWwL1BBHUJXSOnLmgz6oe2IE3e0zmBI0FVSOzyncNPKtyzLpcGGU0ON&#10;HX3VVP5tT0ZBPLp3P+hXucy+4ybmv+ufeXVQ6vkpfo5BBIrhX3x3L3WaP4LbL+kAOb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cGpcIAAADbAAAADwAAAAAAAAAAAAAA&#10;AAChAgAAZHJzL2Rvd25yZXYueG1sUEsFBgAAAAAEAAQA+QAAAJADAAAAAA==&#10;">
                    <v:path arrowok="t"/>
                    <v:fill focussize="0,0"/>
                    <v:stroke weight="1.25pt" endarrow="open"/>
                    <v:imagedata o:title=""/>
                    <o:lock v:ext="edit"/>
                  </v:line>
                  <v:line id="直接连接符 19" o:spid="_x0000_s1542" o:spt="20" style="position:absolute;left:1794510;top:386080;flip:y;height:1;width:43180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8xT8IAAADbAAAADwAAAGRycy9kb3ducmV2LnhtbERP3WrCMBS+F/YO4Qx2IzOdjKKdUUQm&#10;KFNBtwc4a45tWXNSkqxmb78Ignfn4/s9s0U0rejJ+caygpdRBoK4tLrhSsHX5/p5AsIHZI2tZVLw&#10;Rx4W84fBDAttL3yk/hQqkULYF6igDqErpPRlTQb9yHbEiTtbZzAk6CqpHV5SuGnlOMtyabDh1FBj&#10;R6uayp/Tr1EQz+7VD/ttLrNdPMb88LF/r76VenqMyzcQgWK4i2/ujU7zp3D9JR0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58xT8IAAADbAAAADwAAAAAAAAAAAAAA&#10;AAChAgAAZHJzL2Rvd25yZXYueG1sUEsFBgAAAAAEAAQA+QAAAJADAAAAAA==&#10;">
                    <v:path arrowok="t"/>
                    <v:fill focussize="0,0"/>
                    <v:stroke weight="1.25pt" endarrow="open"/>
                    <v:imagedata o:title=""/>
                    <o:lock v:ext="edit"/>
                  </v:line>
                  <v:line id="直接连接符 24" o:spid="_x0000_s1543" o:spt="20" style="position:absolute;left:2728595;top:371475;flip:y;height:1;width:43180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UbMQAAADbAAAADwAAAGRycy9kb3ducmV2LnhtbESP3WoCMRSE7wt9h3AK3hTNKrLIahQp&#10;FSq2gj8PcNwcdxc3J0uSrvHtm0Khl8PMfMMsVtG0oifnG8sKxqMMBHFpdcOVgvNpM5yB8AFZY2uZ&#10;FDzIw2r5/LTAQts7H6g/hkokCPsCFdQhdIWUvqzJoB/Zjjh5V+sMhiRdJbXDe4KbVk6yLJcGG04L&#10;NXb0VlN5O34bBfHqpv613+Yy+4yHmO93X+/VRanBS1zPQQSK4T/81/7QCiZT+P2Sf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8lRsxAAAANsAAAAPAAAAAAAAAAAA&#10;AAAAAKECAABkcnMvZG93bnJldi54bWxQSwUGAAAAAAQABAD5AAAAkgMAAAAA&#10;">
                    <v:path arrowok="t"/>
                    <v:fill focussize="0,0"/>
                    <v:stroke weight="1.25pt" endarrow="open"/>
                    <v:imagedata o:title=""/>
                    <o:lock v:ext="edit"/>
                  </v:line>
                  <v:shape id="文本框 25" o:spid="_x0000_s1544" o:spt="202" type="#_x0000_t202" style="position:absolute;left:5017770;top:231140;height:288290;width:46799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v:path/>
                    <v:fill type="gradient" on="f" angle="90" focus="100%" focussize="0,0">
                      <o:fill type="gradientUnscaled" v:ext="backwardCompatible"/>
                    </v:fill>
                    <v:stroke on="f" weight="1.25pt" joinstyle="miter"/>
                    <v:imagedata o:title=""/>
                    <o:lock v:ext="edit"/>
                    <v:textbox>
                      <w:txbxContent>
                        <w:p>
                          <w:pPr>
                            <w:jc w:val="center"/>
                            <w:rPr>
                              <w:rFonts w:ascii="宋体" w:hAnsi="宋体" w:eastAsia="宋体"/>
                            </w:rPr>
                          </w:pPr>
                          <w:r>
                            <w:rPr>
                              <w:rFonts w:hint="eastAsia" w:ascii="宋体" w:hAnsi="宋体" w:eastAsia="宋体"/>
                            </w:rPr>
                            <w:t>打卷</w:t>
                          </w:r>
                        </w:p>
                      </w:txbxContent>
                    </v:textbox>
                  </v:shape>
                  <v:line id="直接连接符 17" o:spid="_x0000_s1545" o:spt="20" style="position:absolute;left:4335145;top:530225;height:215900;width:1;"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v:path arrowok="t"/>
                    <v:fill focussize="0,0"/>
                    <v:stroke weight="1.25pt" endarrow="open"/>
                    <v:imagedata o:title=""/>
                    <o:lock v:ext="edit"/>
                  </v:line>
                  <v:line id="直接连接符 30" o:spid="_x0000_s1546" o:spt="20" style="position:absolute;left:3636010;top:385445;flip:y;height:1;width:43180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om8MAAADbAAAADwAAAGRycy9kb3ducmV2LnhtbERPy2rCQBTdF/yH4Rbc1UkqjRIdpRQC&#10;xZaC2kXdXTPXJDVzJ2TGPP6+syi4PJz3ejuYWnTUusqygngWgSDOra64UPB9zJ6WIJxH1lhbJgUj&#10;OdhuJg9rTLXteU/dwRcihLBLUUHpfZNK6fKSDLqZbYgDd7GtQR9gW0jdYh/CTS2foyiRBisODSU2&#10;9FZSfj3cjILfxeJzSL7sx/jTJed5vHtZZreTUtPH4XUFwtPg7+J/97tWMA/rw5fw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zKJvDAAAA2wAAAA8AAAAAAAAAAAAA&#10;AAAAoQIAAGRycy9kb3ducmV2LnhtbFBLBQYAAAAABAAEAPkAAACRAwAAAAA=&#10;">
                    <v:path arrowok="t"/>
                    <v:fill focussize="0,0"/>
                    <v:stroke weight="1.25pt" endarrow="open"/>
                    <v:imagedata o:title=""/>
                    <o:lock v:ext="edit"/>
                  </v:line>
                  <v:shape id="文本框 28" o:spid="_x0000_s1547" o:spt="202" type="#_x0000_t202" style="position:absolute;left:2247265;top:-342265;height:304800;width:48133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v:path/>
                    <v:fill on="f" focussize="0,0"/>
                    <v:stroke on="f" weight="1.25pt" joinstyle="miter"/>
                    <v:imagedata o:title=""/>
                    <o:lock v:ext="edit"/>
                    <v:textbox>
                      <w:txbxContent>
                        <w:p>
                          <w:pPr>
                            <w:jc w:val="center"/>
                            <w:rPr>
                              <w:rFonts w:ascii="Times New Roman" w:hAnsi="Times New Roman"/>
                            </w:rPr>
                          </w:pPr>
                          <w:r>
                            <w:rPr>
                              <w:rFonts w:hint="eastAsia" w:ascii="Times New Roman" w:hAnsi="Times New Roman"/>
                            </w:rPr>
                            <w:t>G、</w:t>
                          </w:r>
                          <w:r>
                            <w:rPr>
                              <w:rFonts w:ascii="Times New Roman" w:hAnsi="Times New Roman"/>
                            </w:rPr>
                            <w:t>N</w:t>
                          </w:r>
                        </w:p>
                      </w:txbxContent>
                    </v:textbox>
                  </v:shape>
                  <v:line id="直接连接符 17" o:spid="_x0000_s1548" o:spt="20" style="position:absolute;left:1546860;top:-140335;flip:y;height:419735;width:1;"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v:path arrowok="t"/>
                    <v:fill focussize="0,0"/>
                    <v:stroke weight="1.25pt" dashstyle="dash" endarrow="open"/>
                    <v:imagedata o:title=""/>
                    <o:lock v:ext="edit"/>
                  </v:line>
                  <v:shape id="文本框 25" o:spid="_x0000_s1549" o:spt="202" type="#_x0000_t202" style="position:absolute;left:5006340;top:1072515;height:288290;width:46799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v:path/>
                    <v:fill type="gradient" on="f" angle="90" focus="100%" focussize="0,0">
                      <o:fill type="gradientUnscaled" v:ext="backwardCompatible"/>
                    </v:fill>
                    <v:stroke on="f" weight="1.25pt" joinstyle="miter"/>
                    <v:imagedata o:title=""/>
                    <o:lock v:ext="edit"/>
                    <v:textbox>
                      <w:txbxContent>
                        <w:p>
                          <w:pPr>
                            <w:jc w:val="center"/>
                            <w:rPr>
                              <w:rFonts w:ascii="宋体" w:hAnsi="宋体" w:eastAsia="宋体"/>
                            </w:rPr>
                          </w:pPr>
                          <w:r>
                            <w:rPr>
                              <w:rFonts w:hint="eastAsia" w:ascii="宋体" w:hAnsi="宋体" w:eastAsia="宋体"/>
                            </w:rPr>
                            <w:t>包装</w:t>
                          </w:r>
                        </w:p>
                      </w:txbxContent>
                    </v:textbox>
                  </v:shape>
                  <v:line id="直接连接符 17" o:spid="_x0000_s1550" o:spt="20" style="position:absolute;left:5252720;top:520700;flip:x;height:539750;width:1;"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v:path arrowok="t"/>
                    <v:fill focussize="0,0"/>
                    <v:stroke weight="1.25pt" endarrow="open"/>
                    <v:imagedata o:title=""/>
                    <o:lock v:ext="edit"/>
                  </v:line>
                  <v:line id="直接连接符 24" o:spid="_x0000_s1551" o:spt="20" style="position:absolute;left:4517390;top:1227455;flip:x;height:1;width:43180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UbMQAAADbAAAADwAAAGRycy9kb3ducmV2LnhtbESP3WoCMRSE7wt9h3AK3hTNKrLIahQp&#10;FSq2gj8PcNwcdxc3J0uSrvHtm0Khl8PMfMMsVtG0oifnG8sKxqMMBHFpdcOVgvNpM5yB8AFZY2uZ&#10;FDzIw2r5/LTAQts7H6g/hkokCPsCFdQhdIWUvqzJoB/Zjjh5V+sMhiRdJbXDe4KbVk6yLJcGG04L&#10;NXb0VlN5O34bBfHqpv613+Yy+4yHmO93X+/VRanBS1zPQQSK4T/81/7QCiZT+P2Sf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8lRsxAAAANsAAAAPAAAAAAAAAAAA&#10;AAAAAKECAABkcnMvZG93bnJldi54bWxQSwUGAAAAAAQABAD5AAAAkgMAAAAA&#10;">
                    <v:path arrowok="t"/>
                    <v:fill focussize="0,0"/>
                    <v:stroke weight="1.25pt" endarrow="open"/>
                    <v:imagedata o:title=""/>
                    <o:lock v:ext="edit"/>
                  </v:line>
                  <v:line id="直接连接符 17" o:spid="_x0000_s1552" o:spt="20" style="position:absolute;left:2489835;top:-128270;flip:y;height:419735;width:1;"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v:path arrowok="t"/>
                    <v:fill focussize="0,0"/>
                    <v:stroke weight="1.25pt" dashstyle="dash" endarrow="open"/>
                    <v:imagedata o:title=""/>
                    <o:lock v:ext="edit"/>
                  </v:line>
                  <v:line id="直接连接符 17" o:spid="_x0000_s1553" o:spt="20" style="position:absolute;left:3385185;top:-121920;flip:y;height:419735;width:1;"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v:path arrowok="t"/>
                    <v:fill focussize="0,0"/>
                    <v:stroke weight="1.25pt" dashstyle="dash" endarrow="open"/>
                    <v:imagedata o:title=""/>
                    <o:lock v:ext="edit"/>
                  </v:line>
                  <v:shape id="文本框 25" o:spid="_x0000_s1554" o:spt="202" type="#_x0000_t202" style="position:absolute;left:2260600;top:231140;height:288290;width:46799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v:path/>
                    <v:fill type="gradient" on="f" angle="90" focus="100%" focussize="0,0">
                      <o:fill type="gradientUnscaled" v:ext="backwardCompatible"/>
                    </v:fill>
                    <v:stroke on="f" weight="1.25pt" joinstyle="miter"/>
                    <v:imagedata o:title=""/>
                    <o:lock v:ext="edit"/>
                    <v:textbox>
                      <w:txbxContent>
                        <w:p>
                          <w:pPr>
                            <w:jc w:val="center"/>
                            <w:rPr>
                              <w:rFonts w:ascii="宋体" w:hAnsi="宋体" w:eastAsia="宋体"/>
                            </w:rPr>
                          </w:pPr>
                          <w:r>
                            <w:rPr>
                              <w:rFonts w:hint="eastAsia" w:ascii="宋体" w:hAnsi="宋体" w:eastAsia="宋体"/>
                            </w:rPr>
                            <w:t>挤出</w:t>
                          </w:r>
                        </w:p>
                      </w:txbxContent>
                    </v:textbox>
                  </v:shape>
                  <v:shape id="文本框 14" o:spid="_x0000_s1555" o:spt="202" type="#_x0000_t202" style="position:absolute;left:3168015;top:231140;height:288290;width:46799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5v8AA&#10;AADbAAAADwAAAGRycy9kb3ducmV2LnhtbERPTYvCMBC9C/sfwix4kTVVXF26RhFB2Ktu0evQzDbF&#10;ZlKSaOv+eiMI3ubxPme57m0jruRD7VjBZJyBIC6drrlSUPzuPr5AhIissXFMCm4UYL16Gywx167j&#10;PV0PsRIphEOOCkyMbS5lKA1ZDGPXEifuz3mLMUFfSe2xS+G2kdMsm0uLNacGgy1tDZXnw8Uq+GxO&#10;04mP27YbmU1xpmOxOP4XSg3f+803iEh9fImf7h+d5s/g8Us6QK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G5v8AAAADbAAAADwAAAAAAAAAAAAAAAACYAgAAZHJzL2Rvd25y&#10;ZXYueG1sUEsFBgAAAAAEAAQA9QAAAIUDAAAAAA==&#10;">
                    <v:path/>
                    <v:fill type="gradient" on="f" angle="90" focus="100%" focussize="0,0">
                      <o:fill type="gradientUnscaled" v:ext="backwardCompatible"/>
                    </v:fill>
                    <v:stroke on="f" weight="1.25pt" joinstyle="miter"/>
                    <v:imagedata o:title=""/>
                    <o:lock v:ext="edit"/>
                    <v:textbox>
                      <w:txbxContent>
                        <w:p>
                          <w:pPr>
                            <w:jc w:val="center"/>
                            <w:rPr>
                              <w:rFonts w:ascii="宋体" w:hAnsi="宋体" w:eastAsia="宋体"/>
                            </w:rPr>
                          </w:pPr>
                          <w:r>
                            <w:rPr>
                              <w:rFonts w:hint="eastAsia" w:ascii="宋体" w:hAnsi="宋体" w:eastAsia="宋体"/>
                            </w:rPr>
                            <w:t>压光</w:t>
                          </w:r>
                        </w:p>
                      </w:txbxContent>
                    </v:textbox>
                  </v:shape>
                  <v:shape id="文本框 25" o:spid="_x0000_s1556" o:spt="202" type="#_x0000_t202" style="position:absolute;left:4106545;top:236855;height:288290;width:46799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v:path/>
                    <v:fill type="gradient" on="f" angle="90" focus="100%" focussize="0,0">
                      <o:fill type="gradientUnscaled" v:ext="backwardCompatible"/>
                    </v:fill>
                    <v:stroke on="f" weight="1.25pt" joinstyle="miter"/>
                    <v:imagedata o:title=""/>
                    <o:lock v:ext="edit"/>
                    <v:textbox>
                      <w:txbxContent>
                        <w:p>
                          <w:pPr>
                            <w:jc w:val="center"/>
                            <w:rPr>
                              <w:rFonts w:ascii="宋体" w:hAnsi="宋体" w:eastAsia="宋体"/>
                            </w:rPr>
                          </w:pPr>
                          <w:r>
                            <w:rPr>
                              <w:rFonts w:hint="eastAsia" w:ascii="宋体" w:hAnsi="宋体" w:eastAsia="宋体"/>
                            </w:rPr>
                            <w:t>切边</w:t>
                          </w:r>
                        </w:p>
                      </w:txbxContent>
                    </v:textbox>
                  </v:shape>
                  <v:line id="直接连接符 30" o:spid="_x0000_s1557" o:spt="20" style="position:absolute;left:4574540;top:383540;flip:y;height:1;width:43180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om8MAAADbAAAADwAAAGRycy9kb3ducmV2LnhtbERPy2rCQBTdF/yH4Rbc1UkqjRIdpRQC&#10;xZaC2kXdXTPXJDVzJ2TGPP6+syi4PJz3ejuYWnTUusqygngWgSDOra64UPB9zJ6WIJxH1lhbJgUj&#10;OdhuJg9rTLXteU/dwRcihLBLUUHpfZNK6fKSDLqZbYgDd7GtQR9gW0jdYh/CTS2foyiRBisODSU2&#10;9FZSfj3cjILfxeJzSL7sx/jTJed5vHtZZreTUtPH4XUFwtPg7+J/97tWMA/rw5fw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zKJvDAAAA2wAAAA8AAAAAAAAAAAAA&#10;AAAAoQIAAGRycy9kb3ducmV2LnhtbFBLBQYAAAAABAAEAPkAAACRAwAAAAA=&#10;">
                    <v:path arrowok="t"/>
                    <v:fill focussize="0,0"/>
                    <v:stroke weight="1.25pt" endarrow="open"/>
                    <v:imagedata o:title=""/>
                    <o:lock v:ext="edit"/>
                  </v:line>
                  <v:shape id="文本框 25" o:spid="_x0000_s1558" o:spt="202" type="#_x0000_t202" style="position:absolute;left:4067810;top:1072515;height:288290;width:46799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v:path/>
                    <v:fill type="gradient" on="f" angle="90" focus="100%" focussize="0,0">
                      <o:fill type="gradientUnscaled" v:ext="backwardCompatible"/>
                    </v:fill>
                    <v:stroke on="f" weight="1.25pt" joinstyle="miter"/>
                    <v:imagedata o:title=""/>
                    <o:lock v:ext="edit"/>
                    <v:textbox>
                      <w:txbxContent>
                        <w:p>
                          <w:pPr>
                            <w:jc w:val="center"/>
                            <w:rPr>
                              <w:rFonts w:ascii="宋体" w:hAnsi="宋体" w:eastAsia="宋体"/>
                            </w:rPr>
                          </w:pPr>
                          <w:r>
                            <w:rPr>
                              <w:rFonts w:hint="eastAsia" w:ascii="宋体" w:hAnsi="宋体" w:eastAsia="宋体"/>
                            </w:rPr>
                            <w:t>成品</w:t>
                          </w:r>
                        </w:p>
                        <w:p>
                          <w:pPr>
                            <w:jc w:val="center"/>
                          </w:pPr>
                        </w:p>
                      </w:txbxContent>
                    </v:textbox>
                  </v:shape>
                  <v:line id="直接连接符 17" o:spid="_x0000_s1559" o:spt="20" style="position:absolute;left:4350385;top:-140335;flip:y;height:419735;width:1;"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v:path arrowok="t"/>
                    <v:fill focussize="0,0"/>
                    <v:stroke weight="1.25pt" dashstyle="dash" endarrow="open"/>
                    <v:imagedata o:title=""/>
                    <o:lock v:ext="edit"/>
                  </v:line>
                  <v:line id="直接连接符 17" o:spid="_x0000_s1560" o:spt="20" style="position:absolute;left:5233035;top:-128270;flip:y;height:419735;width:1;"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v:path arrowok="t"/>
                    <v:fill focussize="0,0"/>
                    <v:stroke weight="1.25pt" dashstyle="dash" endarrow="open"/>
                    <v:imagedata o:title=""/>
                    <o:lock v:ext="edit"/>
                  </v:line>
                  <v:shape id="文本框 28" o:spid="_x0000_s1561" o:spt="202" type="#_x0000_t202" style="position:absolute;left:1198245;top:-342265;height:304800;width:72009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v:path/>
                    <v:fill on="f" focussize="0,0"/>
                    <v:stroke on="f" weight="1.25pt" joinstyle="miter"/>
                    <v:imagedata o:title=""/>
                    <o:lock v:ext="edit"/>
                    <v:textbox>
                      <w:txbxContent>
                        <w:p>
                          <w:pPr>
                            <w:jc w:val="center"/>
                            <w:rPr>
                              <w:rFonts w:ascii="Times New Roman" w:hAnsi="Times New Roman"/>
                            </w:rPr>
                          </w:pPr>
                          <w:r>
                            <w:rPr>
                              <w:rFonts w:ascii="Times New Roman" w:hAnsi="Times New Roman"/>
                            </w:rPr>
                            <w:t>G</w:t>
                          </w:r>
                          <w:r>
                            <w:rPr>
                              <w:rFonts w:ascii="Times New Roman"/>
                            </w:rPr>
                            <w:t>、</w:t>
                          </w:r>
                          <w:r>
                            <w:rPr>
                              <w:rFonts w:ascii="Times New Roman" w:hAnsi="Times New Roman"/>
                            </w:rPr>
                            <w:t>N</w:t>
                          </w:r>
                        </w:p>
                      </w:txbxContent>
                    </v:textbox>
                  </v:shape>
                  <v:shape id="文本框 28" o:spid="_x0000_s1562" o:spt="202" type="#_x0000_t202" style="position:absolute;left:3123565;top:-342265;height:304800;width:51244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v:path/>
                    <v:fill on="f" focussize="0,0"/>
                    <v:stroke on="f" weight="1.25pt" joinstyle="miter"/>
                    <v:imagedata o:title=""/>
                    <o:lock v:ext="edit"/>
                    <v:textbox>
                      <w:txbxContent>
                        <w:p>
                          <w:pPr>
                            <w:jc w:val="center"/>
                            <w:rPr>
                              <w:rFonts w:ascii="Times New Roman" w:hAnsi="Times New Roman"/>
                            </w:rPr>
                          </w:pPr>
                          <w:r>
                            <w:rPr>
                              <w:rFonts w:ascii="Times New Roman" w:hAnsi="Times New Roman"/>
                            </w:rPr>
                            <w:t>N</w:t>
                          </w:r>
                        </w:p>
                      </w:txbxContent>
                    </v:textbox>
                  </v:shape>
                  <v:shape id="文本框 28" o:spid="_x0000_s1563" o:spt="202" type="#_x0000_t202" style="position:absolute;left:3883025;top:-360680;height:304800;width:89979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v:path/>
                    <v:fill on="f" focussize="0,0"/>
                    <v:stroke on="f" weight="1.25pt" joinstyle="miter"/>
                    <v:imagedata o:title=""/>
                    <o:lock v:ext="edit"/>
                    <v:textbox>
                      <w:txbxContent>
                        <w:p>
                          <w:pPr>
                            <w:jc w:val="center"/>
                            <w:rPr>
                              <w:rFonts w:ascii="Times New Roman" w:hAnsi="Times New Roman"/>
                            </w:rPr>
                          </w:pPr>
                          <w:r>
                            <w:rPr>
                              <w:rFonts w:ascii="Times New Roman" w:hAnsi="Times New Roman"/>
                            </w:rPr>
                            <w:t>N</w:t>
                          </w:r>
                          <w:r>
                            <w:rPr>
                              <w:rFonts w:hint="eastAsia" w:ascii="Times New Roman" w:hAnsi="Times New Roman"/>
                            </w:rPr>
                            <w:t>、S</w:t>
                          </w:r>
                        </w:p>
                      </w:txbxContent>
                    </v:textbox>
                  </v:shape>
                  <v:shape id="文本框 28" o:spid="_x0000_s1564" o:spt="202" type="#_x0000_t202" style="position:absolute;left:5072380;top:-360680;height:304800;width:31369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v:path/>
                    <v:fill on="f" focussize="0,0"/>
                    <v:stroke on="f" weight="1.25pt" joinstyle="miter"/>
                    <v:imagedata o:title=""/>
                    <o:lock v:ext="edit"/>
                    <v:textbox>
                      <w:txbxContent>
                        <w:p>
                          <w:pPr>
                            <w:jc w:val="center"/>
                            <w:rPr>
                              <w:rFonts w:ascii="Times New Roman" w:hAnsi="Times New Roman"/>
                            </w:rPr>
                          </w:pPr>
                          <w:r>
                            <w:rPr>
                              <w:rFonts w:ascii="Times New Roman" w:hAnsi="Times New Roman"/>
                            </w:rPr>
                            <w:t>N</w:t>
                          </w:r>
                        </w:p>
                      </w:txbxContent>
                    </v:textbox>
                  </v:shape>
                  <v:shape id="文本框 10" o:spid="_x0000_s1566" o:spt="202" type="#_x0000_t202" style="position:absolute;left:4013200;top:746125;height:288290;width:61722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vMMA&#10;AADbAAAADwAAAGRycy9kb3ducmV2LnhtbESPT2vDMAzF74V9B6PBLmV1WtgfsrqlFAq7tgvpVcRa&#10;HBrLwfaadJ9+OhR2k3hP7/203k6+V1eKqQtsYLkoQBE3wXbcGqi+Ds/voFJGttgHJgM3SrDdPMzW&#10;WNow8pGup9wqCeFUogGX81BqnRpHHtMiDMSifYfoMcsaW20jjhLue70qilftsWNpcDjQ3lFzOf14&#10;Ay/9ebWMeT+Mc7erLlRXb/VvZczT47T7AJVpyv/m+/WnFXyhl19kAL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q/vMMAAADbAAAADwAAAAAAAAAAAAAAAACYAgAAZHJzL2Rv&#10;d25yZXYueG1sUEsFBgAAAAAEAAQA9QAAAIgDAAAAAA==&#10;">
                    <v:path/>
                    <v:fill type="gradient" on="f" angle="90" focus="100%" focussize="0,0">
                      <o:fill type="gradientUnscaled" v:ext="backwardCompatible"/>
                    </v:fill>
                    <v:stroke on="f" weight="1.25pt" joinstyle="miter"/>
                    <v:imagedata o:title=""/>
                    <o:lock v:ext="edit"/>
                    <v:textbox>
                      <w:txbxContent>
                        <w:p>
                          <w:pPr>
                            <w:jc w:val="center"/>
                            <w:rPr>
                              <w:rFonts w:ascii="宋体" w:hAnsi="宋体" w:eastAsia="宋体"/>
                            </w:rPr>
                          </w:pPr>
                          <w:r>
                            <w:rPr>
                              <w:rFonts w:hint="eastAsia" w:ascii="宋体" w:hAnsi="宋体" w:eastAsia="宋体"/>
                            </w:rPr>
                            <w:t>粉碎机</w:t>
                          </w:r>
                        </w:p>
                      </w:txbxContent>
                    </v:textbox>
                  </v:shape>
                  <v:line id="直接连接符 13" o:spid="_x0000_s1567" o:spt="20" style="position:absolute;left:1546860;top:883920;height:1;width:2466340;rotation:-1179648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cGpcIAAADbAAAADwAAAGRycy9kb3ducmV2LnhtbERP22oCMRB9L/QfwhT6IjXbWpayGqUU&#10;BcW24OUDxs24u3QzWZK4xr83gtC3OZzrTGbRtKIn5xvLCl6HGQji0uqGKwX73eLlA4QPyBpby6Tg&#10;Qh5m08eHCRbannlD/TZUIoWwL1BBHUJXSOnLmgz6oe2IE3e0zmBI0FVSOzyncNPKtyzLpcGGU0ON&#10;HX3VVP5tT0ZBPLp3P+hXucy+4ybmv+ufeXVQ6vkpfo5BBIrhX3x3L3WaP4LbL+kAOb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cGpcIAAADbAAAADwAAAAAAAAAAAAAA&#10;AAChAgAAZHJzL2Rvd25yZXYueG1sUEsFBgAAAAAEAAQA+QAAAJADAAAAAA==&#10;">
                    <v:path arrowok="t"/>
                    <v:fill focussize="0,0"/>
                    <v:stroke weight="1.25pt" endarrow="open"/>
                    <v:imagedata o:title=""/>
                    <o:lock v:ext="edit"/>
                  </v:line>
                  <v:line id="直接连接符 17" o:spid="_x0000_s1568" o:spt="20" style="position:absolute;left:1546860;top:547370;flip:x;height:360045;width:1;rotation:-1179648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v:path arrowok="t"/>
                    <v:fill focussize="0,0"/>
                    <v:stroke weight="1.25pt" endarrow="open"/>
                    <v:imagedata o:title=""/>
                    <o:lock v:ext="edit"/>
                  </v:line>
                  <v:shape id="文本框 10" o:spid="_x0000_s1569" o:spt="202" type="#_x0000_t202" style="position:absolute;left:4271010;top:457835;height:288290;width:61722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vMMA&#10;AADbAAAADwAAAGRycy9kb3ducmV2LnhtbESPT2vDMAzF74V9B6PBLmV1WtgfsrqlFAq7tgvpVcRa&#10;HBrLwfaadJ9+OhR2k3hP7/203k6+V1eKqQtsYLkoQBE3wXbcGqi+Ds/voFJGttgHJgM3SrDdPMzW&#10;WNow8pGup9wqCeFUogGX81BqnRpHHtMiDMSifYfoMcsaW20jjhLue70qilftsWNpcDjQ3lFzOf14&#10;Ay/9ebWMeT+Mc7erLlRXb/VvZczT47T7AJVpyv/m+/WnFXyhl19kAL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q/vMMAAADbAAAADwAAAAAAAAAAAAAAAACYAgAAZHJzL2Rv&#10;d25yZXYueG1sUEsFBgAAAAAEAAQA9QAAAIgDAAAAAA==&#10;">
                    <v:path/>
                    <v:fill type="gradient" on="f" angle="90" focus="100%" focussize="0,0">
                      <o:fill type="gradientUnscaled" v:ext="backwardCompatible"/>
                    </v:fill>
                    <v:stroke on="f" weight="1.25pt" joinstyle="miter"/>
                    <v:imagedata o:title=""/>
                    <o:lock v:ext="edit"/>
                    <v:textbox style="mso-next-textbox:#文本框 10;">
                      <w:txbxContent>
                        <w:p>
                          <w:pPr>
                            <w:jc w:val="center"/>
                            <w:rPr>
                              <w:rFonts w:ascii="宋体" w:hAnsi="宋体" w:eastAsia="宋体"/>
                            </w:rPr>
                          </w:pPr>
                          <w:r>
                            <w:rPr>
                              <w:rFonts w:hint="eastAsia" w:ascii="宋体" w:hAnsi="宋体" w:eastAsia="宋体"/>
                            </w:rPr>
                            <w:t>边角料原料</w:t>
                          </w:r>
                        </w:p>
                      </w:txbxContent>
                    </v:textbox>
                  </v:shape>
                  <v:line id="直接连接符 13" o:spid="_x0000_s1570" o:spt="20" style="position:absolute;left:4585970;top:879475;flip:y;height:1;width:179705;"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cGpcIAAADbAAAADwAAAGRycy9kb3ducmV2LnhtbERP22oCMRB9L/QfwhT6IjXbWpayGqUU&#10;BcW24OUDxs24u3QzWZK4xr83gtC3OZzrTGbRtKIn5xvLCl6HGQji0uqGKwX73eLlA4QPyBpby6Tg&#10;Qh5m08eHCRbannlD/TZUIoWwL1BBHUJXSOnLmgz6oe2IE3e0zmBI0FVSOzyncNPKtyzLpcGGU0ON&#10;HX3VVP5tT0ZBPLp3P+hXucy+4ybmv+ufeXVQ6vkpfo5BBIrhX3x3L3WaP4LbL+kAOb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cGpcIAAADbAAAADwAAAAAAAAAAAAAA&#10;AAChAgAAZHJzL2Rvd25yZXYueG1sUEsFBgAAAAAEAAQA+QAAAJADAAAAAA==&#10;">
                    <v:path arrowok="t"/>
                    <v:fill focussize="0,0"/>
                    <v:stroke weight="1.25pt" dashstyle="dash" endarrow="open"/>
                    <v:imagedata o:title=""/>
                    <o:lock v:ext="edit"/>
                  </v:line>
                  <v:shape id="文本框 28" o:spid="_x0000_s1571" o:spt="202" type="#_x0000_t202" style="position:absolute;left:4712335;top:729615;height:304800;width:45974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v:path/>
                    <v:fill on="f" focussize="0,0"/>
                    <v:stroke on="f" weight="1.25pt" joinstyle="miter"/>
                    <v:imagedata o:title=""/>
                    <o:lock v:ext="edit"/>
                    <v:textbox>
                      <w:txbxContent>
                        <w:p>
                          <w:pPr>
                            <w:jc w:val="center"/>
                            <w:rPr>
                              <w:rFonts w:ascii="Times New Roman" w:hAnsi="Times New Roman"/>
                            </w:rPr>
                          </w:pPr>
                          <w:r>
                            <w:rPr>
                              <w:rFonts w:hint="eastAsia" w:ascii="Times New Roman" w:hAnsi="Times New Roman"/>
                            </w:rPr>
                            <w:t>G、</w:t>
                          </w:r>
                          <w:r>
                            <w:rPr>
                              <w:rFonts w:ascii="Times New Roman" w:hAnsi="Times New Roman"/>
                            </w:rPr>
                            <w:t>N</w:t>
                          </w:r>
                        </w:p>
                      </w:txbxContent>
                    </v:textbox>
                  </v:shape>
                  <w10:wrap type="none"/>
                  <w10:anchorlock/>
                </v:group>
              </w:pict>
            </w:r>
          </w:p>
          <w:p>
            <w:pPr>
              <w:tabs>
                <w:tab w:val="left" w:pos="2281"/>
              </w:tabs>
              <w:spacing w:line="440" w:lineRule="exact"/>
              <w:ind w:firstLine="840" w:firstLineChars="350"/>
              <w:textAlignment w:val="baseline"/>
              <w:rPr>
                <w:rFonts w:ascii="Times New Roman" w:hAnsi="Times New Roman" w:eastAsia="宋体"/>
                <w:color w:val="000000" w:themeColor="text1"/>
                <w:sz w:val="24"/>
              </w:rPr>
            </w:pPr>
            <w:r>
              <w:rPr>
                <w:rFonts w:ascii="Times New Roman" w:hAnsi="Times New Roman" w:eastAsia="宋体"/>
                <w:color w:val="000000" w:themeColor="text1"/>
                <w:sz w:val="24"/>
              </w:rPr>
              <w:t>G</w:t>
            </w:r>
            <w:r>
              <w:rPr>
                <w:rFonts w:hint="eastAsia" w:ascii="Times New Roman" w:eastAsia="宋体"/>
                <w:color w:val="000000" w:themeColor="text1"/>
                <w:sz w:val="24"/>
              </w:rPr>
              <w:t>：废气、</w:t>
            </w:r>
            <w:r>
              <w:rPr>
                <w:rFonts w:ascii="Times New Roman" w:hAnsi="Times New Roman" w:eastAsia="宋体"/>
                <w:color w:val="000000" w:themeColor="text1"/>
                <w:sz w:val="24"/>
              </w:rPr>
              <w:t>N</w:t>
            </w:r>
            <w:r>
              <w:rPr>
                <w:rFonts w:hint="eastAsia" w:ascii="Times New Roman" w:eastAsia="宋体"/>
                <w:color w:val="000000" w:themeColor="text1"/>
                <w:sz w:val="24"/>
              </w:rPr>
              <w:t>：噪声、</w:t>
            </w:r>
            <w:r>
              <w:rPr>
                <w:rFonts w:ascii="Times New Roman" w:hAnsi="Times New Roman" w:eastAsia="宋体"/>
                <w:color w:val="000000" w:themeColor="text1"/>
                <w:sz w:val="24"/>
              </w:rPr>
              <w:t>S</w:t>
            </w:r>
            <w:r>
              <w:rPr>
                <w:rFonts w:hint="eastAsia" w:ascii="Times New Roman" w:eastAsia="宋体"/>
                <w:color w:val="000000" w:themeColor="text1"/>
                <w:sz w:val="24"/>
              </w:rPr>
              <w:t>：固废</w:t>
            </w:r>
          </w:p>
          <w:p>
            <w:pPr>
              <w:tabs>
                <w:tab w:val="left" w:pos="2281"/>
              </w:tabs>
              <w:spacing w:line="440" w:lineRule="exact"/>
              <w:jc w:val="center"/>
              <w:textAlignment w:val="baseline"/>
              <w:rPr>
                <w:rFonts w:ascii="Times New Roman" w:hAnsi="Times New Roman" w:eastAsia="宋体"/>
                <w:b/>
                <w:color w:val="000000" w:themeColor="text1"/>
                <w:sz w:val="24"/>
              </w:rPr>
            </w:pPr>
            <w:r>
              <w:rPr>
                <w:rFonts w:ascii="Times New Roman" w:eastAsia="宋体"/>
                <w:b/>
                <w:color w:val="000000" w:themeColor="text1"/>
                <w:sz w:val="24"/>
              </w:rPr>
              <w:t>图</w:t>
            </w:r>
            <w:r>
              <w:rPr>
                <w:rFonts w:hint="eastAsia" w:ascii="Times New Roman" w:hAnsi="Times New Roman" w:eastAsia="宋体"/>
                <w:b/>
                <w:color w:val="000000" w:themeColor="text1"/>
                <w:sz w:val="24"/>
              </w:rPr>
              <w:t>3    塑料布和塑料皮帘</w:t>
            </w:r>
            <w:r>
              <w:rPr>
                <w:rFonts w:ascii="Times New Roman" w:eastAsia="宋体"/>
                <w:b/>
                <w:color w:val="000000" w:themeColor="text1"/>
                <w:sz w:val="24"/>
              </w:rPr>
              <w:t>工艺流程及产污环节示意图</w:t>
            </w:r>
          </w:p>
          <w:p>
            <w:pPr>
              <w:pStyle w:val="9"/>
              <w:spacing w:line="440" w:lineRule="exact"/>
              <w:rPr>
                <w:rFonts w:ascii="Times New Roman" w:hAnsi="Times New Roman" w:eastAsia="宋体"/>
                <w:color w:val="000000" w:themeColor="text1"/>
                <w:sz w:val="24"/>
              </w:rPr>
            </w:pPr>
          </w:p>
          <w:p>
            <w:pPr>
              <w:pStyle w:val="9"/>
              <w:spacing w:line="440" w:lineRule="exact"/>
              <w:rPr>
                <w:rFonts w:ascii="Times New Roman" w:hAnsi="Times New Roman" w:eastAsia="宋体"/>
                <w:color w:val="000000" w:themeColor="text1"/>
                <w:sz w:val="24"/>
              </w:rPr>
            </w:pPr>
          </w:p>
          <w:p>
            <w:pPr>
              <w:pStyle w:val="9"/>
              <w:spacing w:line="440" w:lineRule="exact"/>
              <w:rPr>
                <w:rFonts w:ascii="Times New Roman" w:hAnsi="Times New Roman" w:eastAsia="宋体"/>
                <w:color w:val="000000" w:themeColor="text1"/>
                <w:sz w:val="24"/>
              </w:rPr>
            </w:pPr>
          </w:p>
          <w:p>
            <w:pPr>
              <w:pStyle w:val="9"/>
              <w:spacing w:line="440" w:lineRule="exact"/>
              <w:rPr>
                <w:rFonts w:ascii="Times New Roman" w:hAnsi="Times New Roman" w:eastAsia="宋体"/>
                <w:color w:val="000000" w:themeColor="text1"/>
                <w:sz w:val="24"/>
              </w:rPr>
            </w:pPr>
          </w:p>
          <w:p>
            <w:pPr>
              <w:pStyle w:val="9"/>
              <w:spacing w:line="440" w:lineRule="exact"/>
              <w:rPr>
                <w:rFonts w:ascii="Times New Roman" w:hAnsi="Times New Roman" w:eastAsia="宋体"/>
                <w:color w:val="000000" w:themeColor="text1"/>
                <w:sz w:val="24"/>
              </w:rPr>
            </w:pPr>
          </w:p>
          <w:p>
            <w:pPr>
              <w:pStyle w:val="9"/>
              <w:spacing w:line="440" w:lineRule="exact"/>
              <w:rPr>
                <w:rFonts w:ascii="Times New Roman" w:hAnsi="Times New Roman" w:eastAsia="宋体"/>
                <w:color w:val="000000" w:themeColor="text1"/>
                <w:sz w:val="24"/>
              </w:rPr>
            </w:pPr>
          </w:p>
          <w:p>
            <w:pPr>
              <w:pStyle w:val="9"/>
              <w:spacing w:line="440" w:lineRule="exact"/>
              <w:rPr>
                <w:rFonts w:ascii="Times New Roman" w:hAnsi="Times New Roman" w:eastAsia="宋体"/>
                <w:color w:val="000000" w:themeColor="text1"/>
                <w:sz w:val="24"/>
              </w:rPr>
            </w:pPr>
            <w:r>
              <w:rPr>
                <w:rFonts w:eastAsia="宋体"/>
                <w:b/>
                <w:color w:val="000000" w:themeColor="text1"/>
                <w:sz w:val="24"/>
              </w:rPr>
              <w:pict>
                <v:group id="_x0000_s1601" o:spid="_x0000_s1601" o:spt="203" style="height:140.6pt;width:446.25pt;" coordorigin="103505,-436245" coordsize="5667375,1785620" editas="canvas">
                  <o:lock v:ext="edit"/>
                  <v:shape id="_x0000_s1602" o:spid="_x0000_s1602" o:spt="75" type="#_x0000_t75" style="position:absolute;left:103505;top:-436245;height:1785620;width:5667375;" filled="f" o:preferrelative="t" stroked="f" coordsize="21600,21600">
                    <v:fill on="f" focussize="0,0"/>
                    <v:stroke on="f" joinstyle="miter"/>
                    <v:imagedata o:title=""/>
                    <o:lock v:ext="edit" rotation="t" aspectratio="t"/>
                  </v:shape>
                  <v:shape id="文本框 10" o:spid="_x0000_s1603" o:spt="202" type="#_x0000_t202" style="position:absolute;left:372110;top:231140;height:288290;width:46799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vMMA&#10;AADbAAAADwAAAGRycy9kb3ducmV2LnhtbESPT2vDMAzF74V9B6PBLmV1WtgfsrqlFAq7tgvpVcRa&#10;HBrLwfaadJ9+OhR2k3hP7/203k6+V1eKqQtsYLkoQBE3wXbcGqi+Ds/voFJGttgHJgM3SrDdPMzW&#10;WNow8pGup9wqCeFUogGX81BqnRpHHtMiDMSifYfoMcsaW20jjhLue70qilftsWNpcDjQ3lFzOf14&#10;Ay/9ebWMeT+Mc7erLlRXb/VvZczT47T7AJVpyv/m+/WnFXyhl19kAL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q/vMMAAADbAAAADwAAAAAAAAAAAAAAAACYAgAAZHJzL2Rv&#10;d25yZXYueG1sUEsFBgAAAAAEAAQA9QAAAIgDAAAAAA==&#10;">
                    <v:path/>
                    <v:fill type="gradient" on="f" angle="90" focus="100%" focussize="0,0">
                      <o:fill type="gradientUnscaled" v:ext="backwardCompatible"/>
                    </v:fill>
                    <v:stroke on="f" weight="1.25pt" joinstyle="miter"/>
                    <v:imagedata o:title=""/>
                    <o:lock v:ext="edit"/>
                    <v:textbox>
                      <w:txbxContent>
                        <w:p>
                          <w:pPr>
                            <w:jc w:val="center"/>
                            <w:rPr>
                              <w:rFonts w:ascii="宋体" w:hAnsi="宋体" w:eastAsia="宋体"/>
                            </w:rPr>
                          </w:pPr>
                          <w:r>
                            <w:rPr>
                              <w:rFonts w:ascii="宋体" w:hAnsi="宋体" w:eastAsia="宋体"/>
                            </w:rPr>
                            <w:t>原料</w:t>
                          </w:r>
                        </w:p>
                      </w:txbxContent>
                    </v:textbox>
                  </v:shape>
                  <v:shape id="文本框 12" o:spid="_x0000_s1604" o:spt="202" type="#_x0000_t202" style="position:absolute;left:1326515;top:241935;height:288290;width:46799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SEUMAA&#10;AADbAAAADwAAAGRycy9kb3ducmV2LnhtbERPTYvCMBC9L+x/CLPgZVlTC+pSjSLCgle16HVoxqbY&#10;TEqStdVfb4SFvc3jfc5yPdhW3MiHxrGCyTgDQVw53XCtoDz+fH2DCBFZY+uYFNwpwHr1/rbEQrue&#10;93Q7xFqkEA4FKjAxdoWUoTJkMYxdR5y4i/MWY4K+ltpjn8JtK/Msm0mLDacGgx1tDVXXw69VMG3P&#10;+cTHbdd/mk15pVM5Pz1KpUYfw2YBItIQ/8V/7p1O83N4/ZIO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SEUMAAAADbAAAADwAAAAAAAAAAAAAAAACYAgAAZHJzL2Rvd25y&#10;ZXYueG1sUEsFBgAAAAAEAAQA9QAAAIUDAAAAAA==&#10;">
                    <v:path/>
                    <v:fill type="gradient" on="f" angle="90" focus="100%" focussize="0,0">
                      <o:fill type="gradientUnscaled" v:ext="backwardCompatible"/>
                    </v:fill>
                    <v:stroke on="f" weight="1.25pt" joinstyle="miter"/>
                    <v:imagedata o:title=""/>
                    <o:lock v:ext="edit"/>
                    <v:textbox>
                      <w:txbxContent>
                        <w:p>
                          <w:pPr>
                            <w:jc w:val="center"/>
                            <w:rPr>
                              <w:rFonts w:ascii="宋体" w:hAnsi="宋体" w:eastAsia="宋体"/>
                            </w:rPr>
                          </w:pPr>
                          <w:r>
                            <w:rPr>
                              <w:rFonts w:hint="eastAsia" w:ascii="宋体" w:hAnsi="宋体" w:eastAsia="宋体"/>
                            </w:rPr>
                            <w:t>混料</w:t>
                          </w:r>
                        </w:p>
                      </w:txbxContent>
                    </v:textbox>
                  </v:shape>
                  <v:line id="直接连接符 13" o:spid="_x0000_s1605" o:spt="20" style="position:absolute;left:840105;top:381635;flip:y;height:1;width:43180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cGpcIAAADbAAAADwAAAGRycy9kb3ducmV2LnhtbERP22oCMRB9L/QfwhT6IjXbWpayGqUU&#10;BcW24OUDxs24u3QzWZK4xr83gtC3OZzrTGbRtKIn5xvLCl6HGQji0uqGKwX73eLlA4QPyBpby6Tg&#10;Qh5m08eHCRbannlD/TZUIoWwL1BBHUJXSOnLmgz6oe2IE3e0zmBI0FVSOzyncNPKtyzLpcGGU0ON&#10;HX3VVP5tT0ZBPLp3P+hXucy+4ybmv+ufeXVQ6vkpfo5BBIrhX3x3L3WaP4LbL+kAOb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cGpcIAAADbAAAADwAAAAAAAAAAAAAA&#10;AAChAgAAZHJzL2Rvd25yZXYueG1sUEsFBgAAAAAEAAQA+QAAAJADAAAAAA==&#10;">
                    <v:path arrowok="t"/>
                    <v:fill focussize="0,0"/>
                    <v:stroke weight="1.25pt" endarrow="open"/>
                    <v:imagedata o:title=""/>
                    <o:lock v:ext="edit"/>
                  </v:line>
                  <v:line id="直接连接符 19" o:spid="_x0000_s1606" o:spt="20" style="position:absolute;left:1794510;top:386080;flip:y;height:1;width:230378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8xT8IAAADbAAAADwAAAGRycy9kb3ducmV2LnhtbERP3WrCMBS+F/YO4Qx2IzOdjKKdUUQm&#10;KFNBtwc4a45tWXNSkqxmb78Ignfn4/s9s0U0rejJ+caygpdRBoK4tLrhSsHX5/p5AsIHZI2tZVLw&#10;Rx4W84fBDAttL3yk/hQqkULYF6igDqErpPRlTQb9yHbEiTtbZzAk6CqpHV5SuGnlOMtyabDh1FBj&#10;R6uayp/Tr1EQz+7VD/ttLrNdPMb88LF/r76VenqMyzcQgWK4i2/ujU7zp3D9JR0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58xT8IAAADbAAAADwAAAAAAAAAAAAAA&#10;AAChAgAAZHJzL2Rvd25yZXYueG1sUEsFBgAAAAAEAAQA+QAAAJADAAAAAA==&#10;">
                    <v:path arrowok="t"/>
                    <v:fill focussize="0,0"/>
                    <v:stroke weight="1.25pt" endarrow="open"/>
                    <v:imagedata o:title=""/>
                    <o:lock v:ext="edit"/>
                  </v:line>
                  <v:line id="直接连接符 24" o:spid="_x0000_s1607" o:spt="20" style="position:absolute;left:2943860;top:1043940;flip:y;height:1;width:43180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UbMQAAADbAAAADwAAAGRycy9kb3ducmV2LnhtbESP3WoCMRSE7wt9h3AK3hTNKrLIahQp&#10;FSq2gj8PcNwcdxc3J0uSrvHtm0Khl8PMfMMsVtG0oifnG8sKxqMMBHFpdcOVgvNpM5yB8AFZY2uZ&#10;FDzIw2r5/LTAQts7H6g/hkokCPsCFdQhdIWUvqzJoB/Zjjh5V+sMhiRdJbXDe4KbVk6yLJcGG04L&#10;NXb0VlN5O34bBfHqpv613+Yy+4yHmO93X+/VRanBS1zPQQSK4T/81/7QCiZT+P2Sf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8lRsxAAAANsAAAAPAAAAAAAAAAAA&#10;AAAAAKECAABkcnMvZG93bnJldi54bWxQSwUGAAAAAAQABAD5AAAAkgMAAAAA&#10;">
                    <v:path arrowok="t"/>
                    <v:fill focussize="0,0"/>
                    <v:stroke weight="1.25pt" endarrow="open"/>
                    <v:imagedata o:title=""/>
                    <o:lock v:ext="edit"/>
                  </v:line>
                  <v:shape id="文本框 25" o:spid="_x0000_s1608" o:spt="202" type="#_x0000_t202" style="position:absolute;left:5017770;top:231140;height:288290;width:46799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v:path/>
                    <v:fill type="gradient" on="f" angle="90" focus="100%" focussize="0,0">
                      <o:fill type="gradientUnscaled" v:ext="backwardCompatible"/>
                    </v:fill>
                    <v:stroke on="f" weight="1.25pt" joinstyle="miter"/>
                    <v:imagedata o:title=""/>
                    <o:lock v:ext="edit"/>
                    <v:textbox>
                      <w:txbxContent>
                        <w:p>
                          <w:pPr>
                            <w:jc w:val="center"/>
                            <w:rPr>
                              <w:rFonts w:ascii="宋体" w:hAnsi="宋体" w:eastAsia="宋体"/>
                            </w:rPr>
                          </w:pPr>
                          <w:r>
                            <w:rPr>
                              <w:rFonts w:hint="eastAsia" w:ascii="宋体" w:hAnsi="宋体" w:eastAsia="宋体"/>
                            </w:rPr>
                            <w:t>检验</w:t>
                          </w:r>
                        </w:p>
                      </w:txbxContent>
                    </v:textbox>
                  </v:shape>
                  <v:line id="直接连接符 30" o:spid="_x0000_s1610" o:spt="20" style="position:absolute;left:4057016;top:789304;flip:y;height:1;width:539750;rotation:5898240f;"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om8MAAADbAAAADwAAAGRycy9kb3ducmV2LnhtbERPy2rCQBTdF/yH4Rbc1UkqjRIdpRQC&#10;xZaC2kXdXTPXJDVzJ2TGPP6+syi4PJz3ejuYWnTUusqygngWgSDOra64UPB9zJ6WIJxH1lhbJgUj&#10;OdhuJg9rTLXteU/dwRcihLBLUUHpfZNK6fKSDLqZbYgDd7GtQR9gW0jdYh/CTS2foyiRBisODSU2&#10;9FZSfj3cjILfxeJzSL7sx/jTJed5vHtZZreTUtPH4XUFwtPg7+J/97tWMA/rw5fw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zKJvDAAAA2wAAAA8AAAAAAAAAAAAA&#10;AAAAoQIAAGRycy9kb3ducmV2LnhtbFBLBQYAAAAABAAEAPkAAACRAwAAAAA=&#10;">
                    <v:path arrowok="t"/>
                    <v:fill focussize="0,0"/>
                    <v:stroke weight="1.25pt" endarrow="open"/>
                    <v:imagedata o:title=""/>
                    <o:lock v:ext="edit"/>
                  </v:line>
                  <v:shape id="文本框 28" o:spid="_x0000_s1611" o:spt="202" type="#_x0000_t202" style="position:absolute;left:2190115;top:386080;height:304800;width:48133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v:path/>
                    <v:fill on="f" focussize="0,0"/>
                    <v:stroke on="f" weight="1.25pt" joinstyle="miter"/>
                    <v:imagedata o:title=""/>
                    <o:lock v:ext="edit"/>
                    <v:textbox>
                      <w:txbxContent>
                        <w:p>
                          <w:pPr>
                            <w:jc w:val="center"/>
                            <w:rPr>
                              <w:rFonts w:ascii="Times New Roman" w:hAnsi="Times New Roman"/>
                            </w:rPr>
                          </w:pPr>
                          <w:r>
                            <w:rPr>
                              <w:rFonts w:ascii="Times New Roman" w:hAnsi="Times New Roman"/>
                            </w:rPr>
                            <w:t>N</w:t>
                          </w:r>
                        </w:p>
                      </w:txbxContent>
                    </v:textbox>
                  </v:shape>
                  <v:line id="直接连接符 17" o:spid="_x0000_s1612" o:spt="20" style="position:absolute;left:1546860;top:-140335;flip:y;height:419735;width:1;"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v:path arrowok="t"/>
                    <v:fill focussize="0,0"/>
                    <v:stroke weight="1.25pt" dashstyle="dash" endarrow="open"/>
                    <v:imagedata o:title=""/>
                    <o:lock v:ext="edit"/>
                  </v:line>
                  <v:line id="直接连接符 17" o:spid="_x0000_s1614" o:spt="20" style="position:absolute;left:5252720;top:520700;flip:x;height:539750;width:1;"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v:path arrowok="t"/>
                    <v:fill focussize="0,0"/>
                    <v:stroke weight="1.25pt" endarrow="open"/>
                    <v:imagedata o:title=""/>
                    <o:lock v:ext="edit"/>
                  </v:line>
                  <v:line id="直接连接符 17" o:spid="_x0000_s1616" o:spt="20" style="position:absolute;left:2432685;top:575310;flip:y;height:252095;width:1;"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v:path arrowok="t"/>
                    <v:fill focussize="0,0"/>
                    <v:stroke weight="1.25pt" dashstyle="dash" endarrow="open"/>
                    <v:imagedata o:title=""/>
                    <o:lock v:ext="edit"/>
                  </v:line>
                  <v:line id="直接连接符 17" o:spid="_x0000_s1617" o:spt="20" style="position:absolute;left:3636010;top:624840;flip:y;height:288290;width:1;"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v:path arrowok="t"/>
                    <v:fill focussize="0,0"/>
                    <v:stroke weight="1.25pt" dashstyle="dash" endarrow="open"/>
                    <v:imagedata o:title=""/>
                    <o:lock v:ext="edit"/>
                  </v:line>
                  <v:shape id="文本框 25" o:spid="_x0000_s1618" o:spt="202" type="#_x0000_t202" style="position:absolute;left:1978660;top:827405;height:467995;width:89979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v:path/>
                    <v:fill type="gradient" on="f" angle="90" focus="100%" focussize="0,0">
                      <o:fill type="gradientUnscaled" v:ext="backwardCompatible"/>
                    </v:fill>
                    <v:stroke on="f" weight="1.25pt" joinstyle="miter"/>
                    <v:imagedata o:title=""/>
                    <o:lock v:ext="edit"/>
                    <v:textbox>
                      <w:txbxContent>
                        <w:p>
                          <w:pPr>
                            <w:jc w:val="center"/>
                            <w:rPr>
                              <w:rFonts w:ascii="宋体" w:hAnsi="宋体" w:eastAsia="宋体"/>
                            </w:rPr>
                          </w:pPr>
                          <w:r>
                            <w:rPr>
                              <w:rFonts w:hint="eastAsia" w:ascii="宋体" w:hAnsi="宋体" w:eastAsia="宋体"/>
                            </w:rPr>
                            <w:t>搅拌熔融（无反应）</w:t>
                          </w:r>
                        </w:p>
                      </w:txbxContent>
                    </v:textbox>
                  </v:shape>
                  <v:shape id="文本框 14" o:spid="_x0000_s1619" o:spt="202" type="#_x0000_t202" style="position:absolute;left:3375660;top:913130;height:288290;width:46799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5v8AA&#10;AADbAAAADwAAAGRycy9kb3ducmV2LnhtbERPTYvCMBC9C/sfwix4kTVVXF26RhFB2Ktu0evQzDbF&#10;ZlKSaOv+eiMI3ubxPme57m0jruRD7VjBZJyBIC6drrlSUPzuPr5AhIissXFMCm4UYL16Gywx167j&#10;PV0PsRIphEOOCkyMbS5lKA1ZDGPXEifuz3mLMUFfSe2xS+G2kdMsm0uLNacGgy1tDZXnw8Uq+GxO&#10;04mP27YbmU1xpmOxOP4XSg3f+803iEh9fImf7h+d5s/g8Us6QK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G5v8AAAADbAAAADwAAAAAAAAAAAAAAAACYAgAAZHJzL2Rvd25y&#10;ZXYueG1sUEsFBgAAAAAEAAQA9QAAAIUDAAAAAA==&#10;">
                    <v:path/>
                    <v:fill type="gradient" on="f" angle="90" focus="100%" focussize="0,0">
                      <o:fill type="gradientUnscaled" v:ext="backwardCompatible"/>
                    </v:fill>
                    <v:stroke on="f" weight="1.25pt" joinstyle="miter"/>
                    <v:imagedata o:title=""/>
                    <o:lock v:ext="edit"/>
                    <v:textbox>
                      <w:txbxContent>
                        <w:p>
                          <w:pPr>
                            <w:jc w:val="center"/>
                            <w:rPr>
                              <w:rFonts w:ascii="宋体" w:hAnsi="宋体" w:eastAsia="宋体"/>
                            </w:rPr>
                          </w:pPr>
                          <w:r>
                            <w:rPr>
                              <w:rFonts w:hint="eastAsia" w:ascii="宋体" w:hAnsi="宋体" w:eastAsia="宋体"/>
                            </w:rPr>
                            <w:t>压片</w:t>
                          </w:r>
                        </w:p>
                      </w:txbxContent>
                    </v:textbox>
                  </v:shape>
                  <v:shape id="文本框 25" o:spid="_x0000_s1620" o:spt="202" type="#_x0000_t202" style="position:absolute;left:4106545;top:236855;height:288290;width:46799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v:path/>
                    <v:fill type="gradient" on="f" angle="90" focus="100%" focussize="0,0">
                      <o:fill type="gradientUnscaled" v:ext="backwardCompatible"/>
                    </v:fill>
                    <v:stroke on="f" weight="1.25pt" joinstyle="miter"/>
                    <v:imagedata o:title=""/>
                    <o:lock v:ext="edit"/>
                    <v:textbox>
                      <w:txbxContent>
                        <w:p>
                          <w:pPr>
                            <w:jc w:val="center"/>
                            <w:rPr>
                              <w:rFonts w:ascii="宋体" w:hAnsi="宋体" w:eastAsia="宋体"/>
                            </w:rPr>
                          </w:pPr>
                          <w:r>
                            <w:rPr>
                              <w:rFonts w:hint="eastAsia" w:ascii="宋体" w:hAnsi="宋体" w:eastAsia="宋体"/>
                            </w:rPr>
                            <w:t>包装</w:t>
                          </w:r>
                        </w:p>
                      </w:txbxContent>
                    </v:textbox>
                  </v:shape>
                  <v:line id="直接连接符 30" o:spid="_x0000_s1621" o:spt="20" style="position:absolute;left:4574540;top:383540;flip:y;height:1;width:43180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om8MAAADbAAAADwAAAGRycy9kb3ducmV2LnhtbERPy2rCQBTdF/yH4Rbc1UkqjRIdpRQC&#10;xZaC2kXdXTPXJDVzJ2TGPP6+syi4PJz3ejuYWnTUusqygngWgSDOra64UPB9zJ6WIJxH1lhbJgUj&#10;OdhuJg9rTLXteU/dwRcihLBLUUHpfZNK6fKSDLqZbYgDd7GtQR9gW0jdYh/CTS2foyiRBisODSU2&#10;9FZSfj3cjILfxeJzSL7sx/jTJed5vHtZZreTUtPH4XUFwtPg7+J/97tWMA/rw5fw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zKJvDAAAA2wAAAA8AAAAAAAAAAAAA&#10;AAAAoQIAAGRycy9kb3ducmV2LnhtbFBLBQYAAAAABAAEAPkAAACRAwAAAAA=&#10;">
                    <v:path arrowok="t"/>
                    <v:fill focussize="0,0"/>
                    <v:stroke weight="1.25pt" endarrow="open"/>
                    <v:imagedata o:title=""/>
                    <o:lock v:ext="edit"/>
                  </v:line>
                  <v:shape id="文本框 25" o:spid="_x0000_s1622" o:spt="202" type="#_x0000_t202" style="position:absolute;left:5006340;top:1061085;height:288290;width:46799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v:path/>
                    <v:fill type="gradient" on="f" angle="90" focus="100%" focussize="0,0">
                      <o:fill type="gradientUnscaled" v:ext="backwardCompatible"/>
                    </v:fill>
                    <v:stroke on="f" weight="1.25pt" joinstyle="miter"/>
                    <v:imagedata o:title=""/>
                    <o:lock v:ext="edit"/>
                    <v:textbox>
                      <w:txbxContent>
                        <w:p>
                          <w:pPr>
                            <w:jc w:val="center"/>
                            <w:rPr>
                              <w:rFonts w:ascii="宋体" w:hAnsi="宋体" w:eastAsia="宋体"/>
                            </w:rPr>
                          </w:pPr>
                          <w:r>
                            <w:rPr>
                              <w:rFonts w:hint="eastAsia" w:ascii="宋体" w:hAnsi="宋体" w:eastAsia="宋体"/>
                            </w:rPr>
                            <w:t>入库</w:t>
                          </w:r>
                        </w:p>
                        <w:p>
                          <w:pPr>
                            <w:jc w:val="center"/>
                          </w:pPr>
                        </w:p>
                      </w:txbxContent>
                    </v:textbox>
                  </v:shape>
                  <v:line id="直接连接符 17" o:spid="_x0000_s1624" o:spt="20" style="position:absolute;left:5233035;top:-128270;flip:y;height:419735;width:1;"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v:path arrowok="t"/>
                    <v:fill focussize="0,0"/>
                    <v:stroke weight="1.25pt" dashstyle="dash" endarrow="open"/>
                    <v:imagedata o:title=""/>
                    <o:lock v:ext="edit"/>
                  </v:line>
                  <v:shape id="文本框 28" o:spid="_x0000_s1625" o:spt="202" type="#_x0000_t202" style="position:absolute;left:1198245;top:-342265;height:304800;width:72009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v:path/>
                    <v:fill on="f" focussize="0,0"/>
                    <v:stroke on="f" weight="1.25pt" joinstyle="miter"/>
                    <v:imagedata o:title=""/>
                    <o:lock v:ext="edit"/>
                    <v:textbox>
                      <w:txbxContent>
                        <w:p>
                          <w:pPr>
                            <w:jc w:val="center"/>
                            <w:rPr>
                              <w:rFonts w:ascii="Times New Roman" w:hAnsi="Times New Roman"/>
                            </w:rPr>
                          </w:pPr>
                          <w:r>
                            <w:rPr>
                              <w:rFonts w:ascii="Times New Roman" w:hAnsi="Times New Roman"/>
                            </w:rPr>
                            <w:t>G</w:t>
                          </w:r>
                          <w:r>
                            <w:rPr>
                              <w:rFonts w:ascii="Times New Roman"/>
                            </w:rPr>
                            <w:t>、</w:t>
                          </w:r>
                          <w:r>
                            <w:rPr>
                              <w:rFonts w:ascii="Times New Roman" w:hAnsi="Times New Roman"/>
                            </w:rPr>
                            <w:t>N</w:t>
                          </w:r>
                        </w:p>
                      </w:txbxContent>
                    </v:textbox>
                  </v:shape>
                  <v:shape id="文本框 28" o:spid="_x0000_s1626" o:spt="202" type="#_x0000_t202" style="position:absolute;left:3370580;top:445770;height:304800;width:51244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v:path/>
                    <v:fill on="f" focussize="0,0"/>
                    <v:stroke on="f" weight="1.25pt" joinstyle="miter"/>
                    <v:imagedata o:title=""/>
                    <o:lock v:ext="edit"/>
                    <v:textbox>
                      <w:txbxContent>
                        <w:p>
                          <w:pPr>
                            <w:jc w:val="center"/>
                            <w:rPr>
                              <w:rFonts w:ascii="Times New Roman" w:hAnsi="Times New Roman"/>
                            </w:rPr>
                          </w:pPr>
                          <w:r>
                            <w:rPr>
                              <w:rFonts w:hint="eastAsia" w:ascii="Times New Roman" w:hAnsi="Times New Roman"/>
                            </w:rPr>
                            <w:t>N</w:t>
                          </w:r>
                        </w:p>
                      </w:txbxContent>
                    </v:textbox>
                  </v:shape>
                  <v:shape id="文本框 28" o:spid="_x0000_s1628" o:spt="202" type="#_x0000_t202" style="position:absolute;left:5072380;top:-360680;height:304800;width:31369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v:path/>
                    <v:fill on="f" focussize="0,0"/>
                    <v:stroke on="f" weight="1.25pt" joinstyle="miter"/>
                    <v:imagedata o:title=""/>
                    <o:lock v:ext="edit"/>
                    <v:textbox>
                      <w:txbxContent>
                        <w:p>
                          <w:pPr>
                            <w:jc w:val="center"/>
                            <w:rPr>
                              <w:rFonts w:ascii="Times New Roman" w:hAnsi="Times New Roman"/>
                            </w:rPr>
                          </w:pPr>
                          <w:r>
                            <w:rPr>
                              <w:rFonts w:hint="eastAsia" w:ascii="Times New Roman" w:hAnsi="Times New Roman"/>
                            </w:rPr>
                            <w:t>S</w:t>
                          </w:r>
                        </w:p>
                      </w:txbxContent>
                    </v:textbox>
                  </v:shape>
                  <v:shape id="_x0000_s1631" o:spid="_x0000_s1631" o:spt="32" type="#_x0000_t32" style="position:absolute;left:1546860;top:504190;height:539750;width:1;" o:connectortype="straight" filled="f" coordsize="21600,21600">
                    <v:path arrowok="t"/>
                    <v:fill on="f" focussize="0,0"/>
                    <v:stroke weight="1.5pt"/>
                    <v:imagedata o:title=""/>
                    <o:lock v:ext="edit"/>
                  </v:shape>
                  <v:line id="直接连接符 19" o:spid="_x0000_s1632" o:spt="20" style="position:absolute;left:1546860;top:1043940;flip:y;height:1;width:43180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8xT8IAAADbAAAADwAAAGRycy9kb3ducmV2LnhtbERP3WrCMBS+F/YO4Qx2IzOdjKKdUUQm&#10;KFNBtwc4a45tWXNSkqxmb78Ignfn4/s9s0U0rejJ+caygpdRBoK4tLrhSsHX5/p5AsIHZI2tZVLw&#10;Rx4W84fBDAttL3yk/hQqkULYF6igDqErpPRlTQb9yHbEiTtbZzAk6CqpHV5SuGnlOMtyabDh1FBj&#10;R6uayp/Tr1EQz+7VD/ttLrNdPMb88LF/r76VenqMyzcQgWK4i2/ujU7zp3D9JR0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58xT8IAAADbAAAADwAAAAAAAAAAAAAA&#10;AAChAgAAZHJzL2Rvd25yZXYueG1sUEsFBgAAAAAEAAQA+QAAAJADAAAAAA==&#10;">
                    <v:path arrowok="t"/>
                    <v:fill focussize="0,0"/>
                    <v:stroke weight="1.25pt" endarrow="open"/>
                    <v:imagedata o:title=""/>
                    <o:lock v:ext="edit"/>
                  </v:line>
                  <v:shape id="_x0000_s1634" o:spid="_x0000_s1634" o:spt="32" type="#_x0000_t32" style="position:absolute;left:4105909;top:844551;height:431800;width:1;rotation:-5898240f;" o:connectortype="straight" filled="f" coordsize="21600,21600">
                    <v:path arrowok="t"/>
                    <v:fill on="f" focussize="0,0"/>
                    <v:stroke weight="1.5pt"/>
                    <v:imagedata o:title=""/>
                    <o:lock v:ext="edit"/>
                  </v:shape>
                  <v:shape id="文本框 10" o:spid="_x0000_s1635" o:spt="202" type="#_x0000_t202" style="position:absolute;left:1978660;top:93345;height:288290;width:72009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vMMA&#10;AADbAAAADwAAAGRycy9kb3ducmV2LnhtbESPT2vDMAzF74V9B6PBLmV1WtgfsrqlFAq7tgvpVcRa&#10;HBrLwfaadJ9+OhR2k3hP7/203k6+V1eKqQtsYLkoQBE3wXbcGqi+Ds/voFJGttgHJgM3SrDdPMzW&#10;WNow8pGup9wqCeFUogGX81BqnRpHHtMiDMSifYfoMcsaW20jjhLue70qilftsWNpcDjQ3lFzOf14&#10;Ay/9ebWMeT+Mc7erLlRXb/VvZczT47T7AJVpyv/m+/WnFXyhl19kAL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q/vMMAAADbAAAADwAAAAAAAAAAAAAAAACYAgAAZHJzL2Rv&#10;d25yZXYueG1sUEsFBgAAAAAEAAQA9QAAAIgDAAAAAA==&#10;">
                    <v:path/>
                    <v:fill type="gradient" on="f" angle="90" focus="100%" focussize="0,0">
                      <o:fill type="gradientUnscaled" v:ext="backwardCompatible"/>
                    </v:fill>
                    <v:stroke on="f" weight="1.25pt" joinstyle="miter"/>
                    <v:imagedata o:title=""/>
                    <o:lock v:ext="edit"/>
                    <v:textbox>
                      <w:txbxContent>
                        <w:p>
                          <w:pPr>
                            <w:jc w:val="center"/>
                            <w:rPr>
                              <w:rFonts w:ascii="宋体" w:hAnsi="宋体" w:eastAsia="宋体"/>
                            </w:rPr>
                          </w:pPr>
                          <w:r>
                            <w:rPr>
                              <w:rFonts w:hint="eastAsia" w:ascii="宋体" w:hAnsi="宋体" w:eastAsia="宋体"/>
                            </w:rPr>
                            <w:t>粉状产品</w:t>
                          </w:r>
                        </w:p>
                      </w:txbxContent>
                    </v:textbox>
                  </v:shape>
                  <v:shape id="文本框 10" o:spid="_x0000_s1636" o:spt="202" type="#_x0000_t202" style="position:absolute;left:1322705;top:1043940;height:288290;width:72009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vMMA&#10;AADbAAAADwAAAGRycy9kb3ducmV2LnhtbESPT2vDMAzF74V9B6PBLmV1WtgfsrqlFAq7tgvpVcRa&#10;HBrLwfaadJ9+OhR2k3hP7/203k6+V1eKqQtsYLkoQBE3wXbcGqi+Ds/voFJGttgHJgM3SrDdPMzW&#10;WNow8pGup9wqCeFUogGX81BqnRpHHtMiDMSifYfoMcsaW20jjhLue70qilftsWNpcDjQ3lFzOf14&#10;Ay/9ebWMeT+Mc7erLlRXb/VvZczT47T7AJVpyv/m+/WnFXyhl19kAL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q/vMMAAADbAAAADwAAAAAAAAAAAAAAAACYAgAAZHJzL2Rv&#10;d25yZXYueG1sUEsFBgAAAAAEAAQA9QAAAIgDAAAAAA==&#10;">
                    <v:path/>
                    <v:fill type="gradient" on="f" angle="90" focus="100%" focussize="0,0">
                      <o:fill type="gradientUnscaled" v:ext="backwardCompatible"/>
                    </v:fill>
                    <v:stroke on="f" weight="1.25pt" joinstyle="miter"/>
                    <v:imagedata o:title=""/>
                    <o:lock v:ext="edit"/>
                    <v:textbox>
                      <w:txbxContent>
                        <w:p>
                          <w:pPr>
                            <w:jc w:val="center"/>
                            <w:rPr>
                              <w:rFonts w:ascii="宋体" w:hAnsi="宋体" w:eastAsia="宋体"/>
                            </w:rPr>
                          </w:pPr>
                          <w:r>
                            <w:rPr>
                              <w:rFonts w:hint="eastAsia" w:ascii="宋体" w:hAnsi="宋体" w:eastAsia="宋体"/>
                            </w:rPr>
                            <w:t>片状产品</w:t>
                          </w:r>
                        </w:p>
                      </w:txbxContent>
                    </v:textbox>
                  </v:shape>
                  <w10:wrap type="none"/>
                  <w10:anchorlock/>
                </v:group>
              </w:pict>
            </w:r>
          </w:p>
          <w:p>
            <w:pPr>
              <w:tabs>
                <w:tab w:val="left" w:pos="2281"/>
              </w:tabs>
              <w:spacing w:line="440" w:lineRule="exact"/>
              <w:ind w:firstLine="840" w:firstLineChars="350"/>
              <w:textAlignment w:val="baseline"/>
              <w:rPr>
                <w:rFonts w:ascii="Times New Roman" w:hAnsi="Times New Roman" w:eastAsia="宋体"/>
                <w:color w:val="000000" w:themeColor="text1"/>
                <w:sz w:val="24"/>
              </w:rPr>
            </w:pPr>
            <w:r>
              <w:rPr>
                <w:rFonts w:ascii="Times New Roman" w:hAnsi="Times New Roman" w:eastAsia="宋体"/>
                <w:color w:val="000000" w:themeColor="text1"/>
                <w:sz w:val="24"/>
              </w:rPr>
              <w:t>G</w:t>
            </w:r>
            <w:r>
              <w:rPr>
                <w:rFonts w:hint="eastAsia" w:ascii="Times New Roman" w:eastAsia="宋体"/>
                <w:color w:val="000000" w:themeColor="text1"/>
                <w:sz w:val="24"/>
              </w:rPr>
              <w:t>：废气、</w:t>
            </w:r>
            <w:r>
              <w:rPr>
                <w:rFonts w:ascii="Times New Roman" w:hAnsi="Times New Roman" w:eastAsia="宋体"/>
                <w:color w:val="000000" w:themeColor="text1"/>
                <w:sz w:val="24"/>
              </w:rPr>
              <w:t>N</w:t>
            </w:r>
            <w:r>
              <w:rPr>
                <w:rFonts w:hint="eastAsia" w:ascii="Times New Roman" w:eastAsia="宋体"/>
                <w:color w:val="000000" w:themeColor="text1"/>
                <w:sz w:val="24"/>
              </w:rPr>
              <w:t>：噪声、</w:t>
            </w:r>
            <w:r>
              <w:rPr>
                <w:rFonts w:ascii="Times New Roman" w:hAnsi="Times New Roman" w:eastAsia="宋体"/>
                <w:color w:val="000000" w:themeColor="text1"/>
                <w:sz w:val="24"/>
              </w:rPr>
              <w:t>S</w:t>
            </w:r>
            <w:r>
              <w:rPr>
                <w:rFonts w:hint="eastAsia" w:ascii="Times New Roman" w:eastAsia="宋体"/>
                <w:color w:val="000000" w:themeColor="text1"/>
                <w:sz w:val="24"/>
              </w:rPr>
              <w:t>：固废</w:t>
            </w:r>
          </w:p>
          <w:p>
            <w:pPr>
              <w:tabs>
                <w:tab w:val="left" w:pos="2281"/>
              </w:tabs>
              <w:spacing w:line="440" w:lineRule="exact"/>
              <w:jc w:val="center"/>
              <w:textAlignment w:val="baseline"/>
              <w:rPr>
                <w:rFonts w:ascii="Times New Roman" w:hAnsi="Times New Roman" w:eastAsia="宋体"/>
                <w:b/>
                <w:color w:val="000000" w:themeColor="text1"/>
                <w:sz w:val="24"/>
              </w:rPr>
            </w:pPr>
            <w:r>
              <w:rPr>
                <w:rFonts w:ascii="Times New Roman" w:eastAsia="宋体"/>
                <w:b/>
                <w:color w:val="000000" w:themeColor="text1"/>
                <w:sz w:val="24"/>
              </w:rPr>
              <w:t>图</w:t>
            </w:r>
            <w:r>
              <w:rPr>
                <w:rFonts w:hint="eastAsia" w:ascii="Times New Roman" w:hAnsi="Times New Roman" w:eastAsia="宋体"/>
                <w:b/>
                <w:color w:val="000000" w:themeColor="text1"/>
                <w:sz w:val="24"/>
              </w:rPr>
              <w:t>4    环保钙锌稳定剂</w:t>
            </w:r>
            <w:r>
              <w:rPr>
                <w:rFonts w:ascii="Times New Roman" w:eastAsia="宋体"/>
                <w:b/>
                <w:color w:val="000000" w:themeColor="text1"/>
                <w:sz w:val="24"/>
              </w:rPr>
              <w:t>工艺流程及产污环节示意图</w:t>
            </w:r>
          </w:p>
          <w:p>
            <w:pPr>
              <w:pStyle w:val="9"/>
              <w:spacing w:line="440" w:lineRule="exact"/>
              <w:ind w:firstLine="482" w:firstLineChars="200"/>
              <w:rPr>
                <w:rFonts w:ascii="Times New Roman" w:hAnsi="Times New Roman" w:eastAsia="宋体"/>
                <w:b/>
                <w:color w:val="000000" w:themeColor="text1"/>
                <w:sz w:val="24"/>
              </w:rPr>
            </w:pPr>
            <w:r>
              <w:rPr>
                <w:rFonts w:ascii="Times New Roman" w:hAnsi="Times New Roman" w:eastAsia="宋体"/>
                <w:b/>
                <w:color w:val="000000" w:themeColor="text1"/>
                <w:sz w:val="24"/>
              </w:rPr>
              <w:t>3</w:t>
            </w:r>
            <w:r>
              <w:rPr>
                <w:rFonts w:hint="eastAsia" w:ascii="Times New Roman" w:hAnsi="Times New Roman" w:eastAsia="宋体"/>
                <w:b/>
                <w:color w:val="000000" w:themeColor="text1"/>
                <w:sz w:val="24"/>
              </w:rPr>
              <w:t>、原有工程污染物排放情况</w:t>
            </w:r>
          </w:p>
          <w:p>
            <w:pPr>
              <w:pStyle w:val="9"/>
              <w:spacing w:line="440" w:lineRule="exact"/>
              <w:ind w:firstLine="480" w:firstLineChars="200"/>
              <w:rPr>
                <w:rFonts w:ascii="Times New Roman" w:hAnsi="Times New Roman" w:eastAsia="宋体"/>
                <w:color w:val="000000" w:themeColor="text1"/>
                <w:sz w:val="24"/>
              </w:rPr>
            </w:pPr>
            <w:r>
              <w:rPr>
                <w:rFonts w:hint="eastAsia" w:ascii="Times New Roman" w:hAnsi="Times New Roman" w:eastAsia="宋体"/>
                <w:color w:val="000000" w:themeColor="text1"/>
                <w:sz w:val="24"/>
              </w:rPr>
              <w:t>新乡市顺风船科技有限公司原有工程主要污染工序及防治措施：</w:t>
            </w:r>
          </w:p>
          <w:p>
            <w:pPr>
              <w:spacing w:line="440" w:lineRule="exact"/>
              <w:jc w:val="center"/>
              <w:textAlignment w:val="baseline"/>
              <w:rPr>
                <w:rFonts w:ascii="Times New Roman" w:hAnsi="Times New Roman" w:eastAsia="宋体"/>
                <w:b/>
                <w:bCs/>
                <w:color w:val="000000" w:themeColor="text1"/>
                <w:sz w:val="24"/>
              </w:rPr>
            </w:pPr>
            <w:r>
              <w:rPr>
                <w:rFonts w:ascii="Times New Roman" w:hAnsi="Times New Roman" w:eastAsia="宋体"/>
                <w:b/>
                <w:bCs/>
                <w:color w:val="000000" w:themeColor="text1"/>
                <w:sz w:val="24"/>
              </w:rPr>
              <w:t>表1</w:t>
            </w:r>
            <w:r>
              <w:rPr>
                <w:rFonts w:hint="eastAsia" w:ascii="Times New Roman" w:hAnsi="Times New Roman" w:eastAsia="宋体"/>
                <w:b/>
                <w:bCs/>
                <w:color w:val="000000" w:themeColor="text1"/>
                <w:sz w:val="24"/>
              </w:rPr>
              <w:t>6</w:t>
            </w:r>
            <w:r>
              <w:rPr>
                <w:rFonts w:ascii="Times New Roman" w:hAnsi="Times New Roman" w:eastAsia="宋体"/>
                <w:b/>
                <w:bCs/>
                <w:color w:val="000000" w:themeColor="text1"/>
                <w:sz w:val="24"/>
              </w:rPr>
              <w:t xml:space="preserve">    </w:t>
            </w:r>
            <w:r>
              <w:rPr>
                <w:rFonts w:hint="eastAsia" w:ascii="Times New Roman" w:hAnsi="Times New Roman" w:eastAsia="宋体"/>
                <w:b/>
                <w:bCs/>
                <w:color w:val="000000" w:themeColor="text1"/>
                <w:sz w:val="24"/>
              </w:rPr>
              <w:t>新乡市顺风船科技有限公司原有工程主要污染物工序及防治措施</w:t>
            </w:r>
          </w:p>
          <w:tbl>
            <w:tblPr>
              <w:tblStyle w:val="24"/>
              <w:tblW w:w="9072" w:type="dxa"/>
              <w:jc w:val="center"/>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559"/>
              <w:gridCol w:w="1404"/>
              <w:gridCol w:w="5387"/>
            </w:tblGrid>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tcBorders>
                    <w:top w:val="single" w:color="auto" w:sz="8" w:space="0"/>
                    <w:left w:val="nil"/>
                    <w:bottom w:val="single" w:color="auto" w:sz="8" w:space="0"/>
                    <w:right w:val="single" w:color="auto" w:sz="4" w:space="0"/>
                  </w:tcBorders>
                  <w:vAlign w:val="center"/>
                </w:tcPr>
                <w:p>
                  <w:pPr>
                    <w:adjustRightInd w:val="0"/>
                    <w:snapToGrid w:val="0"/>
                    <w:jc w:val="center"/>
                    <w:textAlignment w:val="baseline"/>
                    <w:rPr>
                      <w:rFonts w:ascii="Times New Roman" w:hAnsi="Times New Roman" w:eastAsia="宋体"/>
                      <w:b/>
                      <w:color w:val="000000" w:themeColor="text1"/>
                      <w:szCs w:val="21"/>
                    </w:rPr>
                  </w:pPr>
                  <w:r>
                    <w:rPr>
                      <w:rFonts w:hint="eastAsia" w:ascii="Times New Roman" w:hAnsi="Times New Roman" w:eastAsia="宋体"/>
                      <w:b/>
                      <w:color w:val="000000" w:themeColor="text1"/>
                      <w:szCs w:val="21"/>
                    </w:rPr>
                    <w:t>污染因素</w:t>
                  </w:r>
                </w:p>
              </w:tc>
              <w:tc>
                <w:tcPr>
                  <w:tcW w:w="859" w:type="pct"/>
                  <w:tcBorders>
                    <w:top w:val="single" w:color="auto" w:sz="8" w:space="0"/>
                    <w:left w:val="single" w:color="auto" w:sz="4" w:space="0"/>
                    <w:bottom w:val="single" w:color="auto" w:sz="8" w:space="0"/>
                    <w:right w:val="single" w:color="auto" w:sz="4" w:space="0"/>
                  </w:tcBorders>
                  <w:vAlign w:val="center"/>
                </w:tcPr>
                <w:p>
                  <w:pPr>
                    <w:adjustRightInd w:val="0"/>
                    <w:snapToGrid w:val="0"/>
                    <w:jc w:val="center"/>
                    <w:textAlignment w:val="baseline"/>
                    <w:rPr>
                      <w:rFonts w:ascii="Times New Roman" w:hAnsi="Times New Roman" w:eastAsia="宋体"/>
                      <w:b/>
                      <w:color w:val="000000" w:themeColor="text1"/>
                      <w:szCs w:val="21"/>
                    </w:rPr>
                  </w:pPr>
                  <w:r>
                    <w:rPr>
                      <w:rFonts w:hint="eastAsia" w:ascii="Times New Roman" w:hAnsi="Times New Roman" w:eastAsia="宋体"/>
                      <w:b/>
                      <w:color w:val="000000" w:themeColor="text1"/>
                      <w:szCs w:val="21"/>
                    </w:rPr>
                    <w:t>污染工序</w:t>
                  </w:r>
                </w:p>
              </w:tc>
              <w:tc>
                <w:tcPr>
                  <w:tcW w:w="774" w:type="pct"/>
                  <w:tcBorders>
                    <w:top w:val="single" w:color="auto" w:sz="8" w:space="0"/>
                    <w:left w:val="single" w:color="auto" w:sz="4" w:space="0"/>
                    <w:bottom w:val="single" w:color="auto" w:sz="8" w:space="0"/>
                    <w:right w:val="single" w:color="auto" w:sz="4" w:space="0"/>
                  </w:tcBorders>
                  <w:vAlign w:val="center"/>
                </w:tcPr>
                <w:p>
                  <w:pPr>
                    <w:adjustRightInd w:val="0"/>
                    <w:snapToGrid w:val="0"/>
                    <w:jc w:val="center"/>
                    <w:textAlignment w:val="baseline"/>
                    <w:rPr>
                      <w:rFonts w:ascii="Times New Roman" w:hAnsi="Times New Roman" w:eastAsia="宋体"/>
                      <w:b/>
                      <w:color w:val="000000" w:themeColor="text1"/>
                      <w:szCs w:val="21"/>
                    </w:rPr>
                  </w:pPr>
                  <w:r>
                    <w:rPr>
                      <w:rFonts w:hint="eastAsia" w:ascii="Times New Roman" w:hAnsi="Times New Roman" w:eastAsia="宋体"/>
                      <w:b/>
                      <w:color w:val="000000" w:themeColor="text1"/>
                      <w:szCs w:val="21"/>
                    </w:rPr>
                    <w:t>污染物</w:t>
                  </w:r>
                </w:p>
              </w:tc>
              <w:tc>
                <w:tcPr>
                  <w:tcW w:w="2969" w:type="pct"/>
                  <w:tcBorders>
                    <w:top w:val="single" w:color="auto" w:sz="8" w:space="0"/>
                    <w:left w:val="single" w:color="auto" w:sz="4" w:space="0"/>
                    <w:bottom w:val="single" w:color="auto" w:sz="8" w:space="0"/>
                    <w:right w:val="nil"/>
                  </w:tcBorders>
                  <w:vAlign w:val="center"/>
                </w:tcPr>
                <w:p>
                  <w:pPr>
                    <w:adjustRightInd w:val="0"/>
                    <w:snapToGrid w:val="0"/>
                    <w:jc w:val="center"/>
                    <w:textAlignment w:val="baseline"/>
                    <w:rPr>
                      <w:rFonts w:ascii="Times New Roman" w:hAnsi="Times New Roman" w:eastAsia="宋体"/>
                      <w:b/>
                      <w:color w:val="000000" w:themeColor="text1"/>
                      <w:szCs w:val="21"/>
                    </w:rPr>
                  </w:pPr>
                  <w:r>
                    <w:rPr>
                      <w:rFonts w:hint="eastAsia" w:ascii="Times New Roman" w:hAnsi="Times New Roman" w:eastAsia="宋体"/>
                      <w:b/>
                      <w:color w:val="000000" w:themeColor="text1"/>
                      <w:szCs w:val="21"/>
                    </w:rPr>
                    <w:t>基本情况</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vMerge w:val="restart"/>
                  <w:tcBorders>
                    <w:top w:val="single" w:color="auto" w:sz="4" w:space="0"/>
                    <w:left w:val="nil"/>
                    <w:right w:val="single" w:color="auto" w:sz="4" w:space="0"/>
                  </w:tcBorders>
                  <w:vAlign w:val="center"/>
                </w:tcPr>
                <w:p>
                  <w:pPr>
                    <w:adjustRightInd w:val="0"/>
                    <w:snapToGrid w:val="0"/>
                    <w:jc w:val="center"/>
                    <w:textAlignment w:val="baseline"/>
                    <w:rPr>
                      <w:rFonts w:ascii="Times New Roman" w:hAnsi="Times New Roman" w:eastAsia="宋体"/>
                      <w:color w:val="000000" w:themeColor="text1"/>
                      <w:szCs w:val="21"/>
                    </w:rPr>
                  </w:pPr>
                  <w:r>
                    <w:rPr>
                      <w:rFonts w:hint="eastAsia" w:ascii="Times New Roman" w:hAnsi="Times New Roman" w:eastAsia="宋体"/>
                      <w:color w:val="000000" w:themeColor="text1"/>
                      <w:szCs w:val="21"/>
                    </w:rPr>
                    <w:t>废气</w:t>
                  </w:r>
                </w:p>
              </w:tc>
              <w:tc>
                <w:tcPr>
                  <w:tcW w:w="85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olor w:val="000000" w:themeColor="text1"/>
                      <w:szCs w:val="21"/>
                    </w:rPr>
                  </w:pPr>
                  <w:r>
                    <w:rPr>
                      <w:rFonts w:ascii="Times New Roman" w:hAnsi="Times New Roman" w:eastAsia="宋体"/>
                      <w:color w:val="000000" w:themeColor="text1"/>
                      <w:szCs w:val="21"/>
                    </w:rPr>
                    <w:t>投料混合工序</w:t>
                  </w:r>
                </w:p>
              </w:tc>
              <w:tc>
                <w:tcPr>
                  <w:tcW w:w="774" w:type="pct"/>
                  <w:tcBorders>
                    <w:top w:val="single" w:color="auto" w:sz="8"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粉尘</w:t>
                  </w:r>
                </w:p>
              </w:tc>
              <w:tc>
                <w:tcPr>
                  <w:tcW w:w="2969" w:type="pct"/>
                  <w:tcBorders>
                    <w:top w:val="single" w:color="auto" w:sz="8" w:space="0"/>
                    <w:left w:val="single" w:color="auto" w:sz="4" w:space="0"/>
                    <w:bottom w:val="single" w:color="auto" w:sz="4" w:space="0"/>
                    <w:right w:val="nil"/>
                  </w:tcBorders>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经</w:t>
                  </w:r>
                  <w:r>
                    <w:rPr>
                      <w:rFonts w:ascii="Times New Roman" w:hAnsi="Times New Roman" w:eastAsia="宋体"/>
                      <w:color w:val="000000" w:themeColor="text1"/>
                      <w:szCs w:val="21"/>
                    </w:rPr>
                    <w:t>集气罩+袋式除尘器+15m高排气筒</w:t>
                  </w:r>
                  <w:r>
                    <w:rPr>
                      <w:rFonts w:hint="eastAsia" w:ascii="Times New Roman" w:hAnsi="Times New Roman" w:eastAsia="宋体"/>
                      <w:color w:val="000000" w:themeColor="text1"/>
                      <w:szCs w:val="21"/>
                    </w:rPr>
                    <w:t>排放</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vMerge w:val="continue"/>
                  <w:tcBorders>
                    <w:left w:val="nil"/>
                    <w:right w:val="single" w:color="auto" w:sz="4" w:space="0"/>
                  </w:tcBorders>
                  <w:vAlign w:val="center"/>
                </w:tcPr>
                <w:p>
                  <w:pPr>
                    <w:adjustRightInd w:val="0"/>
                    <w:snapToGrid w:val="0"/>
                    <w:jc w:val="center"/>
                    <w:textAlignment w:val="baseline"/>
                    <w:rPr>
                      <w:rFonts w:ascii="Times New Roman" w:hAnsi="Times New Roman" w:eastAsia="宋体"/>
                      <w:color w:val="000000" w:themeColor="text1"/>
                      <w:szCs w:val="21"/>
                    </w:rPr>
                  </w:pPr>
                </w:p>
              </w:tc>
              <w:tc>
                <w:tcPr>
                  <w:tcW w:w="85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olor w:val="000000" w:themeColor="text1"/>
                      <w:szCs w:val="21"/>
                    </w:rPr>
                  </w:pPr>
                  <w:r>
                    <w:rPr>
                      <w:rFonts w:hint="eastAsia" w:ascii="Times New Roman" w:hAnsi="Times New Roman" w:eastAsia="宋体"/>
                      <w:color w:val="000000" w:themeColor="text1"/>
                      <w:szCs w:val="21"/>
                    </w:rPr>
                    <w:t>捏合工序</w:t>
                  </w:r>
                </w:p>
              </w:tc>
              <w:tc>
                <w:tcPr>
                  <w:tcW w:w="774"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粉尘</w:t>
                  </w:r>
                </w:p>
              </w:tc>
              <w:tc>
                <w:tcPr>
                  <w:tcW w:w="2969" w:type="pct"/>
                  <w:tcBorders>
                    <w:top w:val="single" w:color="auto" w:sz="4" w:space="0"/>
                    <w:left w:val="single" w:color="auto" w:sz="4" w:space="0"/>
                    <w:bottom w:val="single" w:color="auto" w:sz="4" w:space="0"/>
                    <w:right w:val="nil"/>
                  </w:tcBorders>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经</w:t>
                  </w:r>
                  <w:r>
                    <w:rPr>
                      <w:rFonts w:ascii="Times New Roman" w:hAnsi="Times New Roman" w:eastAsia="宋体"/>
                      <w:color w:val="000000" w:themeColor="text1"/>
                      <w:szCs w:val="21"/>
                    </w:rPr>
                    <w:t>集气罩+袋式除尘器+15m高排气筒</w:t>
                  </w:r>
                  <w:r>
                    <w:rPr>
                      <w:rFonts w:hint="eastAsia" w:ascii="Times New Roman" w:hAnsi="Times New Roman" w:eastAsia="宋体"/>
                      <w:color w:val="000000" w:themeColor="text1"/>
                      <w:szCs w:val="21"/>
                    </w:rPr>
                    <w:t>排放</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vMerge w:val="continue"/>
                  <w:tcBorders>
                    <w:left w:val="nil"/>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olor w:val="000000" w:themeColor="text1"/>
                      <w:szCs w:val="21"/>
                    </w:rPr>
                  </w:pPr>
                </w:p>
              </w:tc>
              <w:tc>
                <w:tcPr>
                  <w:tcW w:w="85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olor w:val="000000" w:themeColor="text1"/>
                      <w:szCs w:val="21"/>
                    </w:rPr>
                  </w:pPr>
                  <w:r>
                    <w:rPr>
                      <w:rFonts w:hint="eastAsia" w:ascii="Times New Roman" w:hAnsi="Times New Roman" w:eastAsia="宋体"/>
                      <w:color w:val="000000" w:themeColor="text1"/>
                      <w:szCs w:val="21"/>
                    </w:rPr>
                    <w:t>挤出工序</w:t>
                  </w:r>
                </w:p>
              </w:tc>
              <w:tc>
                <w:tcPr>
                  <w:tcW w:w="774"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非甲烷总烃、氯乙烯、氯化氢</w:t>
                  </w:r>
                </w:p>
              </w:tc>
              <w:tc>
                <w:tcPr>
                  <w:tcW w:w="2969" w:type="pct"/>
                  <w:tcBorders>
                    <w:top w:val="single" w:color="auto" w:sz="4" w:space="0"/>
                    <w:left w:val="single" w:color="auto" w:sz="4" w:space="0"/>
                    <w:bottom w:val="single" w:color="auto" w:sz="4" w:space="0"/>
                    <w:right w:val="nil"/>
                  </w:tcBorders>
                  <w:vAlign w:val="center"/>
                </w:tcPr>
                <w:p>
                  <w:pPr>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经</w:t>
                  </w:r>
                  <w:r>
                    <w:rPr>
                      <w:rFonts w:hint="eastAsia" w:ascii="Times New Roman" w:hAnsi="Times New Roman" w:eastAsia="宋体"/>
                      <w:color w:val="000000" w:themeColor="text1"/>
                      <w:szCs w:val="21"/>
                    </w:rPr>
                    <w:t>集气罩+“</w:t>
                  </w:r>
                  <w:r>
                    <w:rPr>
                      <w:rFonts w:ascii="Times New Roman" w:hAnsi="Times New Roman" w:eastAsia="宋体"/>
                      <w:color w:val="000000" w:themeColor="text1"/>
                      <w:szCs w:val="21"/>
                    </w:rPr>
                    <w:t>UV光催化氧化+活性炭吸附</w:t>
                  </w:r>
                  <w:r>
                    <w:rPr>
                      <w:rFonts w:hint="eastAsia" w:ascii="Times New Roman" w:hAnsi="Times New Roman" w:eastAsia="宋体"/>
                      <w:color w:val="000000" w:themeColor="text1"/>
                      <w:szCs w:val="21"/>
                    </w:rPr>
                    <w:t>+油烟净化器装置”</w:t>
                  </w:r>
                  <w:r>
                    <w:rPr>
                      <w:rFonts w:ascii="Times New Roman" w:hAnsi="Times New Roman" w:eastAsia="宋体"/>
                      <w:color w:val="000000" w:themeColor="text1"/>
                      <w:szCs w:val="21"/>
                    </w:rPr>
                    <w:t>+</w:t>
                  </w:r>
                  <w:r>
                    <w:rPr>
                      <w:rFonts w:hint="eastAsia" w:ascii="Times New Roman" w:hAnsi="Times New Roman" w:eastAsia="宋体"/>
                      <w:color w:val="000000" w:themeColor="text1"/>
                      <w:szCs w:val="21"/>
                    </w:rPr>
                    <w:t>15m高</w:t>
                  </w:r>
                  <w:r>
                    <w:rPr>
                      <w:rFonts w:ascii="Times New Roman" w:hAnsi="Times New Roman" w:eastAsia="宋体"/>
                      <w:color w:val="000000" w:themeColor="text1"/>
                      <w:szCs w:val="21"/>
                    </w:rPr>
                    <w:t>排气筒排放</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tcBorders>
                    <w:top w:val="single" w:color="auto" w:sz="4" w:space="0"/>
                    <w:left w:val="nil"/>
                    <w:right w:val="single" w:color="auto" w:sz="4" w:space="0"/>
                  </w:tcBorders>
                  <w:vAlign w:val="center"/>
                </w:tcPr>
                <w:p>
                  <w:pPr>
                    <w:adjustRightInd w:val="0"/>
                    <w:snapToGrid w:val="0"/>
                    <w:jc w:val="center"/>
                    <w:textAlignment w:val="baseline"/>
                    <w:rPr>
                      <w:rFonts w:ascii="Times New Roman" w:hAnsi="Times New Roman" w:eastAsia="宋体"/>
                      <w:color w:val="000000" w:themeColor="text1"/>
                      <w:szCs w:val="21"/>
                    </w:rPr>
                  </w:pPr>
                  <w:r>
                    <w:rPr>
                      <w:rFonts w:hint="eastAsia" w:ascii="Times New Roman" w:hAnsi="Times New Roman" w:eastAsia="宋体"/>
                      <w:color w:val="000000" w:themeColor="text1"/>
                      <w:szCs w:val="21"/>
                    </w:rPr>
                    <w:t>废水</w:t>
                  </w:r>
                </w:p>
              </w:tc>
              <w:tc>
                <w:tcPr>
                  <w:tcW w:w="85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olor w:val="000000" w:themeColor="text1"/>
                      <w:szCs w:val="21"/>
                    </w:rPr>
                  </w:pPr>
                  <w:r>
                    <w:rPr>
                      <w:rFonts w:hint="eastAsia" w:ascii="Times New Roman" w:hAnsi="Times New Roman" w:eastAsia="宋体"/>
                      <w:color w:val="000000" w:themeColor="text1"/>
                      <w:szCs w:val="21"/>
                    </w:rPr>
                    <w:t>职工生活</w:t>
                  </w:r>
                </w:p>
              </w:tc>
              <w:tc>
                <w:tcPr>
                  <w:tcW w:w="774"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lang w:val="pt-BR"/>
                    </w:rPr>
                    <w:t>COD</w:t>
                  </w:r>
                  <w:r>
                    <w:rPr>
                      <w:rFonts w:ascii="Times New Roman" w:hAnsi="Times New Roman" w:eastAsia="宋体"/>
                      <w:color w:val="000000" w:themeColor="text1"/>
                      <w:szCs w:val="21"/>
                    </w:rPr>
                    <w:t>、</w:t>
                  </w:r>
                  <w:r>
                    <w:rPr>
                      <w:rFonts w:ascii="Times New Roman" w:hAnsi="Times New Roman" w:eastAsia="宋体"/>
                      <w:color w:val="000000" w:themeColor="text1"/>
                      <w:szCs w:val="21"/>
                      <w:lang w:val="pt-BR"/>
                    </w:rPr>
                    <w:t>NH</w:t>
                  </w:r>
                  <w:r>
                    <w:rPr>
                      <w:rFonts w:ascii="Times New Roman" w:hAnsi="Times New Roman" w:eastAsia="宋体"/>
                      <w:color w:val="000000" w:themeColor="text1"/>
                      <w:szCs w:val="21"/>
                      <w:vertAlign w:val="subscript"/>
                      <w:lang w:val="pt-BR"/>
                    </w:rPr>
                    <w:t>3</w:t>
                  </w:r>
                  <w:r>
                    <w:rPr>
                      <w:rFonts w:ascii="Times New Roman" w:hAnsi="Times New Roman" w:eastAsia="宋体"/>
                      <w:color w:val="000000" w:themeColor="text1"/>
                      <w:szCs w:val="21"/>
                      <w:lang w:val="pt-BR"/>
                    </w:rPr>
                    <w:t>-N、SS、TP</w:t>
                  </w:r>
                </w:p>
              </w:tc>
              <w:tc>
                <w:tcPr>
                  <w:tcW w:w="2969" w:type="pct"/>
                  <w:tcBorders>
                    <w:top w:val="single" w:color="auto" w:sz="4" w:space="0"/>
                    <w:left w:val="single" w:color="auto" w:sz="4" w:space="0"/>
                    <w:bottom w:val="single" w:color="auto" w:sz="4" w:space="0"/>
                    <w:right w:val="nil"/>
                  </w:tcBorders>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生活污水</w:t>
                  </w:r>
                  <w:r>
                    <w:rPr>
                      <w:rFonts w:ascii="Times New Roman" w:hAnsi="Times New Roman" w:eastAsia="宋体"/>
                      <w:color w:val="000000" w:themeColor="text1"/>
                      <w:szCs w:val="21"/>
                    </w:rPr>
                    <w:t>经防渗漏化粪池处理后，排放至</w:t>
                  </w:r>
                  <w:r>
                    <w:rPr>
                      <w:rFonts w:hint="eastAsia" w:ascii="Times New Roman" w:eastAsia="宋体"/>
                      <w:color w:val="000000" w:themeColor="text1"/>
                      <w:szCs w:val="21"/>
                    </w:rPr>
                    <w:t>贾屯污水处理厂</w:t>
                  </w:r>
                  <w:r>
                    <w:rPr>
                      <w:rFonts w:ascii="Times New Roman" w:hAnsi="Times New Roman" w:eastAsia="宋体"/>
                      <w:color w:val="000000" w:themeColor="text1"/>
                      <w:szCs w:val="21"/>
                    </w:rPr>
                    <w:t>处理</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tcBorders>
                    <w:left w:val="nil"/>
                    <w:right w:val="single" w:color="auto" w:sz="4" w:space="0"/>
                  </w:tcBorders>
                  <w:vAlign w:val="center"/>
                </w:tcPr>
                <w:p>
                  <w:pPr>
                    <w:adjustRightInd w:val="0"/>
                    <w:snapToGrid w:val="0"/>
                    <w:jc w:val="center"/>
                    <w:textAlignment w:val="baseline"/>
                    <w:rPr>
                      <w:rFonts w:ascii="Times New Roman" w:hAnsi="Times New Roman" w:eastAsia="宋体"/>
                      <w:color w:val="000000" w:themeColor="text1"/>
                      <w:szCs w:val="21"/>
                    </w:rPr>
                  </w:pPr>
                  <w:r>
                    <w:rPr>
                      <w:rFonts w:hint="eastAsia" w:ascii="Times New Roman" w:hAnsi="Times New Roman" w:eastAsia="宋体"/>
                      <w:color w:val="000000" w:themeColor="text1"/>
                      <w:szCs w:val="21"/>
                    </w:rPr>
                    <w:t>噪声</w:t>
                  </w:r>
                </w:p>
              </w:tc>
              <w:tc>
                <w:tcPr>
                  <w:tcW w:w="85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olor w:val="000000" w:themeColor="text1"/>
                      <w:szCs w:val="21"/>
                    </w:rPr>
                  </w:pPr>
                  <w:r>
                    <w:rPr>
                      <w:rFonts w:hint="eastAsia" w:ascii="Times New Roman" w:hAnsi="Times New Roman" w:eastAsia="宋体"/>
                      <w:color w:val="000000" w:themeColor="text1"/>
                      <w:szCs w:val="21"/>
                    </w:rPr>
                    <w:t>生产设备</w:t>
                  </w:r>
                </w:p>
              </w:tc>
              <w:tc>
                <w:tcPr>
                  <w:tcW w:w="774"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噪声</w:t>
                  </w:r>
                </w:p>
              </w:tc>
              <w:tc>
                <w:tcPr>
                  <w:tcW w:w="2969" w:type="pct"/>
                  <w:tcBorders>
                    <w:top w:val="single" w:color="auto" w:sz="4" w:space="0"/>
                    <w:left w:val="single" w:color="auto" w:sz="4" w:space="0"/>
                    <w:bottom w:val="single" w:color="auto" w:sz="4" w:space="0"/>
                    <w:right w:val="nil"/>
                  </w:tcBorders>
                  <w:vAlign w:val="center"/>
                </w:tcPr>
                <w:p>
                  <w:pPr>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厂房隔声、消声</w:t>
                  </w:r>
                  <w:r>
                    <w:rPr>
                      <w:rFonts w:hint="eastAsia" w:ascii="Times New Roman" w:hAnsi="Times New Roman" w:eastAsia="宋体"/>
                      <w:color w:val="000000" w:themeColor="text1"/>
                      <w:szCs w:val="21"/>
                    </w:rPr>
                    <w:t>、</w:t>
                  </w:r>
                  <w:r>
                    <w:rPr>
                      <w:rFonts w:ascii="Times New Roman" w:hAnsi="Times New Roman" w:eastAsia="宋体"/>
                      <w:color w:val="000000" w:themeColor="text1"/>
                      <w:szCs w:val="21"/>
                    </w:rPr>
                    <w:t>距离衰减</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vMerge w:val="restart"/>
                  <w:tcBorders>
                    <w:left w:val="nil"/>
                    <w:right w:val="single" w:color="auto" w:sz="4" w:space="0"/>
                  </w:tcBorders>
                  <w:vAlign w:val="center"/>
                </w:tcPr>
                <w:p>
                  <w:pPr>
                    <w:adjustRightInd w:val="0"/>
                    <w:snapToGrid w:val="0"/>
                    <w:jc w:val="center"/>
                    <w:textAlignment w:val="baseline"/>
                    <w:rPr>
                      <w:rFonts w:ascii="Times New Roman" w:hAnsi="Times New Roman" w:eastAsia="宋体"/>
                      <w:color w:val="000000" w:themeColor="text1"/>
                      <w:szCs w:val="21"/>
                    </w:rPr>
                  </w:pPr>
                  <w:r>
                    <w:rPr>
                      <w:rFonts w:hint="eastAsia" w:ascii="Times New Roman" w:hAnsi="Times New Roman" w:eastAsia="宋体"/>
                      <w:color w:val="000000" w:themeColor="text1"/>
                      <w:szCs w:val="21"/>
                    </w:rPr>
                    <w:t>固废</w:t>
                  </w:r>
                </w:p>
              </w:tc>
              <w:tc>
                <w:tcPr>
                  <w:tcW w:w="859" w:type="pct"/>
                  <w:vMerge w:val="restart"/>
                  <w:tcBorders>
                    <w:top w:val="single" w:color="auto" w:sz="4" w:space="0"/>
                    <w:left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olor w:val="000000" w:themeColor="text1"/>
                      <w:szCs w:val="21"/>
                    </w:rPr>
                  </w:pPr>
                  <w:r>
                    <w:rPr>
                      <w:rFonts w:hint="eastAsia" w:ascii="Times New Roman" w:hAnsi="Times New Roman" w:eastAsia="宋体"/>
                      <w:color w:val="000000" w:themeColor="text1"/>
                      <w:szCs w:val="21"/>
                    </w:rPr>
                    <w:t>生产过程</w:t>
                  </w:r>
                </w:p>
              </w:tc>
              <w:tc>
                <w:tcPr>
                  <w:tcW w:w="774" w:type="pct"/>
                  <w:tcBorders>
                    <w:top w:val="single" w:color="auto" w:sz="4" w:space="0"/>
                    <w:left w:val="single" w:color="auto" w:sz="4" w:space="0"/>
                    <w:right w:val="single" w:color="auto" w:sz="4" w:space="0"/>
                  </w:tcBorders>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废包装材料</w:t>
                  </w:r>
                </w:p>
              </w:tc>
              <w:tc>
                <w:tcPr>
                  <w:tcW w:w="2969" w:type="pct"/>
                  <w:tcBorders>
                    <w:top w:val="single" w:color="auto" w:sz="4" w:space="0"/>
                    <w:left w:val="single" w:color="auto" w:sz="4" w:space="0"/>
                    <w:right w:val="nil"/>
                  </w:tcBorders>
                  <w:vAlign w:val="center"/>
                </w:tcPr>
                <w:p>
                  <w:pPr>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集中收集后，定期外售</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vMerge w:val="continue"/>
                  <w:tcBorders>
                    <w:left w:val="nil"/>
                    <w:right w:val="single" w:color="auto" w:sz="4" w:space="0"/>
                  </w:tcBorders>
                  <w:vAlign w:val="center"/>
                </w:tcPr>
                <w:p>
                  <w:pPr>
                    <w:adjustRightInd w:val="0"/>
                    <w:snapToGrid w:val="0"/>
                    <w:jc w:val="center"/>
                    <w:textAlignment w:val="baseline"/>
                    <w:rPr>
                      <w:rFonts w:ascii="Times New Roman" w:hAnsi="Times New Roman" w:eastAsia="宋体"/>
                      <w:color w:val="000000" w:themeColor="text1"/>
                      <w:szCs w:val="21"/>
                    </w:rPr>
                  </w:pPr>
                </w:p>
              </w:tc>
              <w:tc>
                <w:tcPr>
                  <w:tcW w:w="859"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olor w:val="000000" w:themeColor="text1"/>
                      <w:szCs w:val="21"/>
                    </w:rPr>
                  </w:pPr>
                </w:p>
              </w:tc>
              <w:tc>
                <w:tcPr>
                  <w:tcW w:w="774"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边角料</w:t>
                  </w:r>
                </w:p>
              </w:tc>
              <w:tc>
                <w:tcPr>
                  <w:tcW w:w="2969" w:type="pct"/>
                  <w:tcBorders>
                    <w:top w:val="single" w:color="auto" w:sz="4" w:space="0"/>
                    <w:left w:val="single" w:color="auto" w:sz="4" w:space="0"/>
                    <w:bottom w:val="single" w:color="auto" w:sz="4" w:space="0"/>
                    <w:right w:val="nil"/>
                  </w:tcBorders>
                  <w:vAlign w:val="center"/>
                </w:tcPr>
                <w:p>
                  <w:pPr>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集中收集后，回用于生产</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vMerge w:val="continue"/>
                  <w:tcBorders>
                    <w:left w:val="nil"/>
                    <w:right w:val="single" w:color="auto" w:sz="4" w:space="0"/>
                  </w:tcBorders>
                  <w:vAlign w:val="center"/>
                </w:tcPr>
                <w:p>
                  <w:pPr>
                    <w:adjustRightInd w:val="0"/>
                    <w:snapToGrid w:val="0"/>
                    <w:jc w:val="center"/>
                    <w:textAlignment w:val="baseline"/>
                    <w:rPr>
                      <w:rFonts w:ascii="Times New Roman" w:hAnsi="Times New Roman" w:eastAsia="宋体"/>
                      <w:color w:val="000000" w:themeColor="text1"/>
                      <w:szCs w:val="21"/>
                    </w:rPr>
                  </w:pPr>
                </w:p>
              </w:tc>
              <w:tc>
                <w:tcPr>
                  <w:tcW w:w="85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olor w:val="000000" w:themeColor="text1"/>
                      <w:szCs w:val="21"/>
                    </w:rPr>
                  </w:pPr>
                  <w:r>
                    <w:rPr>
                      <w:rFonts w:hint="eastAsia" w:ascii="Times New Roman" w:hAnsi="Times New Roman" w:eastAsia="宋体"/>
                      <w:color w:val="000000" w:themeColor="text1"/>
                      <w:szCs w:val="21"/>
                    </w:rPr>
                    <w:t>员工生活</w:t>
                  </w:r>
                </w:p>
              </w:tc>
              <w:tc>
                <w:tcPr>
                  <w:tcW w:w="774"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生活垃圾</w:t>
                  </w:r>
                </w:p>
              </w:tc>
              <w:tc>
                <w:tcPr>
                  <w:tcW w:w="2969" w:type="pct"/>
                  <w:tcBorders>
                    <w:top w:val="single" w:color="auto" w:sz="4" w:space="0"/>
                    <w:left w:val="single" w:color="auto" w:sz="4" w:space="0"/>
                    <w:bottom w:val="single" w:color="auto" w:sz="4" w:space="0"/>
                    <w:right w:val="nil"/>
                  </w:tcBorders>
                  <w:vAlign w:val="center"/>
                </w:tcPr>
                <w:p>
                  <w:pPr>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收集后，由环卫部门集中处理</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vMerge w:val="continue"/>
                  <w:tcBorders>
                    <w:left w:val="nil"/>
                    <w:right w:val="single" w:color="auto" w:sz="4" w:space="0"/>
                  </w:tcBorders>
                  <w:vAlign w:val="center"/>
                </w:tcPr>
                <w:p>
                  <w:pPr>
                    <w:adjustRightInd w:val="0"/>
                    <w:snapToGrid w:val="0"/>
                    <w:jc w:val="center"/>
                    <w:textAlignment w:val="baseline"/>
                    <w:rPr>
                      <w:rFonts w:ascii="Times New Roman" w:hAnsi="Times New Roman" w:eastAsia="宋体"/>
                      <w:color w:val="000000" w:themeColor="text1"/>
                      <w:szCs w:val="21"/>
                    </w:rPr>
                  </w:pPr>
                </w:p>
              </w:tc>
              <w:tc>
                <w:tcPr>
                  <w:tcW w:w="859"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olor w:val="000000" w:themeColor="text1"/>
                      <w:szCs w:val="21"/>
                    </w:rPr>
                  </w:pPr>
                  <w:r>
                    <w:rPr>
                      <w:rFonts w:ascii="Times New Roman" w:hAnsi="Times New Roman" w:eastAsia="宋体"/>
                      <w:color w:val="000000" w:themeColor="text1"/>
                      <w:szCs w:val="21"/>
                    </w:rPr>
                    <w:t>有机废气处理</w:t>
                  </w:r>
                </w:p>
              </w:tc>
              <w:tc>
                <w:tcPr>
                  <w:tcW w:w="774"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废催化剂</w:t>
                  </w:r>
                </w:p>
              </w:tc>
              <w:tc>
                <w:tcPr>
                  <w:tcW w:w="2969" w:type="pct"/>
                  <w:tcBorders>
                    <w:top w:val="single" w:color="auto" w:sz="4" w:space="0"/>
                    <w:bottom w:val="single" w:color="auto" w:sz="4" w:space="0"/>
                    <w:tl2br w:val="nil"/>
                    <w:tr2bl w:val="nil"/>
                  </w:tcBorders>
                  <w:vAlign w:val="center"/>
                </w:tcPr>
                <w:p>
                  <w:pPr>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集中收集后，定期交由厂家回收</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vMerge w:val="continue"/>
                  <w:tcBorders>
                    <w:left w:val="nil"/>
                    <w:right w:val="single" w:color="auto" w:sz="4" w:space="0"/>
                  </w:tcBorders>
                  <w:vAlign w:val="center"/>
                </w:tcPr>
                <w:p>
                  <w:pPr>
                    <w:adjustRightInd w:val="0"/>
                    <w:snapToGrid w:val="0"/>
                    <w:jc w:val="center"/>
                    <w:textAlignment w:val="baseline"/>
                    <w:rPr>
                      <w:rFonts w:ascii="Times New Roman" w:hAnsi="Times New Roman" w:eastAsia="宋体"/>
                      <w:color w:val="000000" w:themeColor="text1"/>
                      <w:szCs w:val="21"/>
                    </w:rPr>
                  </w:pPr>
                </w:p>
              </w:tc>
              <w:tc>
                <w:tcPr>
                  <w:tcW w:w="859"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eastAsia="宋体"/>
                      <w:color w:val="000000" w:themeColor="text1"/>
                      <w:szCs w:val="21"/>
                    </w:rPr>
                  </w:pPr>
                </w:p>
              </w:tc>
              <w:tc>
                <w:tcPr>
                  <w:tcW w:w="774"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废紫外灯管</w:t>
                  </w:r>
                </w:p>
              </w:tc>
              <w:tc>
                <w:tcPr>
                  <w:tcW w:w="2969" w:type="pct"/>
                  <w:tcBorders>
                    <w:top w:val="single" w:color="auto" w:sz="4" w:space="0"/>
                    <w:bottom w:val="single" w:color="auto" w:sz="4" w:space="0"/>
                    <w:tl2br w:val="nil"/>
                    <w:tr2bl w:val="nil"/>
                  </w:tcBorders>
                  <w:vAlign w:val="center"/>
                </w:tcPr>
                <w:p>
                  <w:pPr>
                    <w:snapToGrid w:val="0"/>
                    <w:jc w:val="center"/>
                    <w:rPr>
                      <w:rFonts w:ascii="Times New Roman" w:hAnsi="Times New Roman" w:eastAsia="宋体"/>
                      <w:color w:val="000000" w:themeColor="text1"/>
                      <w:szCs w:val="21"/>
                    </w:rPr>
                  </w:pPr>
                  <w:r>
                    <w:rPr>
                      <w:rFonts w:hint="eastAsia" w:ascii="Times New Roman" w:eastAsia="宋体"/>
                      <w:color w:val="000000" w:themeColor="text1"/>
                      <w:szCs w:val="21"/>
                    </w:rPr>
                    <w:t>经收集后，暂存于危废暂存间（</w:t>
                  </w:r>
                  <w:r>
                    <w:rPr>
                      <w:rFonts w:hint="eastAsia" w:ascii="Times New Roman" w:hAnsi="Times New Roman" w:eastAsia="宋体"/>
                      <w:color w:val="000000" w:themeColor="text1"/>
                      <w:szCs w:val="21"/>
                    </w:rPr>
                    <w:t>10m</w:t>
                  </w:r>
                  <w:r>
                    <w:rPr>
                      <w:rFonts w:hint="eastAsia" w:ascii="Times New Roman" w:hAnsi="Times New Roman" w:eastAsia="宋体"/>
                      <w:color w:val="000000" w:themeColor="text1"/>
                      <w:szCs w:val="21"/>
                      <w:vertAlign w:val="superscript"/>
                    </w:rPr>
                    <w:t>2</w:t>
                  </w:r>
                  <w:r>
                    <w:rPr>
                      <w:rFonts w:hint="eastAsia" w:ascii="Times New Roman" w:eastAsia="宋体"/>
                      <w:color w:val="000000" w:themeColor="text1"/>
                      <w:szCs w:val="21"/>
                    </w:rPr>
                    <w:t>），委托有资质单位进行处置</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vMerge w:val="continue"/>
                  <w:tcBorders>
                    <w:left w:val="nil"/>
                    <w:bottom w:val="single" w:color="auto" w:sz="8" w:space="0"/>
                    <w:right w:val="single" w:color="auto" w:sz="4" w:space="0"/>
                  </w:tcBorders>
                  <w:vAlign w:val="center"/>
                </w:tcPr>
                <w:p>
                  <w:pPr>
                    <w:adjustRightInd w:val="0"/>
                    <w:snapToGrid w:val="0"/>
                    <w:jc w:val="center"/>
                    <w:textAlignment w:val="baseline"/>
                    <w:rPr>
                      <w:rFonts w:ascii="Times New Roman" w:hAnsi="Times New Roman" w:eastAsia="宋体"/>
                      <w:color w:val="000000" w:themeColor="text1"/>
                      <w:szCs w:val="21"/>
                    </w:rPr>
                  </w:pPr>
                </w:p>
              </w:tc>
              <w:tc>
                <w:tcPr>
                  <w:tcW w:w="859" w:type="pct"/>
                  <w:vMerge w:val="continue"/>
                  <w:tcBorders>
                    <w:top w:val="single" w:color="auto" w:sz="4" w:space="0"/>
                    <w:left w:val="single" w:color="auto" w:sz="4" w:space="0"/>
                    <w:bottom w:val="single" w:color="auto" w:sz="8" w:space="0"/>
                    <w:right w:val="single" w:color="auto" w:sz="4" w:space="0"/>
                  </w:tcBorders>
                  <w:vAlign w:val="center"/>
                </w:tcPr>
                <w:p>
                  <w:pPr>
                    <w:adjustRightInd w:val="0"/>
                    <w:snapToGrid w:val="0"/>
                    <w:jc w:val="center"/>
                    <w:textAlignment w:val="baseline"/>
                    <w:rPr>
                      <w:rFonts w:ascii="Times New Roman" w:hAnsi="Times New Roman" w:eastAsia="宋体"/>
                      <w:color w:val="000000" w:themeColor="text1"/>
                      <w:szCs w:val="21"/>
                    </w:rPr>
                  </w:pPr>
                </w:p>
              </w:tc>
              <w:tc>
                <w:tcPr>
                  <w:tcW w:w="774" w:type="pct"/>
                  <w:tcBorders>
                    <w:top w:val="single" w:color="auto" w:sz="4" w:space="0"/>
                    <w:left w:val="single" w:color="auto" w:sz="4" w:space="0"/>
                    <w:bottom w:val="single" w:color="auto" w:sz="8" w:space="0"/>
                    <w:right w:val="single" w:color="auto" w:sz="4" w:space="0"/>
                  </w:tcBorders>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废活性炭</w:t>
                  </w:r>
                </w:p>
              </w:tc>
              <w:tc>
                <w:tcPr>
                  <w:tcW w:w="2969" w:type="pct"/>
                  <w:tcBorders>
                    <w:top w:val="single" w:color="auto" w:sz="4" w:space="0"/>
                    <w:bottom w:val="single" w:color="auto" w:sz="8" w:space="0"/>
                    <w:tl2br w:val="nil"/>
                    <w:tr2bl w:val="nil"/>
                  </w:tcBorders>
                  <w:vAlign w:val="center"/>
                </w:tcPr>
                <w:p>
                  <w:pPr>
                    <w:snapToGrid w:val="0"/>
                    <w:jc w:val="center"/>
                    <w:rPr>
                      <w:rFonts w:ascii="Times New Roman" w:hAnsi="Times New Roman" w:eastAsia="宋体"/>
                      <w:color w:val="000000" w:themeColor="text1"/>
                      <w:szCs w:val="21"/>
                    </w:rPr>
                  </w:pPr>
                  <w:r>
                    <w:rPr>
                      <w:rFonts w:hint="eastAsia" w:ascii="Times New Roman" w:eastAsia="宋体"/>
                      <w:color w:val="000000" w:themeColor="text1"/>
                      <w:szCs w:val="21"/>
                    </w:rPr>
                    <w:t>经收集后，暂存于危废暂存间（</w:t>
                  </w:r>
                  <w:r>
                    <w:rPr>
                      <w:rFonts w:hint="eastAsia" w:ascii="Times New Roman" w:hAnsi="Times New Roman" w:eastAsia="宋体"/>
                      <w:color w:val="000000" w:themeColor="text1"/>
                      <w:szCs w:val="21"/>
                    </w:rPr>
                    <w:t>10m</w:t>
                  </w:r>
                  <w:r>
                    <w:rPr>
                      <w:rFonts w:hint="eastAsia" w:ascii="Times New Roman" w:hAnsi="Times New Roman" w:eastAsia="宋体"/>
                      <w:color w:val="000000" w:themeColor="text1"/>
                      <w:szCs w:val="21"/>
                      <w:vertAlign w:val="superscript"/>
                    </w:rPr>
                    <w:t>2</w:t>
                  </w:r>
                  <w:r>
                    <w:rPr>
                      <w:rFonts w:hint="eastAsia" w:ascii="Times New Roman" w:eastAsia="宋体"/>
                      <w:color w:val="000000" w:themeColor="text1"/>
                      <w:szCs w:val="21"/>
                    </w:rPr>
                    <w:t>），定期交由尉氏县利源净化材料有限公司进行处理（危废处置合同见附件</w:t>
                  </w:r>
                  <w:r>
                    <w:rPr>
                      <w:rFonts w:hint="eastAsia" w:ascii="Times New Roman" w:hAnsi="Times New Roman" w:eastAsia="宋体"/>
                      <w:color w:val="000000" w:themeColor="text1"/>
                      <w:szCs w:val="21"/>
                    </w:rPr>
                    <w:t>6</w:t>
                  </w:r>
                  <w:r>
                    <w:rPr>
                      <w:rFonts w:hint="eastAsia" w:ascii="Times New Roman" w:eastAsia="宋体"/>
                      <w:color w:val="000000" w:themeColor="text1"/>
                      <w:szCs w:val="21"/>
                    </w:rPr>
                    <w:t>）</w:t>
                  </w:r>
                </w:p>
              </w:tc>
            </w:tr>
          </w:tbl>
          <w:p>
            <w:pPr>
              <w:pStyle w:val="9"/>
              <w:spacing w:line="440" w:lineRule="exact"/>
              <w:ind w:firstLine="480" w:firstLineChars="200"/>
              <w:rPr>
                <w:rFonts w:ascii="Times New Roman" w:hAnsi="Times New Roman" w:eastAsia="宋体"/>
                <w:color w:val="000000" w:themeColor="text1"/>
                <w:sz w:val="24"/>
              </w:rPr>
            </w:pPr>
            <w:r>
              <w:rPr>
                <w:rFonts w:hint="eastAsia" w:ascii="Times New Roman" w:hAnsi="Times New Roman" w:eastAsia="宋体"/>
                <w:color w:val="000000" w:themeColor="text1"/>
                <w:sz w:val="24"/>
              </w:rPr>
              <w:t>根据《新乡市顺风船科技有限公司年产1000吨PVC塑料制品项目环境影响报告表》、《新乡市顺风船科技有限公司年产2800吨新型环保钙锌稳定剂项目环境影响报告表》、《新乡市顺风船科技有限公司年产1000吨PVC塑料制品项目</w:t>
            </w:r>
            <w:r>
              <w:rPr>
                <w:rFonts w:ascii="Times New Roman" w:hAnsi="Times New Roman" w:eastAsia="宋体"/>
                <w:color w:val="000000" w:themeColor="text1"/>
                <w:sz w:val="24"/>
              </w:rPr>
              <w:t>竣工环境保护验收监测报告</w:t>
            </w:r>
            <w:r>
              <w:rPr>
                <w:rFonts w:hint="eastAsia" w:ascii="Times New Roman" w:hAnsi="Times New Roman" w:eastAsia="宋体"/>
                <w:color w:val="000000" w:themeColor="text1"/>
                <w:sz w:val="24"/>
              </w:rPr>
              <w:t>》和《新乡市顺风船科技有限公司年产2800吨新型环保钙锌稳定剂项目</w:t>
            </w:r>
            <w:r>
              <w:rPr>
                <w:rFonts w:ascii="Times New Roman" w:hAnsi="Times New Roman" w:eastAsia="宋体"/>
                <w:color w:val="000000" w:themeColor="text1"/>
                <w:sz w:val="24"/>
              </w:rPr>
              <w:t>竣工环境保护验收监测报告</w:t>
            </w:r>
            <w:r>
              <w:rPr>
                <w:rFonts w:hint="eastAsia" w:ascii="Times New Roman" w:hAnsi="Times New Roman" w:eastAsia="宋体"/>
                <w:color w:val="000000" w:themeColor="text1"/>
                <w:sz w:val="24"/>
              </w:rPr>
              <w:t>》可知，该项目产排污情况如下：</w:t>
            </w:r>
          </w:p>
          <w:p>
            <w:pPr>
              <w:adjustRightInd w:val="0"/>
              <w:snapToGrid w:val="0"/>
              <w:spacing w:line="440" w:lineRule="exact"/>
              <w:ind w:firstLine="482" w:firstLineChars="200"/>
              <w:rPr>
                <w:rFonts w:ascii="Times New Roman" w:hAnsi="Times New Roman" w:eastAsia="宋体"/>
                <w:b/>
                <w:color w:val="000000" w:themeColor="text1"/>
                <w:sz w:val="24"/>
              </w:rPr>
            </w:pPr>
            <w:r>
              <w:rPr>
                <w:rFonts w:hint="eastAsia" w:ascii="Times New Roman" w:eastAsia="宋体"/>
                <w:b/>
                <w:color w:val="000000" w:themeColor="text1"/>
                <w:sz w:val="24"/>
              </w:rPr>
              <w:t>（</w:t>
            </w:r>
            <w:r>
              <w:rPr>
                <w:rFonts w:hint="eastAsia" w:ascii="Times New Roman" w:hAnsi="Times New Roman" w:eastAsia="宋体"/>
                <w:b/>
                <w:color w:val="000000" w:themeColor="text1"/>
                <w:sz w:val="24"/>
              </w:rPr>
              <w:t>1</w:t>
            </w:r>
            <w:r>
              <w:rPr>
                <w:rFonts w:hint="eastAsia" w:ascii="Times New Roman" w:eastAsia="宋体"/>
                <w:b/>
                <w:color w:val="000000" w:themeColor="text1"/>
                <w:sz w:val="24"/>
              </w:rPr>
              <w:t>）废水</w:t>
            </w:r>
          </w:p>
          <w:p>
            <w:pPr>
              <w:pStyle w:val="9"/>
              <w:spacing w:line="440" w:lineRule="exact"/>
              <w:ind w:firstLine="480" w:firstLineChars="200"/>
              <w:rPr>
                <w:rFonts w:ascii="Times New Roman" w:hAnsi="Times New Roman" w:eastAsia="宋体"/>
                <w:color w:val="000000" w:themeColor="text1"/>
                <w:sz w:val="24"/>
              </w:rPr>
            </w:pPr>
            <w:r>
              <w:rPr>
                <w:rFonts w:hint="eastAsia" w:ascii="Times New Roman" w:hAnsi="Times New Roman" w:eastAsia="宋体"/>
                <w:color w:val="000000" w:themeColor="text1"/>
                <w:sz w:val="24"/>
              </w:rPr>
              <w:t>新乡市顺风船科技有限公司原有工程</w:t>
            </w:r>
            <w:r>
              <w:rPr>
                <w:rFonts w:ascii="Times New Roman" w:hAnsi="Times New Roman" w:eastAsia="宋体"/>
                <w:color w:val="000000" w:themeColor="text1"/>
                <w:sz w:val="24"/>
              </w:rPr>
              <w:t>营运期用水主要为职工生活用水。</w:t>
            </w:r>
          </w:p>
          <w:p>
            <w:pPr>
              <w:pStyle w:val="9"/>
              <w:spacing w:line="440" w:lineRule="exact"/>
              <w:ind w:firstLine="480" w:firstLineChars="200"/>
              <w:rPr>
                <w:rFonts w:ascii="Times New Roman" w:hAnsi="Times New Roman" w:eastAsia="宋体"/>
                <w:color w:val="000000" w:themeColor="text1"/>
                <w:sz w:val="24"/>
              </w:rPr>
            </w:pPr>
            <w:r>
              <w:rPr>
                <w:rFonts w:hint="eastAsia" w:ascii="Times New Roman" w:hAnsi="Times New Roman" w:eastAsia="宋体"/>
                <w:color w:val="000000" w:themeColor="text1"/>
                <w:sz w:val="24"/>
              </w:rPr>
              <w:t>新乡市顺风船科技有限公司原有工程生活污水的排放总量为1.68m</w:t>
            </w:r>
            <w:r>
              <w:rPr>
                <w:rFonts w:hint="eastAsia" w:ascii="Times New Roman" w:hAnsi="Times New Roman" w:eastAsia="宋体"/>
                <w:color w:val="000000" w:themeColor="text1"/>
                <w:sz w:val="24"/>
                <w:vertAlign w:val="superscript"/>
              </w:rPr>
              <w:t>3</w:t>
            </w:r>
            <w:r>
              <w:rPr>
                <w:rFonts w:hint="eastAsia" w:ascii="Times New Roman" w:hAnsi="Times New Roman" w:eastAsia="宋体"/>
                <w:color w:val="000000" w:themeColor="text1"/>
                <w:sz w:val="24"/>
              </w:rPr>
              <w:t>/d（504m</w:t>
            </w:r>
            <w:r>
              <w:rPr>
                <w:rFonts w:hint="eastAsia" w:ascii="Times New Roman" w:hAnsi="Times New Roman" w:eastAsia="宋体"/>
                <w:color w:val="000000" w:themeColor="text1"/>
                <w:sz w:val="24"/>
                <w:vertAlign w:val="superscript"/>
              </w:rPr>
              <w:t>3</w:t>
            </w:r>
            <w:r>
              <w:rPr>
                <w:rFonts w:hint="eastAsia" w:ascii="Times New Roman" w:hAnsi="Times New Roman" w:eastAsia="宋体"/>
                <w:color w:val="000000" w:themeColor="text1"/>
                <w:sz w:val="24"/>
              </w:rPr>
              <w:t>/a），生活污水</w:t>
            </w:r>
            <w:r>
              <w:rPr>
                <w:rFonts w:ascii="Times New Roman" w:hAnsi="Times New Roman" w:eastAsia="宋体"/>
                <w:color w:val="000000" w:themeColor="text1"/>
                <w:sz w:val="24"/>
              </w:rPr>
              <w:t>经防渗漏化粪池处理后，排放至</w:t>
            </w:r>
            <w:r>
              <w:rPr>
                <w:rFonts w:hint="eastAsia" w:ascii="Times New Roman" w:eastAsia="宋体"/>
                <w:color w:val="000000" w:themeColor="text1"/>
                <w:sz w:val="24"/>
              </w:rPr>
              <w:t>贾屯污水处理厂</w:t>
            </w:r>
            <w:r>
              <w:rPr>
                <w:rFonts w:ascii="Times New Roman" w:hAnsi="Times New Roman" w:eastAsia="宋体"/>
                <w:color w:val="000000" w:themeColor="text1"/>
                <w:sz w:val="24"/>
              </w:rPr>
              <w:t>处理</w:t>
            </w:r>
            <w:r>
              <w:rPr>
                <w:rFonts w:hint="eastAsia" w:ascii="Times New Roman" w:hAnsi="Times New Roman" w:eastAsia="宋体"/>
                <w:color w:val="000000" w:themeColor="text1"/>
                <w:sz w:val="24"/>
              </w:rPr>
              <w:t>。</w:t>
            </w:r>
            <w:r>
              <w:rPr>
                <w:rFonts w:hint="eastAsia" w:ascii="Times New Roman" w:hAnsiTheme="minorEastAsia" w:eastAsiaTheme="minorEastAsia"/>
                <w:color w:val="000000" w:themeColor="text1"/>
                <w:sz w:val="24"/>
              </w:rPr>
              <w:t>根据企业验收检测报告（万检委字（</w:t>
            </w:r>
            <w:r>
              <w:rPr>
                <w:rFonts w:hint="eastAsia" w:ascii="Times New Roman" w:hAnsi="Times New Roman" w:eastAsiaTheme="minorEastAsia"/>
                <w:color w:val="000000" w:themeColor="text1"/>
                <w:sz w:val="24"/>
              </w:rPr>
              <w:t>2019</w:t>
            </w:r>
            <w:r>
              <w:rPr>
                <w:rFonts w:hint="eastAsia" w:ascii="Times New Roman" w:hAnsiTheme="minorEastAsia" w:eastAsiaTheme="minorEastAsia"/>
                <w:color w:val="000000" w:themeColor="text1"/>
                <w:sz w:val="24"/>
              </w:rPr>
              <w:t>）第</w:t>
            </w:r>
            <w:r>
              <w:rPr>
                <w:rFonts w:hint="eastAsia" w:ascii="Times New Roman" w:hAnsi="Times New Roman" w:eastAsiaTheme="minorEastAsia"/>
                <w:color w:val="000000" w:themeColor="text1"/>
                <w:sz w:val="24"/>
              </w:rPr>
              <w:t>103</w:t>
            </w:r>
            <w:r>
              <w:rPr>
                <w:rFonts w:hint="eastAsia" w:ascii="Times New Roman" w:hAnsiTheme="minorEastAsia" w:eastAsiaTheme="minorEastAsia"/>
                <w:color w:val="000000" w:themeColor="text1"/>
                <w:sz w:val="24"/>
              </w:rPr>
              <w:t>号和万检委字（</w:t>
            </w:r>
            <w:r>
              <w:rPr>
                <w:rFonts w:hint="eastAsia" w:ascii="Times New Roman" w:hAnsi="Times New Roman" w:eastAsiaTheme="minorEastAsia"/>
                <w:color w:val="000000" w:themeColor="text1"/>
                <w:sz w:val="24"/>
              </w:rPr>
              <w:t>2019</w:t>
            </w:r>
            <w:r>
              <w:rPr>
                <w:rFonts w:hint="eastAsia" w:ascii="Times New Roman" w:hAnsiTheme="minorEastAsia" w:eastAsiaTheme="minorEastAsia"/>
                <w:color w:val="000000" w:themeColor="text1"/>
                <w:sz w:val="24"/>
              </w:rPr>
              <w:t>）第</w:t>
            </w:r>
            <w:r>
              <w:rPr>
                <w:rFonts w:hint="eastAsia" w:ascii="Times New Roman" w:hAnsi="Times New Roman" w:eastAsiaTheme="minorEastAsia"/>
                <w:color w:val="000000" w:themeColor="text1"/>
                <w:sz w:val="24"/>
              </w:rPr>
              <w:t>104</w:t>
            </w:r>
            <w:r>
              <w:rPr>
                <w:rFonts w:hint="eastAsia" w:ascii="Times New Roman" w:hAnsiTheme="minorEastAsia" w:eastAsiaTheme="minorEastAsia"/>
                <w:color w:val="000000" w:themeColor="text1"/>
                <w:sz w:val="24"/>
              </w:rPr>
              <w:t>号）可知，</w:t>
            </w:r>
            <w:r>
              <w:rPr>
                <w:rFonts w:hint="eastAsia" w:ascii="Times New Roman" w:hAnsi="Times New Roman" w:eastAsia="宋体"/>
                <w:color w:val="000000" w:themeColor="text1"/>
                <w:sz w:val="24"/>
              </w:rPr>
              <w:t>新乡市顺风船科技有限公司原有工程废水</w:t>
            </w:r>
            <w:r>
              <w:rPr>
                <w:rFonts w:ascii="Times New Roman" w:hAnsi="Times New Roman" w:eastAsia="宋体"/>
                <w:color w:val="000000" w:themeColor="text1"/>
                <w:sz w:val="24"/>
              </w:rPr>
              <w:t>总排口排放浓度化学需氧量1</w:t>
            </w:r>
            <w:r>
              <w:rPr>
                <w:rFonts w:hint="eastAsia" w:ascii="Times New Roman" w:hAnsi="Times New Roman" w:eastAsia="宋体"/>
                <w:color w:val="000000" w:themeColor="text1"/>
                <w:sz w:val="24"/>
              </w:rPr>
              <w:t>03</w:t>
            </w:r>
            <w:r>
              <w:rPr>
                <w:rFonts w:ascii="Times New Roman" w:hAnsi="Times New Roman" w:eastAsia="宋体"/>
                <w:color w:val="000000" w:themeColor="text1"/>
                <w:sz w:val="24"/>
              </w:rPr>
              <w:t>-</w:t>
            </w:r>
            <w:r>
              <w:rPr>
                <w:rFonts w:hint="eastAsia" w:ascii="Times New Roman" w:hAnsi="Times New Roman" w:eastAsia="宋体"/>
                <w:color w:val="000000" w:themeColor="text1"/>
                <w:sz w:val="24"/>
              </w:rPr>
              <w:t>142</w:t>
            </w:r>
            <w:r>
              <w:rPr>
                <w:rFonts w:ascii="Times New Roman" w:hAnsi="Times New Roman" w:eastAsia="宋体"/>
                <w:color w:val="000000" w:themeColor="text1"/>
                <w:sz w:val="24"/>
              </w:rPr>
              <w:t>mg/L、氨氮</w:t>
            </w:r>
            <w:r>
              <w:rPr>
                <w:rFonts w:hint="eastAsia" w:ascii="Times New Roman" w:hAnsi="Times New Roman" w:eastAsia="宋体"/>
                <w:color w:val="000000" w:themeColor="text1"/>
                <w:sz w:val="24"/>
              </w:rPr>
              <w:t>9.57</w:t>
            </w:r>
            <w:r>
              <w:rPr>
                <w:rFonts w:ascii="Times New Roman" w:hAnsi="Times New Roman" w:eastAsia="宋体"/>
                <w:color w:val="000000" w:themeColor="text1"/>
                <w:sz w:val="24"/>
              </w:rPr>
              <w:t>-</w:t>
            </w:r>
            <w:r>
              <w:rPr>
                <w:rFonts w:hint="eastAsia" w:ascii="Times New Roman" w:hAnsi="Times New Roman" w:eastAsia="宋体"/>
                <w:color w:val="000000" w:themeColor="text1"/>
                <w:sz w:val="24"/>
              </w:rPr>
              <w:t>13.3</w:t>
            </w:r>
            <w:r>
              <w:rPr>
                <w:rFonts w:ascii="Times New Roman" w:hAnsi="Times New Roman" w:eastAsia="宋体"/>
                <w:color w:val="000000" w:themeColor="text1"/>
                <w:sz w:val="24"/>
              </w:rPr>
              <w:t>mg/L、悬浮物</w:t>
            </w:r>
            <w:r>
              <w:rPr>
                <w:rFonts w:hint="eastAsia" w:ascii="Times New Roman" w:hAnsi="Times New Roman" w:eastAsia="宋体"/>
                <w:color w:val="000000" w:themeColor="text1"/>
                <w:sz w:val="24"/>
              </w:rPr>
              <w:t>41</w:t>
            </w:r>
            <w:r>
              <w:rPr>
                <w:rFonts w:ascii="Times New Roman" w:hAnsi="Times New Roman" w:eastAsia="宋体"/>
                <w:color w:val="000000" w:themeColor="text1"/>
                <w:sz w:val="24"/>
              </w:rPr>
              <w:t>-</w:t>
            </w:r>
            <w:r>
              <w:rPr>
                <w:rFonts w:hint="eastAsia" w:ascii="Times New Roman" w:hAnsi="Times New Roman" w:eastAsia="宋体"/>
                <w:color w:val="000000" w:themeColor="text1"/>
                <w:sz w:val="24"/>
              </w:rPr>
              <w:t>64</w:t>
            </w:r>
            <w:r>
              <w:rPr>
                <w:rFonts w:ascii="Times New Roman" w:hAnsi="Times New Roman" w:eastAsia="宋体"/>
                <w:color w:val="000000" w:themeColor="text1"/>
                <w:sz w:val="24"/>
              </w:rPr>
              <w:t>mg/L、总磷0.</w:t>
            </w:r>
            <w:r>
              <w:rPr>
                <w:rFonts w:hint="eastAsia" w:ascii="Times New Roman" w:hAnsi="Times New Roman" w:eastAsia="宋体"/>
                <w:color w:val="000000" w:themeColor="text1"/>
                <w:sz w:val="24"/>
              </w:rPr>
              <w:t>32</w:t>
            </w:r>
            <w:r>
              <w:rPr>
                <w:rFonts w:ascii="Times New Roman" w:hAnsi="Times New Roman" w:eastAsia="宋体"/>
                <w:color w:val="000000" w:themeColor="text1"/>
                <w:sz w:val="24"/>
              </w:rPr>
              <w:t>-0.</w:t>
            </w:r>
            <w:r>
              <w:rPr>
                <w:rFonts w:hint="eastAsia" w:ascii="Times New Roman" w:hAnsi="Times New Roman" w:eastAsia="宋体"/>
                <w:color w:val="000000" w:themeColor="text1"/>
                <w:sz w:val="24"/>
              </w:rPr>
              <w:t>47</w:t>
            </w:r>
            <w:r>
              <w:rPr>
                <w:rFonts w:ascii="Times New Roman" w:hAnsi="Times New Roman" w:eastAsia="宋体"/>
                <w:color w:val="000000" w:themeColor="text1"/>
                <w:sz w:val="24"/>
              </w:rPr>
              <w:t>mg/L</w:t>
            </w:r>
            <w:r>
              <w:rPr>
                <w:rFonts w:hint="eastAsia" w:ascii="Times New Roman" w:hAnsi="Times New Roman" w:eastAsia="宋体"/>
                <w:color w:val="000000" w:themeColor="text1"/>
                <w:sz w:val="24"/>
              </w:rPr>
              <w:t>，能够</w:t>
            </w:r>
            <w:r>
              <w:rPr>
                <w:rFonts w:ascii="Times New Roman" w:hAnsi="Times New Roman" w:eastAsia="宋体"/>
                <w:color w:val="000000" w:themeColor="text1"/>
                <w:sz w:val="24"/>
              </w:rPr>
              <w:t>满足</w:t>
            </w:r>
            <w:r>
              <w:rPr>
                <w:rFonts w:ascii="Times New Roman" w:hAnsi="Times New Roman" w:eastAsia="宋体"/>
                <w:b/>
                <w:color w:val="000000" w:themeColor="text1"/>
                <w:sz w:val="24"/>
                <w:u w:val="single"/>
              </w:rPr>
              <w:t>新乡市</w:t>
            </w:r>
            <w:r>
              <w:rPr>
                <w:rFonts w:hint="eastAsia" w:ascii="Times New Roman" w:eastAsia="宋体"/>
                <w:b/>
                <w:color w:val="000000" w:themeColor="text1"/>
                <w:sz w:val="24"/>
                <w:u w:val="single"/>
              </w:rPr>
              <w:t>贾屯污水处理厂</w:t>
            </w:r>
            <w:r>
              <w:rPr>
                <w:rFonts w:ascii="Times New Roman" w:hAnsi="Times New Roman" w:eastAsia="宋体"/>
                <w:b/>
                <w:color w:val="000000" w:themeColor="text1"/>
                <w:sz w:val="24"/>
                <w:u w:val="single"/>
              </w:rPr>
              <w:t>收水标准</w:t>
            </w:r>
            <w:r>
              <w:rPr>
                <w:rFonts w:hint="eastAsia" w:ascii="Times New Roman" w:hAnsi="Times New Roman" w:eastAsia="宋体"/>
                <w:b/>
                <w:color w:val="000000" w:themeColor="text1"/>
                <w:sz w:val="24"/>
                <w:u w:val="single"/>
              </w:rPr>
              <w:t>（</w:t>
            </w:r>
            <w:r>
              <w:rPr>
                <w:rFonts w:ascii="Times New Roman" w:hAnsi="Times New Roman" w:eastAsia="宋体"/>
                <w:b/>
                <w:color w:val="000000" w:themeColor="text1"/>
                <w:sz w:val="24"/>
                <w:u w:val="single"/>
              </w:rPr>
              <w:t>COD≤</w:t>
            </w:r>
            <w:r>
              <w:rPr>
                <w:rFonts w:hint="eastAsia" w:ascii="Times New Roman" w:hAnsi="Times New Roman" w:eastAsia="宋体"/>
                <w:b/>
                <w:color w:val="000000" w:themeColor="text1"/>
                <w:sz w:val="24"/>
                <w:u w:val="single"/>
              </w:rPr>
              <w:t>450</w:t>
            </w:r>
            <w:r>
              <w:rPr>
                <w:rFonts w:ascii="Times New Roman" w:hAnsi="Times New Roman" w:eastAsia="宋体"/>
                <w:b/>
                <w:color w:val="000000" w:themeColor="text1"/>
                <w:sz w:val="24"/>
                <w:u w:val="single"/>
              </w:rPr>
              <w:t>mg/L、NH</w:t>
            </w:r>
            <w:r>
              <w:rPr>
                <w:rFonts w:ascii="Times New Roman" w:hAnsi="Times New Roman" w:eastAsia="宋体"/>
                <w:b/>
                <w:color w:val="000000" w:themeColor="text1"/>
                <w:sz w:val="24"/>
                <w:u w:val="single"/>
                <w:vertAlign w:val="subscript"/>
              </w:rPr>
              <w:t>3</w:t>
            </w:r>
            <w:r>
              <w:rPr>
                <w:rFonts w:ascii="Times New Roman" w:hAnsi="Times New Roman" w:eastAsia="宋体"/>
                <w:b/>
                <w:color w:val="000000" w:themeColor="text1"/>
                <w:sz w:val="24"/>
                <w:u w:val="single"/>
              </w:rPr>
              <w:t>-N≤3</w:t>
            </w:r>
            <w:r>
              <w:rPr>
                <w:rFonts w:hint="eastAsia" w:ascii="Times New Roman" w:hAnsi="Times New Roman" w:eastAsia="宋体"/>
                <w:b/>
                <w:color w:val="000000" w:themeColor="text1"/>
                <w:sz w:val="24"/>
                <w:u w:val="single"/>
              </w:rPr>
              <w:t>5</w:t>
            </w:r>
            <w:r>
              <w:rPr>
                <w:rFonts w:ascii="Times New Roman" w:hAnsi="Times New Roman" w:eastAsia="宋体"/>
                <w:b/>
                <w:color w:val="000000" w:themeColor="text1"/>
                <w:sz w:val="24"/>
                <w:u w:val="single"/>
              </w:rPr>
              <w:t>mg/L、SS≤</w:t>
            </w:r>
            <w:r>
              <w:rPr>
                <w:rFonts w:hint="eastAsia" w:ascii="Times New Roman" w:hAnsi="Times New Roman" w:eastAsia="宋体"/>
                <w:b/>
                <w:color w:val="000000" w:themeColor="text1"/>
                <w:sz w:val="24"/>
                <w:u w:val="single"/>
              </w:rPr>
              <w:t>350</w:t>
            </w:r>
            <w:r>
              <w:rPr>
                <w:rFonts w:ascii="Times New Roman" w:hAnsi="Times New Roman" w:eastAsia="宋体"/>
                <w:b/>
                <w:color w:val="000000" w:themeColor="text1"/>
                <w:sz w:val="24"/>
                <w:u w:val="single"/>
              </w:rPr>
              <w:t>mg/L、TP≤</w:t>
            </w:r>
            <w:r>
              <w:rPr>
                <w:rFonts w:hint="eastAsia" w:ascii="Times New Roman" w:hAnsi="Times New Roman" w:eastAsia="宋体"/>
                <w:b/>
                <w:color w:val="000000" w:themeColor="text1"/>
                <w:sz w:val="24"/>
                <w:u w:val="single"/>
              </w:rPr>
              <w:t>6.0</w:t>
            </w:r>
            <w:r>
              <w:rPr>
                <w:rFonts w:ascii="Times New Roman" w:hAnsi="Times New Roman" w:eastAsia="宋体"/>
                <w:b/>
                <w:color w:val="000000" w:themeColor="text1"/>
                <w:sz w:val="24"/>
                <w:u w:val="single"/>
              </w:rPr>
              <w:t>mg/L</w:t>
            </w:r>
            <w:r>
              <w:rPr>
                <w:rFonts w:hint="eastAsia" w:ascii="Times New Roman" w:hAnsi="Times New Roman" w:eastAsia="宋体"/>
                <w:b/>
                <w:color w:val="000000" w:themeColor="text1"/>
                <w:sz w:val="24"/>
                <w:u w:val="single"/>
              </w:rPr>
              <w:t>）和《</w:t>
            </w:r>
            <w:r>
              <w:rPr>
                <w:rFonts w:hint="eastAsia" w:ascii="Times New Roman" w:hAnsi="Times New Roman" w:eastAsia="宋体" w:cs="宋体"/>
                <w:b/>
                <w:color w:val="000000" w:themeColor="text1"/>
                <w:sz w:val="24"/>
                <w:u w:val="single"/>
              </w:rPr>
              <w:t>污水排入城镇下水道水质标准》（GB/T31962-2015）中C级标准（</w:t>
            </w:r>
            <w:r>
              <w:rPr>
                <w:rFonts w:ascii="Times New Roman" w:hAnsi="Times New Roman" w:eastAsia="宋体"/>
                <w:b/>
                <w:color w:val="000000" w:themeColor="text1"/>
                <w:sz w:val="24"/>
                <w:u w:val="single"/>
              </w:rPr>
              <w:t>COD</w:t>
            </w:r>
            <w:r>
              <w:rPr>
                <w:rFonts w:hint="eastAsia" w:ascii="Times New Roman" w:hAnsi="Times New Roman" w:eastAsia="宋体"/>
                <w:b/>
                <w:color w:val="000000" w:themeColor="text1"/>
                <w:sz w:val="24"/>
                <w:u w:val="single"/>
              </w:rPr>
              <w:t>300</w:t>
            </w:r>
            <w:r>
              <w:rPr>
                <w:rFonts w:ascii="Times New Roman" w:hAnsi="Times New Roman" w:eastAsia="宋体"/>
                <w:b/>
                <w:color w:val="000000" w:themeColor="text1"/>
                <w:sz w:val="24"/>
                <w:u w:val="single"/>
              </w:rPr>
              <w:t>mg/L</w:t>
            </w:r>
            <w:r>
              <w:rPr>
                <w:rFonts w:hint="eastAsia" w:ascii="Times New Roman" w:eastAsia="宋体"/>
                <w:b/>
                <w:color w:val="000000" w:themeColor="text1"/>
                <w:sz w:val="24"/>
                <w:u w:val="single"/>
              </w:rPr>
              <w:t>、</w:t>
            </w:r>
            <w:r>
              <w:rPr>
                <w:rFonts w:ascii="Times New Roman" w:hAnsi="Times New Roman" w:eastAsia="宋体"/>
                <w:b/>
                <w:color w:val="000000" w:themeColor="text1"/>
                <w:sz w:val="24"/>
                <w:u w:val="single"/>
              </w:rPr>
              <w:t>NH</w:t>
            </w:r>
            <w:r>
              <w:rPr>
                <w:rFonts w:ascii="Times New Roman" w:hAnsi="Times New Roman" w:eastAsia="宋体"/>
                <w:b/>
                <w:color w:val="000000" w:themeColor="text1"/>
                <w:sz w:val="24"/>
                <w:u w:val="single"/>
                <w:vertAlign w:val="subscript"/>
              </w:rPr>
              <w:t>3</w:t>
            </w:r>
            <w:r>
              <w:rPr>
                <w:rFonts w:ascii="Times New Roman" w:hAnsi="Times New Roman" w:eastAsia="宋体"/>
                <w:b/>
                <w:color w:val="000000" w:themeColor="text1"/>
                <w:sz w:val="24"/>
                <w:u w:val="single"/>
              </w:rPr>
              <w:t>-N</w:t>
            </w:r>
            <w:r>
              <w:rPr>
                <w:rFonts w:hint="eastAsia" w:ascii="Times New Roman" w:hAnsi="Times New Roman" w:eastAsia="宋体"/>
                <w:b/>
                <w:color w:val="000000" w:themeColor="text1"/>
                <w:sz w:val="24"/>
                <w:u w:val="single"/>
              </w:rPr>
              <w:t>25</w:t>
            </w:r>
            <w:r>
              <w:rPr>
                <w:rFonts w:ascii="Times New Roman" w:hAnsi="Times New Roman" w:eastAsia="宋体"/>
                <w:b/>
                <w:color w:val="000000" w:themeColor="text1"/>
                <w:sz w:val="24"/>
                <w:u w:val="single"/>
              </w:rPr>
              <w:t>mg/L</w:t>
            </w:r>
            <w:r>
              <w:rPr>
                <w:rFonts w:hint="eastAsia" w:ascii="Times New Roman" w:hAnsi="Times New Roman" w:eastAsia="宋体"/>
                <w:b/>
                <w:color w:val="000000" w:themeColor="text1"/>
                <w:sz w:val="24"/>
                <w:u w:val="single"/>
              </w:rPr>
              <w:t>、</w:t>
            </w:r>
            <w:r>
              <w:rPr>
                <w:rFonts w:ascii="Times New Roman" w:hAnsi="Times New Roman" w:eastAsia="宋体"/>
                <w:b/>
                <w:color w:val="000000" w:themeColor="text1"/>
                <w:sz w:val="24"/>
                <w:u w:val="single"/>
              </w:rPr>
              <w:t>SS</w:t>
            </w:r>
            <w:r>
              <w:rPr>
                <w:rFonts w:hint="eastAsia" w:ascii="Times New Roman" w:hAnsi="Times New Roman" w:eastAsia="宋体"/>
                <w:b/>
                <w:color w:val="000000" w:themeColor="text1"/>
                <w:sz w:val="24"/>
                <w:u w:val="single"/>
              </w:rPr>
              <w:t>250</w:t>
            </w:r>
            <w:r>
              <w:rPr>
                <w:rFonts w:ascii="Times New Roman" w:hAnsi="Times New Roman" w:eastAsia="宋体"/>
                <w:b/>
                <w:color w:val="000000" w:themeColor="text1"/>
                <w:sz w:val="24"/>
                <w:u w:val="single"/>
              </w:rPr>
              <w:t>mg/L</w:t>
            </w:r>
            <w:r>
              <w:rPr>
                <w:rFonts w:hint="eastAsia" w:ascii="Times New Roman" w:eastAsia="宋体"/>
                <w:b/>
                <w:color w:val="000000" w:themeColor="text1"/>
                <w:sz w:val="24"/>
                <w:u w:val="single"/>
              </w:rPr>
              <w:t>、</w:t>
            </w:r>
            <w:r>
              <w:rPr>
                <w:rFonts w:ascii="Times New Roman" w:hAnsi="Times New Roman" w:eastAsia="宋体"/>
                <w:b/>
                <w:color w:val="000000" w:themeColor="text1"/>
                <w:sz w:val="24"/>
                <w:u w:val="single"/>
              </w:rPr>
              <w:t>TP</w:t>
            </w:r>
            <w:r>
              <w:rPr>
                <w:rFonts w:hint="eastAsia" w:ascii="Times New Roman" w:hAnsi="Times New Roman" w:eastAsia="宋体"/>
                <w:b/>
                <w:color w:val="000000" w:themeColor="text1"/>
                <w:sz w:val="24"/>
                <w:u w:val="single"/>
              </w:rPr>
              <w:t>5</w:t>
            </w:r>
            <w:r>
              <w:rPr>
                <w:rFonts w:ascii="Times New Roman" w:hAnsi="Times New Roman" w:eastAsia="宋体"/>
                <w:b/>
                <w:color w:val="000000" w:themeColor="text1"/>
                <w:sz w:val="24"/>
                <w:u w:val="single"/>
              </w:rPr>
              <w:t>mg/L</w:t>
            </w:r>
            <w:r>
              <w:rPr>
                <w:rFonts w:hint="eastAsia" w:ascii="Times New Roman" w:hAnsi="Times New Roman" w:eastAsia="宋体" w:cs="宋体"/>
                <w:b/>
                <w:color w:val="000000" w:themeColor="text1"/>
                <w:sz w:val="24"/>
                <w:u w:val="single"/>
              </w:rPr>
              <w:t>）</w:t>
            </w:r>
            <w:r>
              <w:rPr>
                <w:rFonts w:ascii="Times New Roman" w:hAnsi="Times New Roman" w:eastAsia="宋体"/>
                <w:b/>
                <w:color w:val="000000" w:themeColor="text1"/>
                <w:sz w:val="24"/>
                <w:u w:val="single"/>
              </w:rPr>
              <w:t>要求</w:t>
            </w:r>
            <w:r>
              <w:rPr>
                <w:rFonts w:ascii="Times New Roman" w:hAnsi="Times New Roman" w:eastAsia="宋体"/>
                <w:color w:val="000000" w:themeColor="text1"/>
                <w:sz w:val="24"/>
              </w:rPr>
              <w:t>。</w:t>
            </w:r>
          </w:p>
          <w:p>
            <w:pPr>
              <w:adjustRightInd w:val="0"/>
              <w:snapToGrid w:val="0"/>
              <w:spacing w:line="440" w:lineRule="exact"/>
              <w:ind w:firstLine="482" w:firstLineChars="200"/>
              <w:rPr>
                <w:rFonts w:ascii="Times New Roman" w:hAnsi="Times New Roman" w:eastAsia="宋体"/>
                <w:b/>
                <w:color w:val="000000" w:themeColor="text1"/>
                <w:sz w:val="24"/>
              </w:rPr>
            </w:pPr>
            <w:r>
              <w:rPr>
                <w:rFonts w:hint="eastAsia" w:ascii="Times New Roman" w:eastAsia="宋体"/>
                <w:b/>
                <w:color w:val="000000" w:themeColor="text1"/>
                <w:sz w:val="24"/>
              </w:rPr>
              <w:t>（</w:t>
            </w:r>
            <w:r>
              <w:rPr>
                <w:rFonts w:hint="eastAsia" w:ascii="Times New Roman" w:hAnsi="Times New Roman" w:eastAsia="宋体"/>
                <w:b/>
                <w:color w:val="000000" w:themeColor="text1"/>
                <w:sz w:val="24"/>
              </w:rPr>
              <w:t>2</w:t>
            </w:r>
            <w:r>
              <w:rPr>
                <w:rFonts w:hint="eastAsia" w:ascii="Times New Roman" w:eastAsia="宋体"/>
                <w:b/>
                <w:color w:val="000000" w:themeColor="text1"/>
                <w:sz w:val="24"/>
              </w:rPr>
              <w:t>）废气</w:t>
            </w:r>
          </w:p>
          <w:p>
            <w:pPr>
              <w:pStyle w:val="9"/>
              <w:spacing w:line="440" w:lineRule="exact"/>
              <w:ind w:firstLine="480" w:firstLineChars="200"/>
              <w:rPr>
                <w:rFonts w:ascii="Times New Roman" w:hAnsi="Times New Roman" w:eastAsia="宋体"/>
                <w:color w:val="000000" w:themeColor="text1"/>
                <w:sz w:val="24"/>
              </w:rPr>
            </w:pPr>
            <w:r>
              <w:rPr>
                <w:rFonts w:hint="eastAsia" w:ascii="Times New Roman" w:hAnsi="Times New Roman" w:eastAsia="宋体"/>
                <w:color w:val="000000" w:themeColor="text1"/>
                <w:sz w:val="24"/>
              </w:rPr>
              <w:t>新乡市顺风船科技有限公司原有工程废气主要有投料混合工序产生的粉尘、捏合工序产生的粉尘和挤出工序产生的有机废气。</w:t>
            </w:r>
          </w:p>
          <w:p>
            <w:pPr>
              <w:pStyle w:val="9"/>
              <w:spacing w:line="440" w:lineRule="exact"/>
              <w:ind w:firstLine="480" w:firstLineChars="200"/>
              <w:rPr>
                <w:rFonts w:ascii="Times New Roman" w:eastAsia="宋体"/>
                <w:color w:val="000000" w:themeColor="text1"/>
                <w:sz w:val="24"/>
              </w:rPr>
            </w:pPr>
            <w:r>
              <w:rPr>
                <w:rFonts w:hint="eastAsia" w:ascii="Times New Roman" w:hAnsi="Times New Roman" w:eastAsia="宋体"/>
                <w:color w:val="000000" w:themeColor="text1"/>
                <w:sz w:val="24"/>
              </w:rPr>
              <w:t>新乡市顺风船科技有限公司原有工程投料混合工序产生的粉尘经</w:t>
            </w:r>
            <w:r>
              <w:rPr>
                <w:rFonts w:ascii="Times New Roman" w:hAnsi="Times New Roman" w:eastAsia="宋体"/>
                <w:color w:val="000000" w:themeColor="text1"/>
                <w:sz w:val="24"/>
              </w:rPr>
              <w:t>集气罩+袋式除尘器+15m高排气筒</w:t>
            </w:r>
            <w:r>
              <w:rPr>
                <w:rFonts w:hint="eastAsia" w:ascii="Times New Roman" w:hAnsi="Times New Roman" w:eastAsia="宋体"/>
                <w:color w:val="000000" w:themeColor="text1"/>
                <w:sz w:val="24"/>
              </w:rPr>
              <w:t>排放；捏合工序产生的粉尘经</w:t>
            </w:r>
            <w:r>
              <w:rPr>
                <w:rFonts w:ascii="Times New Roman" w:hAnsi="Times New Roman" w:eastAsia="宋体"/>
                <w:color w:val="000000" w:themeColor="text1"/>
                <w:sz w:val="24"/>
              </w:rPr>
              <w:t>集气罩+袋式除尘器+15m高排气筒</w:t>
            </w:r>
            <w:r>
              <w:rPr>
                <w:rFonts w:hint="eastAsia" w:ascii="Times New Roman" w:hAnsi="Times New Roman" w:eastAsia="宋体"/>
                <w:color w:val="000000" w:themeColor="text1"/>
                <w:sz w:val="24"/>
              </w:rPr>
              <w:t>排放；挤出工序产生的有机废气</w:t>
            </w:r>
            <w:r>
              <w:rPr>
                <w:rFonts w:ascii="Times New Roman" w:hAnsi="Times New Roman" w:eastAsia="宋体"/>
                <w:color w:val="000000" w:themeColor="text1"/>
                <w:sz w:val="24"/>
              </w:rPr>
              <w:t>经</w:t>
            </w:r>
            <w:r>
              <w:rPr>
                <w:rFonts w:hint="eastAsia" w:ascii="Times New Roman" w:hAnsi="Times New Roman" w:eastAsia="宋体"/>
                <w:color w:val="000000" w:themeColor="text1"/>
                <w:sz w:val="24"/>
              </w:rPr>
              <w:t>集气罩+“</w:t>
            </w:r>
            <w:r>
              <w:rPr>
                <w:rFonts w:ascii="Times New Roman" w:hAnsi="Times New Roman" w:eastAsia="宋体"/>
                <w:color w:val="000000" w:themeColor="text1"/>
                <w:sz w:val="24"/>
              </w:rPr>
              <w:t>UV光催化氧化+活性炭吸附</w:t>
            </w:r>
            <w:r>
              <w:rPr>
                <w:rFonts w:hint="eastAsia" w:ascii="Times New Roman" w:hAnsi="Times New Roman" w:eastAsia="宋体"/>
                <w:color w:val="000000" w:themeColor="text1"/>
                <w:sz w:val="24"/>
              </w:rPr>
              <w:t>+油烟净化器装置”</w:t>
            </w:r>
            <w:r>
              <w:rPr>
                <w:rFonts w:ascii="Times New Roman" w:hAnsi="Times New Roman" w:eastAsia="宋体"/>
                <w:color w:val="000000" w:themeColor="text1"/>
                <w:sz w:val="24"/>
              </w:rPr>
              <w:t>+</w:t>
            </w:r>
            <w:r>
              <w:rPr>
                <w:rFonts w:hint="eastAsia" w:ascii="Times New Roman" w:hAnsi="Times New Roman" w:eastAsia="宋体"/>
                <w:color w:val="000000" w:themeColor="text1"/>
                <w:sz w:val="24"/>
              </w:rPr>
              <w:t>15m高</w:t>
            </w:r>
            <w:r>
              <w:rPr>
                <w:rFonts w:ascii="Times New Roman" w:hAnsi="Times New Roman" w:eastAsia="宋体"/>
                <w:color w:val="000000" w:themeColor="text1"/>
                <w:sz w:val="24"/>
              </w:rPr>
              <w:t>排气筒排放</w:t>
            </w:r>
            <w:r>
              <w:rPr>
                <w:rFonts w:hint="eastAsia" w:ascii="Times New Roman" w:hAnsi="Times New Roman" w:eastAsia="宋体"/>
                <w:color w:val="000000" w:themeColor="text1"/>
                <w:sz w:val="24"/>
              </w:rPr>
              <w:t>。</w:t>
            </w:r>
          </w:p>
          <w:p>
            <w:pPr>
              <w:pStyle w:val="9"/>
              <w:spacing w:line="440" w:lineRule="exact"/>
              <w:ind w:firstLine="480" w:firstLineChars="200"/>
              <w:rPr>
                <w:rFonts w:ascii="Times New Roman" w:hAnsi="Times New Roman" w:eastAsia="宋体"/>
                <w:color w:val="000000" w:themeColor="text1"/>
                <w:sz w:val="24"/>
              </w:rPr>
            </w:pPr>
            <w:r>
              <w:rPr>
                <w:rFonts w:hint="eastAsia" w:ascii="Times New Roman" w:hAnsi="Times New Roman" w:eastAsia="宋体"/>
                <w:color w:val="000000" w:themeColor="text1"/>
                <w:sz w:val="24"/>
              </w:rPr>
              <w:t>新乡市顺风船科技有限公司原有工程废气排放情况见下表（</w:t>
            </w:r>
            <w:r>
              <w:rPr>
                <w:rFonts w:hint="eastAsia" w:ascii="Times New Roman" w:hAnsiTheme="minorEastAsia" w:eastAsiaTheme="minorEastAsia"/>
                <w:color w:val="000000" w:themeColor="text1"/>
                <w:sz w:val="24"/>
              </w:rPr>
              <w:t>根据企业验收检测报告（万检委字（</w:t>
            </w:r>
            <w:r>
              <w:rPr>
                <w:rFonts w:hint="eastAsia" w:ascii="Times New Roman" w:hAnsi="Times New Roman" w:eastAsiaTheme="minorEastAsia"/>
                <w:color w:val="000000" w:themeColor="text1"/>
                <w:sz w:val="24"/>
              </w:rPr>
              <w:t>2019</w:t>
            </w:r>
            <w:r>
              <w:rPr>
                <w:rFonts w:hint="eastAsia" w:ascii="Times New Roman" w:hAnsiTheme="minorEastAsia" w:eastAsiaTheme="minorEastAsia"/>
                <w:color w:val="000000" w:themeColor="text1"/>
                <w:sz w:val="24"/>
              </w:rPr>
              <w:t>）第</w:t>
            </w:r>
            <w:r>
              <w:rPr>
                <w:rFonts w:hint="eastAsia" w:ascii="Times New Roman" w:hAnsi="Times New Roman" w:eastAsiaTheme="minorEastAsia"/>
                <w:color w:val="000000" w:themeColor="text1"/>
                <w:sz w:val="24"/>
              </w:rPr>
              <w:t>103</w:t>
            </w:r>
            <w:r>
              <w:rPr>
                <w:rFonts w:hint="eastAsia" w:ascii="Times New Roman" w:hAnsiTheme="minorEastAsia" w:eastAsiaTheme="minorEastAsia"/>
                <w:color w:val="000000" w:themeColor="text1"/>
                <w:sz w:val="24"/>
              </w:rPr>
              <w:t>号、万检委字（</w:t>
            </w:r>
            <w:r>
              <w:rPr>
                <w:rFonts w:hint="eastAsia" w:ascii="Times New Roman" w:hAnsi="Times New Roman" w:eastAsiaTheme="minorEastAsia"/>
                <w:color w:val="000000" w:themeColor="text1"/>
                <w:sz w:val="24"/>
              </w:rPr>
              <w:t>2019</w:t>
            </w:r>
            <w:r>
              <w:rPr>
                <w:rFonts w:hint="eastAsia" w:ascii="Times New Roman" w:hAnsiTheme="minorEastAsia" w:eastAsiaTheme="minorEastAsia"/>
                <w:color w:val="000000" w:themeColor="text1"/>
                <w:sz w:val="24"/>
              </w:rPr>
              <w:t>）第</w:t>
            </w:r>
            <w:r>
              <w:rPr>
                <w:rFonts w:hint="eastAsia" w:ascii="Times New Roman" w:hAnsi="Times New Roman" w:eastAsiaTheme="minorEastAsia"/>
                <w:color w:val="000000" w:themeColor="text1"/>
                <w:sz w:val="24"/>
              </w:rPr>
              <w:t>104</w:t>
            </w:r>
            <w:r>
              <w:rPr>
                <w:rFonts w:hint="eastAsia" w:ascii="Times New Roman" w:hAnsiTheme="minorEastAsia" w:eastAsiaTheme="minorEastAsia"/>
                <w:color w:val="000000" w:themeColor="text1"/>
                <w:sz w:val="24"/>
              </w:rPr>
              <w:t>号和</w:t>
            </w:r>
            <w:r>
              <w:rPr>
                <w:rFonts w:ascii="Times New Roman" w:hAnsi="Times New Roman" w:eastAsia="宋体"/>
                <w:color w:val="000000" w:themeColor="text1"/>
                <w:sz w:val="24"/>
              </w:rPr>
              <w:t>VOCs</w:t>
            </w:r>
            <w:r>
              <w:rPr>
                <w:rFonts w:hint="eastAsia" w:ascii="Times New Roman" w:eastAsia="宋体"/>
                <w:color w:val="000000" w:themeColor="text1"/>
                <w:sz w:val="24"/>
              </w:rPr>
              <w:t>在线监测数据</w:t>
            </w:r>
            <w:r>
              <w:rPr>
                <w:rFonts w:hint="eastAsia" w:ascii="Times New Roman" w:hAnsi="Times New Roman" w:eastAsia="宋体"/>
                <w:color w:val="000000" w:themeColor="text1"/>
                <w:sz w:val="24"/>
              </w:rPr>
              <w:t>）：</w:t>
            </w:r>
          </w:p>
          <w:p>
            <w:pPr>
              <w:spacing w:line="440" w:lineRule="exact"/>
              <w:jc w:val="center"/>
              <w:textAlignment w:val="baseline"/>
              <w:rPr>
                <w:rFonts w:ascii="Times New Roman" w:hAnsi="Times New Roman" w:eastAsia="宋体"/>
                <w:b/>
                <w:bCs/>
                <w:color w:val="000000" w:themeColor="text1"/>
                <w:sz w:val="24"/>
              </w:rPr>
            </w:pPr>
            <w:r>
              <w:rPr>
                <w:rFonts w:ascii="Times New Roman" w:hAnsi="Times New Roman" w:eastAsia="宋体"/>
                <w:b/>
                <w:bCs/>
                <w:color w:val="000000" w:themeColor="text1"/>
                <w:sz w:val="24"/>
              </w:rPr>
              <w:t>表1</w:t>
            </w:r>
            <w:r>
              <w:rPr>
                <w:rFonts w:hint="eastAsia" w:ascii="Times New Roman" w:hAnsi="Times New Roman" w:eastAsia="宋体"/>
                <w:b/>
                <w:bCs/>
                <w:color w:val="000000" w:themeColor="text1"/>
                <w:sz w:val="24"/>
              </w:rPr>
              <w:t>7</w:t>
            </w:r>
            <w:r>
              <w:rPr>
                <w:rFonts w:ascii="Times New Roman" w:hAnsi="Times New Roman" w:eastAsia="宋体"/>
                <w:b/>
                <w:bCs/>
                <w:color w:val="000000" w:themeColor="text1"/>
                <w:sz w:val="24"/>
              </w:rPr>
              <w:t xml:space="preserve">    </w:t>
            </w:r>
            <w:r>
              <w:rPr>
                <w:rFonts w:hint="eastAsia" w:ascii="Times New Roman" w:hAnsi="Times New Roman" w:eastAsia="宋体"/>
                <w:b/>
                <w:bCs/>
                <w:color w:val="000000" w:themeColor="text1"/>
                <w:sz w:val="24"/>
              </w:rPr>
              <w:t>新乡市顺风船科技有限公司原有工程有组织废气排放情况一览表</w:t>
            </w:r>
          </w:p>
          <w:tbl>
            <w:tblPr>
              <w:tblStyle w:val="24"/>
              <w:tblW w:w="5000" w:type="pct"/>
              <w:jc w:val="center"/>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865"/>
              <w:gridCol w:w="3147"/>
              <w:gridCol w:w="2155"/>
              <w:gridCol w:w="2011"/>
            </w:tblGrid>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tcBorders>
                    <w:top w:val="single" w:color="auto" w:sz="8" w:space="0"/>
                    <w:left w:val="nil"/>
                    <w:bottom w:val="single" w:color="auto" w:sz="8" w:space="0"/>
                    <w:right w:val="single" w:color="auto" w:sz="4" w:space="0"/>
                  </w:tcBorders>
                  <w:vAlign w:val="center"/>
                </w:tcPr>
                <w:p>
                  <w:pPr>
                    <w:adjustRightInd w:val="0"/>
                    <w:snapToGrid w:val="0"/>
                    <w:jc w:val="center"/>
                    <w:textAlignment w:val="baseline"/>
                    <w:rPr>
                      <w:rFonts w:ascii="Times New Roman" w:hAnsi="Times New Roman" w:eastAsia="宋体"/>
                      <w:b/>
                      <w:color w:val="000000" w:themeColor="text1"/>
                      <w:szCs w:val="21"/>
                    </w:rPr>
                  </w:pPr>
                  <w:r>
                    <w:rPr>
                      <w:rFonts w:hint="eastAsia" w:ascii="Times New Roman" w:hAnsi="Times New Roman" w:eastAsia="宋体"/>
                      <w:b/>
                      <w:color w:val="000000" w:themeColor="text1"/>
                      <w:szCs w:val="21"/>
                    </w:rPr>
                    <w:t>污染源</w:t>
                  </w:r>
                </w:p>
              </w:tc>
              <w:tc>
                <w:tcPr>
                  <w:tcW w:w="539" w:type="pct"/>
                  <w:tcBorders>
                    <w:top w:val="single" w:color="auto" w:sz="8" w:space="0"/>
                    <w:left w:val="single" w:color="auto" w:sz="4" w:space="0"/>
                    <w:bottom w:val="single" w:color="auto" w:sz="8" w:space="0"/>
                    <w:right w:val="single" w:color="auto" w:sz="4" w:space="0"/>
                  </w:tcBorders>
                  <w:vAlign w:val="center"/>
                </w:tcPr>
                <w:p>
                  <w:pPr>
                    <w:adjustRightInd w:val="0"/>
                    <w:snapToGrid w:val="0"/>
                    <w:jc w:val="center"/>
                    <w:textAlignment w:val="baseline"/>
                    <w:rPr>
                      <w:rFonts w:ascii="Times New Roman" w:hAnsi="Times New Roman" w:eastAsia="宋体"/>
                      <w:b/>
                      <w:color w:val="000000" w:themeColor="text1"/>
                      <w:szCs w:val="21"/>
                    </w:rPr>
                  </w:pPr>
                  <w:r>
                    <w:rPr>
                      <w:rFonts w:hint="eastAsia" w:ascii="Times New Roman" w:hAnsi="Times New Roman" w:eastAsia="宋体"/>
                      <w:b/>
                      <w:color w:val="000000" w:themeColor="text1"/>
                      <w:szCs w:val="21"/>
                    </w:rPr>
                    <w:t>污染物</w:t>
                  </w:r>
                </w:p>
              </w:tc>
              <w:tc>
                <w:tcPr>
                  <w:tcW w:w="1797" w:type="pct"/>
                  <w:tcBorders>
                    <w:top w:val="single" w:color="auto" w:sz="8" w:space="0"/>
                    <w:left w:val="single" w:color="auto" w:sz="4" w:space="0"/>
                    <w:bottom w:val="single" w:color="auto" w:sz="8" w:space="0"/>
                    <w:right w:val="nil"/>
                  </w:tcBorders>
                  <w:vAlign w:val="center"/>
                </w:tcPr>
                <w:p>
                  <w:pPr>
                    <w:adjustRightInd w:val="0"/>
                    <w:snapToGrid w:val="0"/>
                    <w:jc w:val="center"/>
                    <w:textAlignment w:val="baseline"/>
                    <w:rPr>
                      <w:rFonts w:ascii="Times New Roman" w:hAnsi="Times New Roman" w:eastAsia="宋体"/>
                      <w:b/>
                      <w:color w:val="000000" w:themeColor="text1"/>
                      <w:szCs w:val="21"/>
                    </w:rPr>
                  </w:pPr>
                  <w:r>
                    <w:rPr>
                      <w:rFonts w:hint="eastAsia" w:ascii="Times New Roman" w:hAnsi="Times New Roman" w:eastAsia="宋体"/>
                      <w:b/>
                      <w:color w:val="000000" w:themeColor="text1"/>
                      <w:szCs w:val="21"/>
                    </w:rPr>
                    <w:t>检测点位</w:t>
                  </w:r>
                </w:p>
              </w:tc>
              <w:tc>
                <w:tcPr>
                  <w:tcW w:w="1250" w:type="pct"/>
                  <w:tcBorders>
                    <w:top w:val="single" w:color="auto" w:sz="8" w:space="0"/>
                    <w:left w:val="single" w:color="auto" w:sz="4" w:space="0"/>
                    <w:bottom w:val="single" w:color="auto" w:sz="8" w:space="0"/>
                    <w:right w:val="nil"/>
                  </w:tcBorders>
                  <w:vAlign w:val="center"/>
                </w:tcPr>
                <w:p>
                  <w:pPr>
                    <w:adjustRightInd w:val="0"/>
                    <w:snapToGrid w:val="0"/>
                    <w:jc w:val="center"/>
                    <w:textAlignment w:val="baseline"/>
                    <w:rPr>
                      <w:rFonts w:ascii="Times New Roman" w:hAnsi="Times New Roman" w:eastAsia="宋体"/>
                      <w:b/>
                      <w:color w:val="000000" w:themeColor="text1"/>
                      <w:szCs w:val="21"/>
                    </w:rPr>
                  </w:pPr>
                  <w:r>
                    <w:rPr>
                      <w:rFonts w:hint="eastAsia" w:ascii="Times New Roman" w:hAnsi="Times New Roman" w:eastAsia="宋体"/>
                      <w:b/>
                      <w:color w:val="000000" w:themeColor="text1"/>
                      <w:szCs w:val="21"/>
                    </w:rPr>
                    <w:t>污染物浓度（mg/m</w:t>
                  </w:r>
                  <w:r>
                    <w:rPr>
                      <w:rFonts w:hint="eastAsia" w:ascii="Times New Roman" w:hAnsi="Times New Roman" w:eastAsia="宋体"/>
                      <w:b/>
                      <w:color w:val="000000" w:themeColor="text1"/>
                      <w:szCs w:val="21"/>
                      <w:vertAlign w:val="superscript"/>
                    </w:rPr>
                    <w:t>3</w:t>
                  </w:r>
                  <w:r>
                    <w:rPr>
                      <w:rFonts w:hint="eastAsia" w:ascii="Times New Roman" w:hAnsi="Times New Roman" w:eastAsia="宋体"/>
                      <w:b/>
                      <w:color w:val="000000" w:themeColor="text1"/>
                      <w:szCs w:val="21"/>
                    </w:rPr>
                    <w:t>）</w:t>
                  </w:r>
                </w:p>
              </w:tc>
              <w:tc>
                <w:tcPr>
                  <w:tcW w:w="859" w:type="pct"/>
                  <w:tcBorders>
                    <w:top w:val="single" w:color="auto" w:sz="8" w:space="0"/>
                    <w:left w:val="single" w:color="auto" w:sz="4" w:space="0"/>
                    <w:bottom w:val="single" w:color="auto" w:sz="8" w:space="0"/>
                    <w:right w:val="nil"/>
                  </w:tcBorders>
                  <w:vAlign w:val="center"/>
                </w:tcPr>
                <w:p>
                  <w:pPr>
                    <w:adjustRightInd w:val="0"/>
                    <w:snapToGrid w:val="0"/>
                    <w:jc w:val="center"/>
                    <w:textAlignment w:val="baseline"/>
                    <w:rPr>
                      <w:rFonts w:ascii="Times New Roman" w:hAnsi="Times New Roman" w:eastAsia="宋体"/>
                      <w:b/>
                      <w:color w:val="000000" w:themeColor="text1"/>
                      <w:szCs w:val="21"/>
                    </w:rPr>
                  </w:pPr>
                  <w:r>
                    <w:rPr>
                      <w:rFonts w:hint="eastAsia" w:ascii="Times New Roman" w:hAnsi="Times New Roman" w:eastAsia="宋体"/>
                      <w:b/>
                      <w:color w:val="000000" w:themeColor="text1"/>
                      <w:szCs w:val="21"/>
                    </w:rPr>
                    <w:t>检测时间</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tcBorders>
                    <w:top w:val="single" w:color="auto" w:sz="8" w:space="0"/>
                    <w:left w:val="nil"/>
                    <w:right w:val="single" w:color="auto" w:sz="4" w:space="0"/>
                  </w:tcBorders>
                  <w:vAlign w:val="center"/>
                </w:tcPr>
                <w:p>
                  <w:pPr>
                    <w:adjustRightInd w:val="0"/>
                    <w:snapToGrid w:val="0"/>
                    <w:jc w:val="center"/>
                    <w:textAlignment w:val="baseline"/>
                    <w:rPr>
                      <w:rFonts w:ascii="Times New Roman" w:hAnsi="Times New Roman" w:eastAsia="宋体"/>
                      <w:color w:val="000000" w:themeColor="text1"/>
                      <w:szCs w:val="21"/>
                    </w:rPr>
                  </w:pPr>
                  <w:r>
                    <w:rPr>
                      <w:rFonts w:hint="eastAsia" w:ascii="Times New Roman" w:hAnsi="Times New Roman" w:eastAsia="宋体"/>
                      <w:color w:val="000000" w:themeColor="text1"/>
                      <w:szCs w:val="21"/>
                    </w:rPr>
                    <w:t>投料混合工序</w:t>
                  </w:r>
                </w:p>
              </w:tc>
              <w:tc>
                <w:tcPr>
                  <w:tcW w:w="539" w:type="pct"/>
                  <w:tcBorders>
                    <w:top w:val="single" w:color="auto" w:sz="8" w:space="0"/>
                    <w:left w:val="single" w:color="auto" w:sz="4" w:space="0"/>
                    <w:right w:val="single" w:color="auto" w:sz="4" w:space="0"/>
                  </w:tcBorders>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粉尘</w:t>
                  </w:r>
                </w:p>
              </w:tc>
              <w:tc>
                <w:tcPr>
                  <w:tcW w:w="1797" w:type="pct"/>
                  <w:tcBorders>
                    <w:top w:val="single" w:color="auto" w:sz="8" w:space="0"/>
                    <w:left w:val="single" w:color="auto" w:sz="4" w:space="0"/>
                    <w:bottom w:val="single" w:color="auto" w:sz="4" w:space="0"/>
                    <w:right w:val="nil"/>
                  </w:tcBorders>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捏合工序除尘器排气筒</w:t>
                  </w:r>
                </w:p>
              </w:tc>
              <w:tc>
                <w:tcPr>
                  <w:tcW w:w="1250" w:type="pct"/>
                  <w:tcBorders>
                    <w:top w:val="single" w:color="auto" w:sz="8" w:space="0"/>
                    <w:left w:val="single" w:color="auto" w:sz="4" w:space="0"/>
                    <w:bottom w:val="single" w:color="auto" w:sz="4" w:space="0"/>
                    <w:right w:val="nil"/>
                  </w:tcBorders>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7.4</w:t>
                  </w:r>
                </w:p>
              </w:tc>
              <w:tc>
                <w:tcPr>
                  <w:tcW w:w="859" w:type="pct"/>
                  <w:vMerge w:val="restart"/>
                  <w:tcBorders>
                    <w:top w:val="single" w:color="auto" w:sz="8" w:space="0"/>
                    <w:left w:val="single" w:color="auto" w:sz="4" w:space="0"/>
                    <w:right w:val="nil"/>
                  </w:tcBorders>
                  <w:vAlign w:val="center"/>
                </w:tcPr>
                <w:p>
                  <w:pPr>
                    <w:adjustRightInd w:val="0"/>
                    <w:snapToGrid w:val="0"/>
                    <w:jc w:val="center"/>
                    <w:textAlignment w:val="baseline"/>
                    <w:rPr>
                      <w:rFonts w:ascii="Times New Roman" w:hAnsi="Times New Roman" w:eastAsia="宋体"/>
                      <w:b/>
                      <w:color w:val="000000" w:themeColor="text1"/>
                      <w:szCs w:val="21"/>
                    </w:rPr>
                  </w:pPr>
                  <w:r>
                    <w:rPr>
                      <w:rFonts w:hint="eastAsia" w:ascii="Times New Roman" w:hAnsi="Times New Roman" w:eastAsia="宋体"/>
                      <w:color w:val="000000" w:themeColor="text1"/>
                      <w:szCs w:val="21"/>
                    </w:rPr>
                    <w:t>2019.3.20~2019.3.21</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tcBorders>
                    <w:top w:val="single" w:color="auto" w:sz="4" w:space="0"/>
                    <w:left w:val="nil"/>
                    <w:right w:val="single" w:color="auto" w:sz="4" w:space="0"/>
                  </w:tcBorders>
                  <w:vAlign w:val="center"/>
                </w:tcPr>
                <w:p>
                  <w:pPr>
                    <w:adjustRightInd w:val="0"/>
                    <w:snapToGrid w:val="0"/>
                    <w:jc w:val="center"/>
                    <w:textAlignment w:val="baseline"/>
                    <w:rPr>
                      <w:rFonts w:ascii="Times New Roman" w:hAnsi="Times New Roman" w:eastAsia="宋体"/>
                      <w:color w:val="000000" w:themeColor="text1"/>
                      <w:szCs w:val="21"/>
                    </w:rPr>
                  </w:pPr>
                  <w:r>
                    <w:rPr>
                      <w:rFonts w:hint="eastAsia" w:ascii="Times New Roman" w:hAnsi="Times New Roman" w:eastAsia="宋体"/>
                      <w:color w:val="000000" w:themeColor="text1"/>
                      <w:szCs w:val="21"/>
                    </w:rPr>
                    <w:t>捏合工序</w:t>
                  </w:r>
                </w:p>
              </w:tc>
              <w:tc>
                <w:tcPr>
                  <w:tcW w:w="539" w:type="pct"/>
                  <w:tcBorders>
                    <w:top w:val="single" w:color="auto" w:sz="4" w:space="0"/>
                    <w:left w:val="single" w:color="auto" w:sz="4" w:space="0"/>
                    <w:right w:val="single" w:color="auto" w:sz="4" w:space="0"/>
                  </w:tcBorders>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粉尘</w:t>
                  </w:r>
                </w:p>
              </w:tc>
              <w:tc>
                <w:tcPr>
                  <w:tcW w:w="1797" w:type="pct"/>
                  <w:tcBorders>
                    <w:top w:val="single" w:color="auto" w:sz="4" w:space="0"/>
                    <w:left w:val="single" w:color="auto" w:sz="4" w:space="0"/>
                    <w:bottom w:val="single" w:color="auto" w:sz="4" w:space="0"/>
                    <w:right w:val="nil"/>
                  </w:tcBorders>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szCs w:val="21"/>
                    </w:rPr>
                    <w:t>捏合工序除尘器排气筒</w:t>
                  </w:r>
                </w:p>
              </w:tc>
              <w:tc>
                <w:tcPr>
                  <w:tcW w:w="1250" w:type="pct"/>
                  <w:tcBorders>
                    <w:top w:val="single" w:color="auto" w:sz="4" w:space="0"/>
                    <w:left w:val="single" w:color="auto" w:sz="4" w:space="0"/>
                    <w:bottom w:val="single" w:color="auto" w:sz="4" w:space="0"/>
                    <w:right w:val="nil"/>
                  </w:tcBorders>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6.2</w:t>
                  </w:r>
                </w:p>
              </w:tc>
              <w:tc>
                <w:tcPr>
                  <w:tcW w:w="859" w:type="pct"/>
                  <w:vMerge w:val="continue"/>
                  <w:tcBorders>
                    <w:left w:val="single" w:color="auto" w:sz="4" w:space="0"/>
                    <w:right w:val="nil"/>
                  </w:tcBorders>
                  <w:vAlign w:val="center"/>
                </w:tcPr>
                <w:p>
                  <w:pPr>
                    <w:snapToGrid w:val="0"/>
                    <w:rPr>
                      <w:rFonts w:ascii="Times New Roman" w:hAnsi="Times New Roman" w:eastAsia="宋体"/>
                      <w:color w:val="FF0000"/>
                      <w:szCs w:val="21"/>
                    </w:rPr>
                  </w:pP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vMerge w:val="restart"/>
                  <w:tcBorders>
                    <w:top w:val="single" w:color="auto" w:sz="4" w:space="0"/>
                    <w:left w:val="nil"/>
                    <w:right w:val="single" w:color="auto" w:sz="4" w:space="0"/>
                  </w:tcBorders>
                  <w:vAlign w:val="center"/>
                </w:tcPr>
                <w:p>
                  <w:pPr>
                    <w:adjustRightInd w:val="0"/>
                    <w:snapToGrid w:val="0"/>
                    <w:jc w:val="center"/>
                    <w:textAlignment w:val="baseline"/>
                    <w:rPr>
                      <w:rFonts w:ascii="Times New Roman" w:hAnsi="Times New Roman" w:eastAsia="宋体"/>
                      <w:color w:val="000000" w:themeColor="text1"/>
                      <w:szCs w:val="21"/>
                    </w:rPr>
                  </w:pPr>
                  <w:r>
                    <w:rPr>
                      <w:rFonts w:hint="eastAsia" w:ascii="Times New Roman" w:hAnsi="Times New Roman" w:eastAsia="宋体"/>
                      <w:color w:val="000000" w:themeColor="text1"/>
                      <w:szCs w:val="21"/>
                    </w:rPr>
                    <w:t>挤出工序</w:t>
                  </w:r>
                </w:p>
              </w:tc>
              <w:tc>
                <w:tcPr>
                  <w:tcW w:w="539" w:type="pct"/>
                  <w:vMerge w:val="restart"/>
                  <w:tcBorders>
                    <w:top w:val="single" w:color="auto" w:sz="4" w:space="0"/>
                    <w:left w:val="single" w:color="auto" w:sz="4" w:space="0"/>
                    <w:right w:val="single" w:color="auto" w:sz="4" w:space="0"/>
                  </w:tcBorders>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非甲烷总烃</w:t>
                  </w:r>
                </w:p>
              </w:tc>
              <w:tc>
                <w:tcPr>
                  <w:tcW w:w="1797" w:type="pct"/>
                  <w:tcBorders>
                    <w:top w:val="single" w:color="auto" w:sz="4" w:space="0"/>
                    <w:left w:val="single" w:color="auto" w:sz="4" w:space="0"/>
                    <w:bottom w:val="single" w:color="auto" w:sz="4" w:space="0"/>
                    <w:right w:val="nil"/>
                  </w:tcBorders>
                  <w:vAlign w:val="center"/>
                </w:tcPr>
                <w:p>
                  <w:pPr>
                    <w:snapToGrid w:val="0"/>
                    <w:jc w:val="center"/>
                    <w:rPr>
                      <w:rFonts w:ascii="Times New Roman" w:hAnsi="Times New Roman" w:eastAsia="宋体"/>
                      <w:b/>
                      <w:color w:val="000000" w:themeColor="text1"/>
                      <w:szCs w:val="21"/>
                      <w:u w:val="single"/>
                    </w:rPr>
                  </w:pPr>
                  <w:r>
                    <w:rPr>
                      <w:rFonts w:hint="eastAsia" w:ascii="Times New Roman" w:hAnsi="Times New Roman" w:eastAsia="宋体"/>
                      <w:b/>
                      <w:color w:val="000000" w:themeColor="text1"/>
                      <w:szCs w:val="21"/>
                      <w:u w:val="single"/>
                    </w:rPr>
                    <w:t>“</w:t>
                  </w:r>
                  <w:r>
                    <w:rPr>
                      <w:rFonts w:ascii="Times New Roman" w:hAnsi="Times New Roman" w:eastAsia="宋体"/>
                      <w:b/>
                      <w:color w:val="000000" w:themeColor="text1"/>
                      <w:szCs w:val="21"/>
                      <w:u w:val="single"/>
                    </w:rPr>
                    <w:t>UV光催化氧化+活性炭吸附</w:t>
                  </w:r>
                  <w:r>
                    <w:rPr>
                      <w:rFonts w:hint="eastAsia" w:ascii="Times New Roman" w:hAnsi="Times New Roman" w:eastAsia="宋体"/>
                      <w:b/>
                      <w:color w:val="000000" w:themeColor="text1"/>
                      <w:szCs w:val="21"/>
                      <w:u w:val="single"/>
                    </w:rPr>
                    <w:t>+油烟净化器装置”进口</w:t>
                  </w:r>
                  <w:r>
                    <w:rPr>
                      <w:rFonts w:ascii="Times New Roman" w:hAnsi="Times New Roman" w:eastAsia="宋体"/>
                      <w:b/>
                      <w:color w:val="000000" w:themeColor="text1"/>
                      <w:szCs w:val="21"/>
                      <w:u w:val="single"/>
                    </w:rPr>
                    <w:t xml:space="preserve"> </w:t>
                  </w:r>
                </w:p>
              </w:tc>
              <w:tc>
                <w:tcPr>
                  <w:tcW w:w="1250" w:type="pct"/>
                  <w:tcBorders>
                    <w:top w:val="single" w:color="auto" w:sz="4" w:space="0"/>
                    <w:left w:val="single" w:color="auto" w:sz="4" w:space="0"/>
                    <w:bottom w:val="single" w:color="auto" w:sz="4" w:space="0"/>
                    <w:right w:val="nil"/>
                  </w:tcBorders>
                  <w:vAlign w:val="center"/>
                </w:tcPr>
                <w:p>
                  <w:pPr>
                    <w:snapToGrid w:val="0"/>
                    <w:jc w:val="center"/>
                    <w:rPr>
                      <w:rFonts w:ascii="Times New Roman" w:hAnsi="Times New Roman" w:eastAsia="宋体"/>
                      <w:b/>
                      <w:color w:val="000000" w:themeColor="text1"/>
                      <w:szCs w:val="21"/>
                      <w:u w:val="single"/>
                    </w:rPr>
                  </w:pPr>
                  <w:r>
                    <w:rPr>
                      <w:rFonts w:hint="eastAsia" w:ascii="Times New Roman" w:hAnsi="Times New Roman" w:eastAsia="宋体"/>
                      <w:b/>
                      <w:color w:val="000000" w:themeColor="text1"/>
                      <w:szCs w:val="21"/>
                      <w:u w:val="single"/>
                    </w:rPr>
                    <w:t>77.4*</w:t>
                  </w:r>
                </w:p>
              </w:tc>
              <w:tc>
                <w:tcPr>
                  <w:tcW w:w="859" w:type="pct"/>
                  <w:vMerge w:val="continue"/>
                  <w:tcBorders>
                    <w:left w:val="single" w:color="auto" w:sz="4" w:space="0"/>
                    <w:right w:val="nil"/>
                  </w:tcBorders>
                  <w:vAlign w:val="center"/>
                </w:tcPr>
                <w:p>
                  <w:pPr>
                    <w:snapToGrid w:val="0"/>
                    <w:jc w:val="center"/>
                    <w:rPr>
                      <w:rFonts w:ascii="Times New Roman" w:hAnsi="Times New Roman" w:eastAsia="宋体"/>
                      <w:color w:val="FF0000"/>
                      <w:szCs w:val="21"/>
                    </w:rPr>
                  </w:pP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vMerge w:val="continue"/>
                  <w:tcBorders>
                    <w:left w:val="nil"/>
                    <w:right w:val="single" w:color="auto" w:sz="4" w:space="0"/>
                  </w:tcBorders>
                  <w:vAlign w:val="center"/>
                </w:tcPr>
                <w:p>
                  <w:pPr>
                    <w:adjustRightInd w:val="0"/>
                    <w:snapToGrid w:val="0"/>
                    <w:jc w:val="center"/>
                    <w:textAlignment w:val="baseline"/>
                    <w:rPr>
                      <w:rFonts w:ascii="Times New Roman" w:hAnsi="Times New Roman" w:eastAsia="宋体"/>
                      <w:color w:val="000000" w:themeColor="text1"/>
                      <w:szCs w:val="21"/>
                    </w:rPr>
                  </w:pPr>
                </w:p>
              </w:tc>
              <w:tc>
                <w:tcPr>
                  <w:tcW w:w="539" w:type="pct"/>
                  <w:vMerge w:val="continue"/>
                  <w:tcBorders>
                    <w:left w:val="single" w:color="auto" w:sz="4" w:space="0"/>
                    <w:right w:val="single" w:color="auto" w:sz="4" w:space="0"/>
                  </w:tcBorders>
                  <w:vAlign w:val="center"/>
                </w:tcPr>
                <w:p>
                  <w:pPr>
                    <w:snapToGrid w:val="0"/>
                    <w:jc w:val="center"/>
                    <w:rPr>
                      <w:rFonts w:ascii="Times New Roman" w:hAnsi="Times New Roman" w:eastAsia="宋体"/>
                      <w:color w:val="000000" w:themeColor="text1"/>
                      <w:szCs w:val="21"/>
                    </w:rPr>
                  </w:pPr>
                </w:p>
              </w:tc>
              <w:tc>
                <w:tcPr>
                  <w:tcW w:w="1797" w:type="pct"/>
                  <w:tcBorders>
                    <w:top w:val="single" w:color="auto" w:sz="4" w:space="0"/>
                    <w:left w:val="single" w:color="auto" w:sz="4" w:space="0"/>
                    <w:bottom w:val="single" w:color="auto" w:sz="4" w:space="0"/>
                    <w:right w:val="nil"/>
                  </w:tcBorders>
                  <w:vAlign w:val="center"/>
                </w:tcPr>
                <w:p>
                  <w:pPr>
                    <w:snapToGrid w:val="0"/>
                    <w:jc w:val="center"/>
                    <w:rPr>
                      <w:rFonts w:ascii="Times New Roman" w:hAnsi="Times New Roman" w:eastAsia="宋体"/>
                      <w:b/>
                      <w:color w:val="000000" w:themeColor="text1"/>
                      <w:szCs w:val="21"/>
                      <w:u w:val="single"/>
                    </w:rPr>
                  </w:pPr>
                  <w:r>
                    <w:rPr>
                      <w:rFonts w:hint="eastAsia" w:ascii="Times New Roman" w:hAnsi="Times New Roman" w:eastAsia="宋体"/>
                      <w:b/>
                      <w:color w:val="000000" w:themeColor="text1"/>
                      <w:szCs w:val="21"/>
                      <w:u w:val="single"/>
                    </w:rPr>
                    <w:t>“</w:t>
                  </w:r>
                  <w:r>
                    <w:rPr>
                      <w:rFonts w:ascii="Times New Roman" w:hAnsi="Times New Roman" w:eastAsia="宋体"/>
                      <w:b/>
                      <w:color w:val="000000" w:themeColor="text1"/>
                      <w:szCs w:val="21"/>
                      <w:u w:val="single"/>
                    </w:rPr>
                    <w:t>UV光催化氧化+活性炭吸附</w:t>
                  </w:r>
                  <w:r>
                    <w:rPr>
                      <w:rFonts w:hint="eastAsia" w:ascii="Times New Roman" w:hAnsi="Times New Roman" w:eastAsia="宋体"/>
                      <w:b/>
                      <w:color w:val="000000" w:themeColor="text1"/>
                      <w:szCs w:val="21"/>
                      <w:u w:val="single"/>
                    </w:rPr>
                    <w:t>+油烟净化器装置”出口</w:t>
                  </w:r>
                </w:p>
              </w:tc>
              <w:tc>
                <w:tcPr>
                  <w:tcW w:w="1250" w:type="pct"/>
                  <w:tcBorders>
                    <w:top w:val="single" w:color="auto" w:sz="4" w:space="0"/>
                    <w:left w:val="single" w:color="auto" w:sz="4" w:space="0"/>
                    <w:bottom w:val="single" w:color="auto" w:sz="4" w:space="0"/>
                    <w:right w:val="nil"/>
                  </w:tcBorders>
                  <w:vAlign w:val="center"/>
                </w:tcPr>
                <w:p>
                  <w:pPr>
                    <w:snapToGrid w:val="0"/>
                    <w:jc w:val="center"/>
                    <w:rPr>
                      <w:rFonts w:ascii="Times New Roman" w:hAnsi="Times New Roman" w:eastAsia="宋体"/>
                      <w:b/>
                      <w:color w:val="000000" w:themeColor="text1"/>
                      <w:szCs w:val="21"/>
                      <w:u w:val="single"/>
                    </w:rPr>
                  </w:pPr>
                  <w:r>
                    <w:rPr>
                      <w:rFonts w:hint="eastAsia" w:ascii="Times New Roman" w:hAnsi="Times New Roman" w:eastAsia="宋体"/>
                      <w:b/>
                      <w:color w:val="000000" w:themeColor="text1"/>
                      <w:szCs w:val="21"/>
                      <w:u w:val="single"/>
                    </w:rPr>
                    <w:t>0.9*</w:t>
                  </w:r>
                </w:p>
              </w:tc>
              <w:tc>
                <w:tcPr>
                  <w:tcW w:w="859" w:type="pct"/>
                  <w:vMerge w:val="continue"/>
                  <w:tcBorders>
                    <w:left w:val="single" w:color="auto" w:sz="4" w:space="0"/>
                    <w:right w:val="nil"/>
                  </w:tcBorders>
                  <w:vAlign w:val="center"/>
                </w:tcPr>
                <w:p>
                  <w:pPr>
                    <w:snapToGrid w:val="0"/>
                    <w:jc w:val="center"/>
                    <w:rPr>
                      <w:rFonts w:ascii="Times New Roman" w:hAnsi="Times New Roman" w:eastAsia="宋体"/>
                      <w:color w:val="FF0000"/>
                      <w:szCs w:val="21"/>
                    </w:rPr>
                  </w:pP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vMerge w:val="continue"/>
                  <w:tcBorders>
                    <w:left w:val="nil"/>
                    <w:right w:val="single" w:color="auto" w:sz="4" w:space="0"/>
                  </w:tcBorders>
                  <w:vAlign w:val="center"/>
                </w:tcPr>
                <w:p>
                  <w:pPr>
                    <w:adjustRightInd w:val="0"/>
                    <w:snapToGrid w:val="0"/>
                    <w:jc w:val="center"/>
                    <w:textAlignment w:val="baseline"/>
                    <w:rPr>
                      <w:rFonts w:ascii="Times New Roman" w:hAnsi="Times New Roman" w:eastAsia="宋体"/>
                      <w:color w:val="000000" w:themeColor="text1"/>
                      <w:szCs w:val="21"/>
                    </w:rPr>
                  </w:pPr>
                </w:p>
              </w:tc>
              <w:tc>
                <w:tcPr>
                  <w:tcW w:w="539" w:type="pct"/>
                  <w:vMerge w:val="continue"/>
                  <w:tcBorders>
                    <w:left w:val="single" w:color="auto" w:sz="4" w:space="0"/>
                    <w:bottom w:val="single" w:color="auto" w:sz="4" w:space="0"/>
                    <w:right w:val="single" w:color="auto" w:sz="4" w:space="0"/>
                  </w:tcBorders>
                  <w:vAlign w:val="center"/>
                </w:tcPr>
                <w:p>
                  <w:pPr>
                    <w:snapToGrid w:val="0"/>
                    <w:jc w:val="center"/>
                    <w:rPr>
                      <w:rFonts w:ascii="Times New Roman" w:hAnsi="Times New Roman" w:eastAsia="宋体"/>
                      <w:color w:val="000000" w:themeColor="text1"/>
                      <w:szCs w:val="21"/>
                    </w:rPr>
                  </w:pPr>
                </w:p>
              </w:tc>
              <w:tc>
                <w:tcPr>
                  <w:tcW w:w="1797" w:type="pct"/>
                  <w:tcBorders>
                    <w:top w:val="single" w:color="auto" w:sz="4" w:space="0"/>
                    <w:left w:val="single" w:color="auto" w:sz="4" w:space="0"/>
                    <w:bottom w:val="single" w:color="auto" w:sz="4" w:space="0"/>
                    <w:right w:val="nil"/>
                  </w:tcBorders>
                  <w:vAlign w:val="center"/>
                </w:tcPr>
                <w:p>
                  <w:pPr>
                    <w:snapToGrid w:val="0"/>
                    <w:jc w:val="center"/>
                    <w:rPr>
                      <w:rFonts w:ascii="Times New Roman" w:hAnsi="Times New Roman" w:eastAsia="宋体"/>
                      <w:b/>
                      <w:color w:val="000000" w:themeColor="text1"/>
                      <w:szCs w:val="21"/>
                      <w:u w:val="single"/>
                    </w:rPr>
                  </w:pPr>
                  <w:r>
                    <w:rPr>
                      <w:rFonts w:hint="eastAsia" w:ascii="Times New Roman" w:hAnsi="Times New Roman" w:eastAsia="宋体"/>
                      <w:b/>
                      <w:color w:val="000000" w:themeColor="text1"/>
                      <w:szCs w:val="21"/>
                      <w:u w:val="single"/>
                    </w:rPr>
                    <w:t>非甲烷总烃处理效率</w:t>
                  </w:r>
                </w:p>
              </w:tc>
              <w:tc>
                <w:tcPr>
                  <w:tcW w:w="1250" w:type="pct"/>
                  <w:tcBorders>
                    <w:top w:val="single" w:color="auto" w:sz="4" w:space="0"/>
                    <w:left w:val="single" w:color="auto" w:sz="4" w:space="0"/>
                    <w:bottom w:val="single" w:color="auto" w:sz="4" w:space="0"/>
                    <w:right w:val="nil"/>
                  </w:tcBorders>
                  <w:vAlign w:val="center"/>
                </w:tcPr>
                <w:p>
                  <w:pPr>
                    <w:snapToGrid w:val="0"/>
                    <w:jc w:val="center"/>
                    <w:rPr>
                      <w:rFonts w:ascii="Times New Roman" w:hAnsi="Times New Roman" w:eastAsia="宋体"/>
                      <w:b/>
                      <w:color w:val="000000" w:themeColor="text1"/>
                      <w:szCs w:val="21"/>
                      <w:u w:val="single"/>
                    </w:rPr>
                  </w:pPr>
                  <w:r>
                    <w:rPr>
                      <w:rFonts w:hint="eastAsia" w:ascii="Times New Roman" w:hAnsi="Times New Roman" w:eastAsia="宋体"/>
                      <w:b/>
                      <w:color w:val="000000" w:themeColor="text1"/>
                      <w:szCs w:val="21"/>
                      <w:u w:val="single"/>
                    </w:rPr>
                    <w:t>98.8%</w:t>
                  </w:r>
                </w:p>
              </w:tc>
              <w:tc>
                <w:tcPr>
                  <w:tcW w:w="859" w:type="pct"/>
                  <w:vMerge w:val="continue"/>
                  <w:tcBorders>
                    <w:left w:val="single" w:color="auto" w:sz="4" w:space="0"/>
                    <w:right w:val="nil"/>
                  </w:tcBorders>
                  <w:vAlign w:val="center"/>
                </w:tcPr>
                <w:p>
                  <w:pPr>
                    <w:snapToGrid w:val="0"/>
                    <w:jc w:val="center"/>
                    <w:rPr>
                      <w:rFonts w:ascii="Times New Roman" w:hAnsi="Times New Roman" w:eastAsia="宋体"/>
                      <w:color w:val="FF0000"/>
                      <w:szCs w:val="21"/>
                    </w:rPr>
                  </w:pP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vMerge w:val="continue"/>
                  <w:tcBorders>
                    <w:left w:val="nil"/>
                    <w:right w:val="single" w:color="auto" w:sz="4" w:space="0"/>
                  </w:tcBorders>
                  <w:vAlign w:val="center"/>
                </w:tcPr>
                <w:p>
                  <w:pPr>
                    <w:adjustRightInd w:val="0"/>
                    <w:snapToGrid w:val="0"/>
                    <w:jc w:val="center"/>
                    <w:textAlignment w:val="baseline"/>
                    <w:rPr>
                      <w:rFonts w:ascii="Times New Roman" w:hAnsi="Times New Roman" w:eastAsia="宋体"/>
                      <w:color w:val="FF0000"/>
                      <w:szCs w:val="21"/>
                    </w:rPr>
                  </w:pPr>
                </w:p>
              </w:tc>
              <w:tc>
                <w:tcPr>
                  <w:tcW w:w="539"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氯乙烯</w:t>
                  </w:r>
                </w:p>
              </w:tc>
              <w:tc>
                <w:tcPr>
                  <w:tcW w:w="1797" w:type="pct"/>
                  <w:vMerge w:val="restart"/>
                  <w:tcBorders>
                    <w:top w:val="single" w:color="auto" w:sz="4" w:space="0"/>
                    <w:left w:val="single" w:color="auto" w:sz="4" w:space="0"/>
                    <w:right w:val="nil"/>
                  </w:tcBorders>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w:t>
                  </w:r>
                  <w:r>
                    <w:rPr>
                      <w:rFonts w:ascii="Times New Roman" w:hAnsi="Times New Roman" w:eastAsia="宋体"/>
                      <w:color w:val="000000" w:themeColor="text1"/>
                      <w:szCs w:val="21"/>
                    </w:rPr>
                    <w:t>UV 光催化氧化+活性炭吸附</w:t>
                  </w:r>
                  <w:r>
                    <w:rPr>
                      <w:rFonts w:hint="eastAsia" w:ascii="Times New Roman" w:hAnsi="Times New Roman" w:eastAsia="宋体"/>
                      <w:color w:val="000000" w:themeColor="text1"/>
                      <w:szCs w:val="21"/>
                    </w:rPr>
                    <w:t>+油烟净化器装置”排气筒</w:t>
                  </w:r>
                </w:p>
              </w:tc>
              <w:tc>
                <w:tcPr>
                  <w:tcW w:w="1250" w:type="pct"/>
                  <w:tcBorders>
                    <w:top w:val="single" w:color="auto" w:sz="4" w:space="0"/>
                    <w:left w:val="single" w:color="auto" w:sz="4" w:space="0"/>
                    <w:bottom w:val="single" w:color="auto" w:sz="4" w:space="0"/>
                    <w:right w:val="nil"/>
                  </w:tcBorders>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1.27</w:t>
                  </w:r>
                </w:p>
              </w:tc>
              <w:tc>
                <w:tcPr>
                  <w:tcW w:w="859" w:type="pct"/>
                  <w:vMerge w:val="restart"/>
                  <w:tcBorders>
                    <w:left w:val="single" w:color="auto" w:sz="4" w:space="0"/>
                    <w:right w:val="nil"/>
                  </w:tcBorders>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2019.4.28~2019.4.29</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vMerge w:val="continue"/>
                  <w:tcBorders>
                    <w:left w:val="nil"/>
                    <w:bottom w:val="single" w:color="auto" w:sz="8" w:space="0"/>
                    <w:right w:val="single" w:color="auto" w:sz="4" w:space="0"/>
                  </w:tcBorders>
                  <w:vAlign w:val="center"/>
                </w:tcPr>
                <w:p>
                  <w:pPr>
                    <w:adjustRightInd w:val="0"/>
                    <w:snapToGrid w:val="0"/>
                    <w:jc w:val="center"/>
                    <w:textAlignment w:val="baseline"/>
                    <w:rPr>
                      <w:rFonts w:ascii="Times New Roman" w:hAnsi="Times New Roman" w:eastAsia="宋体"/>
                      <w:color w:val="FF0000"/>
                      <w:szCs w:val="21"/>
                    </w:rPr>
                  </w:pPr>
                </w:p>
              </w:tc>
              <w:tc>
                <w:tcPr>
                  <w:tcW w:w="539" w:type="pct"/>
                  <w:tcBorders>
                    <w:top w:val="single" w:color="auto" w:sz="4" w:space="0"/>
                    <w:left w:val="single" w:color="auto" w:sz="4" w:space="0"/>
                    <w:bottom w:val="single" w:color="auto" w:sz="8" w:space="0"/>
                    <w:right w:val="single" w:color="auto" w:sz="4" w:space="0"/>
                  </w:tcBorders>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氯化氢</w:t>
                  </w:r>
                </w:p>
              </w:tc>
              <w:tc>
                <w:tcPr>
                  <w:tcW w:w="1797" w:type="pct"/>
                  <w:vMerge w:val="continue"/>
                  <w:tcBorders>
                    <w:left w:val="single" w:color="auto" w:sz="4" w:space="0"/>
                    <w:bottom w:val="single" w:color="auto" w:sz="8" w:space="0"/>
                    <w:right w:val="nil"/>
                  </w:tcBorders>
                  <w:vAlign w:val="center"/>
                </w:tcPr>
                <w:p>
                  <w:pPr>
                    <w:snapToGrid w:val="0"/>
                    <w:jc w:val="center"/>
                    <w:rPr>
                      <w:rFonts w:ascii="Times New Roman" w:hAnsi="Times New Roman" w:eastAsia="宋体"/>
                      <w:color w:val="000000" w:themeColor="text1"/>
                      <w:szCs w:val="21"/>
                    </w:rPr>
                  </w:pPr>
                </w:p>
              </w:tc>
              <w:tc>
                <w:tcPr>
                  <w:tcW w:w="1250" w:type="pct"/>
                  <w:tcBorders>
                    <w:top w:val="single" w:color="auto" w:sz="4" w:space="0"/>
                    <w:left w:val="single" w:color="auto" w:sz="4" w:space="0"/>
                    <w:bottom w:val="single" w:color="auto" w:sz="8" w:space="0"/>
                    <w:right w:val="nil"/>
                  </w:tcBorders>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18.7</w:t>
                  </w:r>
                </w:p>
              </w:tc>
              <w:tc>
                <w:tcPr>
                  <w:tcW w:w="859" w:type="pct"/>
                  <w:vMerge w:val="continue"/>
                  <w:tcBorders>
                    <w:left w:val="single" w:color="auto" w:sz="4" w:space="0"/>
                    <w:bottom w:val="single" w:color="auto" w:sz="8" w:space="0"/>
                    <w:right w:val="nil"/>
                  </w:tcBorders>
                  <w:vAlign w:val="center"/>
                </w:tcPr>
                <w:p>
                  <w:pPr>
                    <w:snapToGrid w:val="0"/>
                    <w:jc w:val="center"/>
                    <w:rPr>
                      <w:rFonts w:ascii="Times New Roman" w:hAnsi="Times New Roman" w:eastAsia="宋体"/>
                      <w:color w:val="FF0000"/>
                      <w:szCs w:val="21"/>
                    </w:rPr>
                  </w:pPr>
                </w:p>
              </w:tc>
            </w:tr>
          </w:tbl>
          <w:p>
            <w:pPr>
              <w:adjustRightInd w:val="0"/>
              <w:snapToGrid w:val="0"/>
              <w:ind w:firstLine="422" w:firstLineChars="200"/>
              <w:rPr>
                <w:rFonts w:ascii="Times New Roman" w:hAnsi="Times New Roman" w:eastAsia="宋体"/>
                <w:b/>
                <w:color w:val="000000" w:themeColor="text1"/>
                <w:szCs w:val="21"/>
                <w:u w:val="single"/>
              </w:rPr>
            </w:pPr>
            <w:r>
              <w:rPr>
                <w:rFonts w:hint="eastAsia" w:ascii="Times New Roman" w:hAnsi="Times New Roman" w:eastAsia="宋体"/>
                <w:b/>
                <w:color w:val="000000" w:themeColor="text1"/>
                <w:szCs w:val="21"/>
                <w:u w:val="single"/>
              </w:rPr>
              <w:t>*注： “</w:t>
            </w:r>
            <w:r>
              <w:rPr>
                <w:rFonts w:ascii="Times New Roman" w:hAnsi="Times New Roman" w:eastAsia="宋体"/>
                <w:b/>
                <w:color w:val="000000" w:themeColor="text1"/>
                <w:szCs w:val="21"/>
                <w:u w:val="single"/>
              </w:rPr>
              <w:t>UV光催化氧化+活性炭吸附</w:t>
            </w:r>
            <w:r>
              <w:rPr>
                <w:rFonts w:hint="eastAsia" w:ascii="Times New Roman" w:hAnsi="Times New Roman" w:eastAsia="宋体"/>
                <w:b/>
                <w:color w:val="000000" w:themeColor="text1"/>
                <w:szCs w:val="21"/>
                <w:u w:val="single"/>
              </w:rPr>
              <w:t>+油烟净化器装置”出口的非甲烷总烃浓度引用</w:t>
            </w:r>
            <w:r>
              <w:rPr>
                <w:rFonts w:ascii="Times New Roman" w:hAnsi="Times New Roman" w:eastAsia="宋体"/>
                <w:b/>
                <w:color w:val="000000" w:themeColor="text1"/>
                <w:szCs w:val="21"/>
                <w:u w:val="single"/>
              </w:rPr>
              <w:t>VOCs</w:t>
            </w:r>
            <w:r>
              <w:rPr>
                <w:rFonts w:hint="eastAsia" w:ascii="Times New Roman" w:eastAsia="宋体"/>
                <w:b/>
                <w:color w:val="000000" w:themeColor="text1"/>
                <w:szCs w:val="21"/>
                <w:u w:val="single"/>
              </w:rPr>
              <w:t>在线监测数据。</w:t>
            </w:r>
          </w:p>
          <w:p>
            <w:pPr>
              <w:adjustRightInd w:val="0"/>
              <w:snapToGrid w:val="0"/>
              <w:spacing w:line="440" w:lineRule="exact"/>
              <w:ind w:firstLine="480" w:firstLineChars="200"/>
              <w:rPr>
                <w:rFonts w:ascii="Times New Roman" w:eastAsia="宋体"/>
                <w:color w:val="000000" w:themeColor="text1"/>
                <w:sz w:val="24"/>
              </w:rPr>
            </w:pPr>
            <w:r>
              <w:rPr>
                <w:rFonts w:ascii="Times New Roman" w:hAnsi="Times New Roman" w:eastAsia="宋体"/>
                <w:color w:val="000000" w:themeColor="text1"/>
                <w:sz w:val="24"/>
              </w:rPr>
              <w:t>由上表可知，</w:t>
            </w:r>
            <w:r>
              <w:rPr>
                <w:rFonts w:hint="eastAsia" w:ascii="Times New Roman" w:hAnsi="Times New Roman" w:eastAsia="宋体"/>
                <w:color w:val="000000" w:themeColor="text1"/>
                <w:sz w:val="24"/>
              </w:rPr>
              <w:t>投料混合工序和捏合工序有组织粉尘的排放浓度能够满足</w:t>
            </w:r>
            <w:r>
              <w:rPr>
                <w:rFonts w:hint="eastAsia" w:ascii="Times New Roman" w:hAnsi="Times New Roman" w:eastAsia="宋体"/>
                <w:b/>
                <w:color w:val="000000" w:themeColor="text1"/>
                <w:sz w:val="24"/>
                <w:u w:val="single"/>
              </w:rPr>
              <w:t>《新乡市生态环境局关于进一步规范工业企业颗粒物排放限值的通知》</w:t>
            </w:r>
            <w:r>
              <w:rPr>
                <w:rFonts w:ascii="Times New Roman" w:hAnsi="Times New Roman" w:eastAsia="宋体"/>
                <w:b/>
                <w:color w:val="000000" w:themeColor="text1"/>
                <w:sz w:val="24"/>
                <w:u w:val="single"/>
              </w:rPr>
              <w:t>（其它所有涉气工业企业排放口颗粒物排放浓度不高于10mg/m</w:t>
            </w:r>
            <w:r>
              <w:rPr>
                <w:rFonts w:ascii="Times New Roman" w:hAnsi="Times New Roman" w:eastAsia="宋体"/>
                <w:b/>
                <w:color w:val="000000" w:themeColor="text1"/>
                <w:sz w:val="24"/>
                <w:u w:val="single"/>
                <w:vertAlign w:val="superscript"/>
              </w:rPr>
              <w:t>3</w:t>
            </w:r>
            <w:r>
              <w:rPr>
                <w:rFonts w:ascii="Times New Roman" w:hAnsi="Times New Roman" w:eastAsia="宋体"/>
                <w:b/>
                <w:color w:val="000000" w:themeColor="text1"/>
                <w:sz w:val="24"/>
                <w:u w:val="single"/>
              </w:rPr>
              <w:t>）</w:t>
            </w:r>
            <w:r>
              <w:rPr>
                <w:rFonts w:hint="eastAsia" w:ascii="Times New Roman" w:hAnsi="Times New Roman" w:eastAsia="宋体"/>
                <w:b/>
                <w:color w:val="000000" w:themeColor="text1"/>
                <w:sz w:val="24"/>
                <w:u w:val="single"/>
              </w:rPr>
              <w:t>。</w:t>
            </w:r>
            <w:r>
              <w:rPr>
                <w:rFonts w:hint="eastAsia" w:ascii="Times New Roman" w:hAnsi="Times New Roman" w:eastAsia="宋体"/>
                <w:color w:val="000000" w:themeColor="text1"/>
                <w:sz w:val="24"/>
              </w:rPr>
              <w:t>挤出工序有机废气的排放浓度</w:t>
            </w:r>
            <w:r>
              <w:rPr>
                <w:rFonts w:hint="eastAsia" w:ascii="Times New Roman" w:eastAsia="宋体"/>
                <w:color w:val="000000" w:themeColor="text1"/>
                <w:sz w:val="24"/>
              </w:rPr>
              <w:t>能够满足</w:t>
            </w:r>
            <w:r>
              <w:rPr>
                <w:rFonts w:hint="eastAsia" w:ascii="Times New Roman" w:eastAsia="宋体"/>
                <w:b/>
                <w:color w:val="000000" w:themeColor="text1"/>
                <w:sz w:val="24"/>
                <w:u w:val="single"/>
              </w:rPr>
              <w:t>《关于全省开展工业企业挥发性有机物专项治理工作中排放建议值的通知》（豫环攻坚办</w:t>
            </w:r>
            <w:r>
              <w:rPr>
                <w:rFonts w:hint="eastAsia" w:ascii="Times New Roman" w:hAnsi="Times New Roman" w:eastAsia="宋体"/>
                <w:b/>
                <w:color w:val="000000" w:themeColor="text1"/>
                <w:sz w:val="24"/>
                <w:u w:val="single"/>
              </w:rPr>
              <w:t>[2017]162</w:t>
            </w:r>
            <w:r>
              <w:rPr>
                <w:rFonts w:hint="eastAsia" w:ascii="Times New Roman" w:eastAsia="宋体"/>
                <w:b/>
                <w:color w:val="000000" w:themeColor="text1"/>
                <w:sz w:val="24"/>
                <w:u w:val="single"/>
              </w:rPr>
              <w:t>号文）中工业企业挥发性有机物排放口非甲烷总烃排放建议值（有机废气排放口</w:t>
            </w:r>
            <w:r>
              <w:rPr>
                <w:rFonts w:hint="eastAsia" w:ascii="Times New Roman" w:hAnsi="Times New Roman" w:eastAsia="宋体"/>
                <w:b/>
                <w:color w:val="000000" w:themeColor="text1"/>
                <w:sz w:val="24"/>
                <w:u w:val="single"/>
              </w:rPr>
              <w:t>80mg/m</w:t>
            </w:r>
            <w:r>
              <w:rPr>
                <w:rFonts w:hint="eastAsia" w:ascii="Times New Roman" w:hAnsi="Times New Roman" w:eastAsia="宋体"/>
                <w:b/>
                <w:color w:val="000000" w:themeColor="text1"/>
                <w:sz w:val="24"/>
                <w:u w:val="single"/>
                <w:vertAlign w:val="superscript"/>
              </w:rPr>
              <w:t>3</w:t>
            </w:r>
            <w:r>
              <w:rPr>
                <w:rFonts w:hint="eastAsia" w:ascii="Times New Roman" w:eastAsia="宋体"/>
                <w:b/>
                <w:color w:val="000000" w:themeColor="text1"/>
                <w:sz w:val="24"/>
                <w:u w:val="single"/>
              </w:rPr>
              <w:t>）和《烧碱、聚氯乙烯工业污染物排放标准》</w:t>
            </w:r>
            <w:r>
              <w:rPr>
                <w:rFonts w:ascii="Times New Roman" w:eastAsia="宋体"/>
                <w:b/>
                <w:color w:val="000000" w:themeColor="text1"/>
                <w:sz w:val="24"/>
                <w:u w:val="single"/>
              </w:rPr>
              <w:t>（</w:t>
            </w:r>
            <w:r>
              <w:rPr>
                <w:rFonts w:ascii="Times New Roman" w:hAnsi="Times New Roman" w:eastAsia="宋体"/>
                <w:b/>
                <w:color w:val="000000" w:themeColor="text1"/>
                <w:sz w:val="24"/>
                <w:u w:val="single"/>
              </w:rPr>
              <w:t>GB</w:t>
            </w:r>
            <w:r>
              <w:rPr>
                <w:rFonts w:hint="eastAsia" w:ascii="Times New Roman" w:hAnsi="Times New Roman" w:eastAsia="宋体"/>
                <w:b/>
                <w:color w:val="000000" w:themeColor="text1"/>
                <w:sz w:val="24"/>
                <w:u w:val="single"/>
              </w:rPr>
              <w:t>15581</w:t>
            </w:r>
            <w:r>
              <w:rPr>
                <w:rFonts w:ascii="Times New Roman" w:hAnsi="Times New Roman" w:eastAsia="宋体"/>
                <w:b/>
                <w:color w:val="000000" w:themeColor="text1"/>
                <w:sz w:val="24"/>
                <w:u w:val="single"/>
              </w:rPr>
              <w:t>-</w:t>
            </w:r>
            <w:r>
              <w:rPr>
                <w:rFonts w:hint="eastAsia" w:ascii="Times New Roman" w:hAnsi="Times New Roman" w:eastAsia="宋体"/>
                <w:b/>
                <w:color w:val="000000" w:themeColor="text1"/>
                <w:sz w:val="24"/>
                <w:u w:val="single"/>
              </w:rPr>
              <w:t>2016</w:t>
            </w:r>
            <w:r>
              <w:rPr>
                <w:rFonts w:ascii="Times New Roman" w:eastAsia="宋体"/>
                <w:b/>
                <w:color w:val="000000" w:themeColor="text1"/>
                <w:sz w:val="24"/>
                <w:u w:val="single"/>
              </w:rPr>
              <w:t>）表</w:t>
            </w:r>
            <w:r>
              <w:rPr>
                <w:rFonts w:hint="eastAsia" w:ascii="Times New Roman" w:hAnsi="Times New Roman" w:eastAsia="宋体"/>
                <w:b/>
                <w:color w:val="000000" w:themeColor="text1"/>
                <w:sz w:val="24"/>
                <w:u w:val="single"/>
              </w:rPr>
              <w:t>4</w:t>
            </w:r>
            <w:r>
              <w:rPr>
                <w:rFonts w:hint="eastAsia" w:ascii="Times New Roman" w:eastAsia="宋体"/>
                <w:b/>
                <w:color w:val="000000" w:themeColor="text1"/>
                <w:sz w:val="24"/>
                <w:u w:val="single"/>
              </w:rPr>
              <w:t>标准（非甲烷总烃</w:t>
            </w:r>
            <w:r>
              <w:rPr>
                <w:rFonts w:hint="eastAsia" w:ascii="Times New Roman" w:eastAsia="宋体"/>
                <w:b/>
                <w:bCs/>
                <w:color w:val="000000" w:themeColor="text1"/>
                <w:sz w:val="24"/>
                <w:u w:val="single"/>
              </w:rPr>
              <w:t>排放限值</w:t>
            </w:r>
            <w:r>
              <w:rPr>
                <w:rFonts w:hint="eastAsia" w:ascii="Times New Roman" w:hAnsi="Times New Roman" w:eastAsia="宋体"/>
                <w:b/>
                <w:bCs/>
                <w:color w:val="000000" w:themeColor="text1"/>
                <w:sz w:val="24"/>
                <w:u w:val="single"/>
              </w:rPr>
              <w:t>20</w:t>
            </w:r>
            <w:r>
              <w:rPr>
                <w:rFonts w:ascii="Times New Roman" w:hAnsi="Times New Roman" w:eastAsia="宋体"/>
                <w:b/>
                <w:bCs/>
                <w:color w:val="000000" w:themeColor="text1"/>
                <w:sz w:val="24"/>
                <w:u w:val="single"/>
              </w:rPr>
              <w:t>mg/m</w:t>
            </w:r>
            <w:r>
              <w:rPr>
                <w:rFonts w:ascii="Times New Roman" w:hAnsi="Times New Roman" w:eastAsia="宋体"/>
                <w:b/>
                <w:bCs/>
                <w:color w:val="000000" w:themeColor="text1"/>
                <w:sz w:val="24"/>
                <w:u w:val="single"/>
                <w:vertAlign w:val="superscript"/>
              </w:rPr>
              <w:t>3</w:t>
            </w:r>
            <w:r>
              <w:rPr>
                <w:rFonts w:hint="eastAsia" w:ascii="Times New Roman" w:eastAsia="宋体"/>
                <w:b/>
                <w:bCs/>
                <w:color w:val="000000" w:themeColor="text1"/>
                <w:sz w:val="24"/>
                <w:u w:val="single"/>
              </w:rPr>
              <w:t>；</w:t>
            </w:r>
            <w:r>
              <w:rPr>
                <w:rFonts w:hint="eastAsia" w:ascii="Times New Roman" w:eastAsia="宋体"/>
                <w:b/>
                <w:color w:val="000000" w:themeColor="text1"/>
                <w:sz w:val="24"/>
                <w:u w:val="single"/>
              </w:rPr>
              <w:t>氯乙烯</w:t>
            </w:r>
            <w:r>
              <w:rPr>
                <w:rFonts w:hint="eastAsia" w:ascii="Times New Roman" w:eastAsia="宋体"/>
                <w:b/>
                <w:bCs/>
                <w:color w:val="000000" w:themeColor="text1"/>
                <w:sz w:val="24"/>
                <w:u w:val="single"/>
              </w:rPr>
              <w:t>排放限值</w:t>
            </w:r>
            <w:r>
              <w:rPr>
                <w:rFonts w:hint="eastAsia" w:ascii="Times New Roman" w:hAnsi="Times New Roman" w:eastAsia="宋体"/>
                <w:b/>
                <w:bCs/>
                <w:color w:val="000000" w:themeColor="text1"/>
                <w:sz w:val="24"/>
                <w:u w:val="single"/>
              </w:rPr>
              <w:t>10</w:t>
            </w:r>
            <w:r>
              <w:rPr>
                <w:rFonts w:ascii="Times New Roman" w:hAnsi="Times New Roman" w:eastAsia="宋体"/>
                <w:b/>
                <w:bCs/>
                <w:color w:val="000000" w:themeColor="text1"/>
                <w:sz w:val="24"/>
                <w:u w:val="single"/>
              </w:rPr>
              <w:t>mg/m</w:t>
            </w:r>
            <w:r>
              <w:rPr>
                <w:rFonts w:ascii="Times New Roman" w:hAnsi="Times New Roman" w:eastAsia="宋体"/>
                <w:b/>
                <w:bCs/>
                <w:color w:val="000000" w:themeColor="text1"/>
                <w:sz w:val="24"/>
                <w:u w:val="single"/>
                <w:vertAlign w:val="superscript"/>
              </w:rPr>
              <w:t>3</w:t>
            </w:r>
            <w:r>
              <w:rPr>
                <w:rFonts w:hint="eastAsia" w:ascii="Times New Roman" w:eastAsia="宋体"/>
                <w:b/>
                <w:bCs/>
                <w:color w:val="000000" w:themeColor="text1"/>
                <w:sz w:val="24"/>
                <w:u w:val="single"/>
              </w:rPr>
              <w:t>；</w:t>
            </w:r>
            <w:r>
              <w:rPr>
                <w:rFonts w:ascii="Times New Roman" w:hAnsi="Times New Roman" w:eastAsia="宋体"/>
                <w:b/>
                <w:color w:val="000000" w:themeColor="text1"/>
                <w:sz w:val="24"/>
                <w:u w:val="single"/>
              </w:rPr>
              <w:t>HCl</w:t>
            </w:r>
            <w:r>
              <w:rPr>
                <w:rFonts w:hint="eastAsia" w:ascii="Times New Roman" w:eastAsia="宋体"/>
                <w:b/>
                <w:bCs/>
                <w:color w:val="000000" w:themeColor="text1"/>
                <w:sz w:val="24"/>
                <w:u w:val="single"/>
              </w:rPr>
              <w:t>排放限值</w:t>
            </w:r>
            <w:r>
              <w:rPr>
                <w:rFonts w:hint="eastAsia" w:ascii="Times New Roman" w:hAnsi="Times New Roman" w:eastAsia="宋体"/>
                <w:b/>
                <w:bCs/>
                <w:color w:val="000000" w:themeColor="text1"/>
                <w:sz w:val="24"/>
                <w:u w:val="single"/>
              </w:rPr>
              <w:t>20</w:t>
            </w:r>
            <w:r>
              <w:rPr>
                <w:rFonts w:ascii="Times New Roman" w:hAnsi="Times New Roman" w:eastAsia="宋体"/>
                <w:b/>
                <w:bCs/>
                <w:color w:val="000000" w:themeColor="text1"/>
                <w:sz w:val="24"/>
                <w:u w:val="single"/>
              </w:rPr>
              <w:t>mg/m</w:t>
            </w:r>
            <w:r>
              <w:rPr>
                <w:rFonts w:ascii="Times New Roman" w:hAnsi="Times New Roman" w:eastAsia="宋体"/>
                <w:b/>
                <w:bCs/>
                <w:color w:val="000000" w:themeColor="text1"/>
                <w:sz w:val="24"/>
                <w:u w:val="single"/>
                <w:vertAlign w:val="superscript"/>
              </w:rPr>
              <w:t>3</w:t>
            </w:r>
            <w:r>
              <w:rPr>
                <w:rFonts w:hint="eastAsia" w:ascii="Times New Roman" w:eastAsia="宋体"/>
                <w:b/>
                <w:color w:val="000000" w:themeColor="text1"/>
                <w:sz w:val="24"/>
                <w:u w:val="single"/>
              </w:rPr>
              <w:t>）的要求</w:t>
            </w:r>
            <w:r>
              <w:rPr>
                <w:rFonts w:hint="eastAsia" w:ascii="Times New Roman" w:eastAsia="宋体"/>
                <w:color w:val="000000" w:themeColor="text1"/>
                <w:sz w:val="24"/>
                <w:u w:val="single"/>
              </w:rPr>
              <w:t>。</w:t>
            </w:r>
            <w:r>
              <w:rPr>
                <w:rFonts w:hint="eastAsia" w:ascii="Times New Roman" w:hAnsi="Times New Roman" w:eastAsia="宋体"/>
                <w:b/>
                <w:color w:val="000000" w:themeColor="text1"/>
                <w:sz w:val="24"/>
                <w:u w:val="single"/>
              </w:rPr>
              <w:t>挤出工序有机废气的处理效率为98.8%，可以满足</w:t>
            </w:r>
            <w:r>
              <w:rPr>
                <w:rFonts w:ascii="Times New Roman" w:hAnsi="Times New Roman" w:eastAsia="宋体"/>
                <w:b/>
                <w:color w:val="000000" w:themeColor="text1"/>
                <w:sz w:val="24"/>
                <w:u w:val="single"/>
                <w:lang w:val="pt-BR"/>
              </w:rPr>
              <w:t>《</w:t>
            </w:r>
            <w:r>
              <w:rPr>
                <w:rFonts w:ascii="Times New Roman" w:hAnsi="Times New Roman" w:eastAsia="宋体"/>
                <w:b/>
                <w:color w:val="000000" w:themeColor="text1"/>
                <w:sz w:val="24"/>
                <w:u w:val="single"/>
              </w:rPr>
              <w:t>新乡市2020年大气污染防治攻坚战实施方案</w:t>
            </w:r>
            <w:r>
              <w:rPr>
                <w:rFonts w:ascii="Times New Roman" w:hAnsi="Times New Roman" w:eastAsia="宋体"/>
                <w:b/>
                <w:color w:val="000000" w:themeColor="text1"/>
                <w:sz w:val="24"/>
                <w:u w:val="single"/>
                <w:lang w:val="pt-BR"/>
              </w:rPr>
              <w:t>》</w:t>
            </w:r>
            <w:r>
              <w:rPr>
                <w:rFonts w:ascii="Times New Roman" w:hAnsi="Times New Roman" w:eastAsia="宋体"/>
                <w:b/>
                <w:color w:val="000000" w:themeColor="text1"/>
                <w:sz w:val="24"/>
                <w:u w:val="single"/>
              </w:rPr>
              <w:t>（新环攻坚办〔2020〕10号）</w:t>
            </w:r>
            <w:r>
              <w:rPr>
                <w:rFonts w:hint="eastAsia" w:ascii="Times New Roman" w:hAnsi="Times New Roman" w:eastAsia="宋体"/>
                <w:b/>
                <w:color w:val="000000" w:themeColor="text1"/>
                <w:sz w:val="24"/>
                <w:u w:val="single"/>
              </w:rPr>
              <w:t>（七）深化挥发性有机物污染治理要求（36.加强废气收集和处理：</w:t>
            </w:r>
            <w:r>
              <w:rPr>
                <w:rFonts w:ascii="Times New Roman" w:hAnsi="Times New Roman" w:eastAsia="宋体"/>
                <w:b/>
                <w:color w:val="000000" w:themeColor="text1"/>
                <w:sz w:val="24"/>
                <w:u w:val="single"/>
              </w:rPr>
              <w:t>VOCs</w:t>
            </w:r>
            <w:r>
              <w:rPr>
                <w:rFonts w:ascii="Times New Roman" w:eastAsia="宋体"/>
                <w:b/>
                <w:color w:val="000000" w:themeColor="text1"/>
                <w:kern w:val="0"/>
                <w:sz w:val="24"/>
                <w:u w:val="single"/>
                <w:shd w:val="clear" w:color="auto" w:fill="FFFFFF"/>
              </w:rPr>
              <w:t>去除效率不低于</w:t>
            </w:r>
            <w:r>
              <w:rPr>
                <w:rFonts w:ascii="Times New Roman" w:hAnsi="Times New Roman" w:eastAsia="宋体"/>
                <w:b/>
                <w:color w:val="000000" w:themeColor="text1"/>
                <w:kern w:val="0"/>
                <w:sz w:val="24"/>
                <w:u w:val="single"/>
                <w:shd w:val="clear" w:color="auto" w:fill="FFFFFF"/>
              </w:rPr>
              <w:t>80%</w:t>
            </w:r>
            <w:r>
              <w:rPr>
                <w:rFonts w:hint="eastAsia" w:ascii="Times New Roman" w:hAnsi="Times New Roman" w:eastAsia="宋体"/>
                <w:b/>
                <w:color w:val="000000" w:themeColor="text1"/>
                <w:sz w:val="24"/>
                <w:u w:val="single"/>
              </w:rPr>
              <w:t>）。</w:t>
            </w:r>
          </w:p>
          <w:p>
            <w:pPr>
              <w:spacing w:line="440" w:lineRule="exact"/>
              <w:ind w:firstLine="482" w:firstLineChars="200"/>
              <w:rPr>
                <w:rFonts w:ascii="Times New Roman" w:hAnsi="Times New Roman" w:eastAsia="宋体"/>
                <w:b/>
                <w:color w:val="000000" w:themeColor="text1"/>
                <w:sz w:val="24"/>
              </w:rPr>
            </w:pPr>
            <w:r>
              <w:rPr>
                <w:rFonts w:hint="eastAsia" w:ascii="Times New Roman" w:eastAsia="宋体"/>
                <w:b/>
                <w:color w:val="000000" w:themeColor="text1"/>
                <w:sz w:val="24"/>
              </w:rPr>
              <w:t>（</w:t>
            </w:r>
            <w:r>
              <w:rPr>
                <w:rFonts w:hint="eastAsia" w:ascii="Times New Roman" w:hAnsi="Times New Roman" w:eastAsia="宋体"/>
                <w:b/>
                <w:color w:val="000000" w:themeColor="text1"/>
                <w:sz w:val="24"/>
              </w:rPr>
              <w:t>3</w:t>
            </w:r>
            <w:r>
              <w:rPr>
                <w:rFonts w:hint="eastAsia" w:ascii="Times New Roman" w:eastAsia="宋体"/>
                <w:b/>
                <w:color w:val="000000" w:themeColor="text1"/>
                <w:sz w:val="24"/>
              </w:rPr>
              <w:t>）噪声</w:t>
            </w:r>
          </w:p>
          <w:p>
            <w:pPr>
              <w:spacing w:line="440" w:lineRule="exact"/>
              <w:ind w:firstLine="480" w:firstLineChars="200"/>
              <w:jc w:val="left"/>
              <w:rPr>
                <w:rFonts w:ascii="Times New Roman" w:hAnsi="Times New Roman" w:eastAsia="宋体"/>
                <w:color w:val="000000" w:themeColor="text1"/>
                <w:sz w:val="24"/>
              </w:rPr>
            </w:pPr>
            <w:r>
              <w:rPr>
                <w:rFonts w:hint="eastAsia" w:ascii="Times New Roman" w:eastAsia="宋体"/>
                <w:color w:val="000000" w:themeColor="text1"/>
                <w:sz w:val="24"/>
              </w:rPr>
              <w:t>根据</w:t>
            </w:r>
            <w:r>
              <w:rPr>
                <w:rFonts w:hint="eastAsia" w:ascii="Times New Roman" w:hAnsi="Times New Roman" w:eastAsia="宋体"/>
                <w:color w:val="000000" w:themeColor="text1"/>
                <w:sz w:val="24"/>
              </w:rPr>
              <w:t>新乡市顺风船科技有限公司</w:t>
            </w:r>
            <w:r>
              <w:rPr>
                <w:rFonts w:hint="eastAsia" w:ascii="Times New Roman" w:hAnsiTheme="minorEastAsia" w:eastAsiaTheme="minorEastAsia"/>
                <w:color w:val="000000" w:themeColor="text1"/>
                <w:sz w:val="24"/>
              </w:rPr>
              <w:t>验收检测报告（万检委字（</w:t>
            </w:r>
            <w:r>
              <w:rPr>
                <w:rFonts w:hint="eastAsia" w:ascii="Times New Roman" w:hAnsi="Times New Roman" w:eastAsiaTheme="minorEastAsia"/>
                <w:color w:val="000000" w:themeColor="text1"/>
                <w:sz w:val="24"/>
              </w:rPr>
              <w:t>2019</w:t>
            </w:r>
            <w:r>
              <w:rPr>
                <w:rFonts w:hint="eastAsia" w:ascii="Times New Roman" w:hAnsiTheme="minorEastAsia" w:eastAsiaTheme="minorEastAsia"/>
                <w:color w:val="000000" w:themeColor="text1"/>
                <w:sz w:val="24"/>
              </w:rPr>
              <w:t>）第</w:t>
            </w:r>
            <w:r>
              <w:rPr>
                <w:rFonts w:hint="eastAsia" w:ascii="Times New Roman" w:hAnsi="Times New Roman" w:eastAsiaTheme="minorEastAsia"/>
                <w:color w:val="000000" w:themeColor="text1"/>
                <w:sz w:val="24"/>
              </w:rPr>
              <w:t>103</w:t>
            </w:r>
            <w:r>
              <w:rPr>
                <w:rFonts w:hint="eastAsia" w:ascii="Times New Roman" w:hAnsiTheme="minorEastAsia" w:eastAsiaTheme="minorEastAsia"/>
                <w:color w:val="000000" w:themeColor="text1"/>
                <w:sz w:val="24"/>
              </w:rPr>
              <w:t>号和万检委字（</w:t>
            </w:r>
            <w:r>
              <w:rPr>
                <w:rFonts w:hint="eastAsia" w:ascii="Times New Roman" w:hAnsi="Times New Roman" w:eastAsiaTheme="minorEastAsia"/>
                <w:color w:val="000000" w:themeColor="text1"/>
                <w:sz w:val="24"/>
              </w:rPr>
              <w:t>2019</w:t>
            </w:r>
            <w:r>
              <w:rPr>
                <w:rFonts w:hint="eastAsia" w:ascii="Times New Roman" w:hAnsiTheme="minorEastAsia" w:eastAsiaTheme="minorEastAsia"/>
                <w:color w:val="000000" w:themeColor="text1"/>
                <w:sz w:val="24"/>
              </w:rPr>
              <w:t>）第</w:t>
            </w:r>
            <w:r>
              <w:rPr>
                <w:rFonts w:hint="eastAsia" w:ascii="Times New Roman" w:hAnsi="Times New Roman" w:eastAsiaTheme="minorEastAsia"/>
                <w:color w:val="000000" w:themeColor="text1"/>
                <w:sz w:val="24"/>
              </w:rPr>
              <w:t>104</w:t>
            </w:r>
            <w:r>
              <w:rPr>
                <w:rFonts w:hint="eastAsia" w:ascii="Times New Roman" w:hAnsiTheme="minorEastAsia" w:eastAsiaTheme="minorEastAsia"/>
                <w:color w:val="000000" w:themeColor="text1"/>
                <w:sz w:val="24"/>
              </w:rPr>
              <w:t>号）</w:t>
            </w:r>
            <w:r>
              <w:rPr>
                <w:rFonts w:hint="eastAsia" w:ascii="Times New Roman" w:eastAsia="宋体"/>
                <w:color w:val="000000" w:themeColor="text1"/>
                <w:sz w:val="24"/>
              </w:rPr>
              <w:t>可知，</w:t>
            </w:r>
            <w:r>
              <w:rPr>
                <w:rFonts w:hint="eastAsia" w:ascii="Times New Roman" w:hAnsi="Times New Roman" w:eastAsia="宋体"/>
                <w:color w:val="000000" w:themeColor="text1"/>
                <w:sz w:val="24"/>
              </w:rPr>
              <w:t>新乡市顺风船科技有限公司</w:t>
            </w:r>
            <w:r>
              <w:rPr>
                <w:rFonts w:hint="eastAsia" w:ascii="Times New Roman" w:eastAsia="宋体"/>
                <w:color w:val="000000" w:themeColor="text1"/>
                <w:sz w:val="24"/>
              </w:rPr>
              <w:t>原有工程各厂界昼间噪声为</w:t>
            </w:r>
            <w:r>
              <w:rPr>
                <w:rFonts w:ascii="Times New Roman" w:hAnsi="Times New Roman" w:eastAsia="宋体"/>
                <w:color w:val="000000" w:themeColor="text1"/>
                <w:sz w:val="24"/>
              </w:rPr>
              <w:t>5</w:t>
            </w:r>
            <w:r>
              <w:rPr>
                <w:rFonts w:hint="eastAsia" w:ascii="Times New Roman" w:hAnsi="Times New Roman" w:eastAsia="宋体"/>
                <w:color w:val="000000" w:themeColor="text1"/>
                <w:sz w:val="24"/>
              </w:rPr>
              <w:t>6.8</w:t>
            </w:r>
            <w:r>
              <w:rPr>
                <w:rFonts w:ascii="Times New Roman" w:hAnsi="Times New Roman" w:eastAsia="宋体"/>
                <w:color w:val="000000" w:themeColor="text1"/>
                <w:sz w:val="24"/>
              </w:rPr>
              <w:t>~5</w:t>
            </w:r>
            <w:r>
              <w:rPr>
                <w:rFonts w:hint="eastAsia" w:ascii="Times New Roman" w:hAnsi="Times New Roman" w:eastAsia="宋体"/>
                <w:color w:val="000000" w:themeColor="text1"/>
                <w:sz w:val="24"/>
              </w:rPr>
              <w:t>9.2</w:t>
            </w:r>
            <w:r>
              <w:rPr>
                <w:rFonts w:ascii="Times New Roman" w:hAnsi="Times New Roman" w:eastAsia="宋体"/>
                <w:color w:val="000000" w:themeColor="text1"/>
                <w:sz w:val="24"/>
              </w:rPr>
              <w:t>dB(A)</w:t>
            </w:r>
            <w:r>
              <w:rPr>
                <w:rFonts w:hint="eastAsia" w:ascii="Times New Roman" w:eastAsia="宋体"/>
                <w:color w:val="000000" w:themeColor="text1"/>
                <w:sz w:val="24"/>
              </w:rPr>
              <w:t>，夜间噪声为</w:t>
            </w:r>
            <w:r>
              <w:rPr>
                <w:rFonts w:ascii="Times New Roman" w:hAnsi="Times New Roman" w:eastAsia="宋体"/>
                <w:color w:val="000000" w:themeColor="text1"/>
                <w:sz w:val="24"/>
              </w:rPr>
              <w:t>4</w:t>
            </w:r>
            <w:r>
              <w:rPr>
                <w:rFonts w:hint="eastAsia" w:ascii="Times New Roman" w:hAnsi="Times New Roman" w:eastAsia="宋体"/>
                <w:color w:val="000000" w:themeColor="text1"/>
                <w:sz w:val="24"/>
              </w:rPr>
              <w:t>5.1</w:t>
            </w:r>
            <w:r>
              <w:rPr>
                <w:rFonts w:ascii="Times New Roman" w:hAnsi="Times New Roman" w:eastAsia="宋体"/>
                <w:color w:val="000000" w:themeColor="text1"/>
                <w:sz w:val="24"/>
              </w:rPr>
              <w:t>~4</w:t>
            </w:r>
            <w:r>
              <w:rPr>
                <w:rFonts w:hint="eastAsia" w:ascii="Times New Roman" w:hAnsi="Times New Roman" w:eastAsia="宋体"/>
                <w:color w:val="000000" w:themeColor="text1"/>
                <w:sz w:val="24"/>
              </w:rPr>
              <w:t>6.6</w:t>
            </w:r>
            <w:r>
              <w:rPr>
                <w:rFonts w:ascii="Times New Roman" w:hAnsi="Times New Roman" w:eastAsia="宋体"/>
                <w:color w:val="000000" w:themeColor="text1"/>
                <w:sz w:val="24"/>
              </w:rPr>
              <w:t>dB(A)</w:t>
            </w:r>
            <w:r>
              <w:rPr>
                <w:rFonts w:hint="eastAsia" w:ascii="Times New Roman" w:eastAsia="宋体"/>
                <w:color w:val="000000" w:themeColor="text1"/>
                <w:sz w:val="24"/>
              </w:rPr>
              <w:t>，各厂界噪声监测值均能满足</w:t>
            </w:r>
            <w:r>
              <w:rPr>
                <w:rFonts w:ascii="Times New Roman" w:hAnsi="Times New Roman" w:eastAsia="宋体"/>
                <w:color w:val="000000" w:themeColor="text1"/>
                <w:sz w:val="24"/>
              </w:rPr>
              <w:t>GB12348-2008</w:t>
            </w:r>
            <w:r>
              <w:rPr>
                <w:rFonts w:hint="eastAsia" w:ascii="Times New Roman" w:eastAsia="宋体"/>
                <w:color w:val="000000" w:themeColor="text1"/>
                <w:sz w:val="24"/>
              </w:rPr>
              <w:t>《工业企业厂界环境噪声排放标准》</w:t>
            </w:r>
            <w:r>
              <w:rPr>
                <w:rFonts w:hint="eastAsia" w:ascii="Times New Roman" w:hAnsi="Times New Roman" w:eastAsia="宋体"/>
                <w:color w:val="000000" w:themeColor="text1"/>
                <w:sz w:val="24"/>
              </w:rPr>
              <w:t>3</w:t>
            </w:r>
            <w:r>
              <w:rPr>
                <w:rFonts w:hint="eastAsia" w:ascii="Times New Roman" w:eastAsia="宋体"/>
                <w:color w:val="000000" w:themeColor="text1"/>
                <w:sz w:val="24"/>
              </w:rPr>
              <w:t>类标准昼间</w:t>
            </w:r>
            <w:r>
              <w:rPr>
                <w:rFonts w:ascii="Times New Roman" w:hAnsi="Times New Roman" w:eastAsia="宋体"/>
                <w:color w:val="000000" w:themeColor="text1"/>
                <w:sz w:val="24"/>
              </w:rPr>
              <w:t>6</w:t>
            </w:r>
            <w:r>
              <w:rPr>
                <w:rFonts w:hint="eastAsia" w:ascii="Times New Roman" w:hAnsi="Times New Roman" w:eastAsia="宋体"/>
                <w:color w:val="000000" w:themeColor="text1"/>
                <w:sz w:val="24"/>
              </w:rPr>
              <w:t>5</w:t>
            </w:r>
            <w:r>
              <w:rPr>
                <w:rFonts w:ascii="Times New Roman" w:hAnsi="Times New Roman" w:eastAsia="宋体"/>
                <w:color w:val="000000" w:themeColor="text1"/>
                <w:sz w:val="24"/>
              </w:rPr>
              <w:t>dB(A)</w:t>
            </w:r>
            <w:r>
              <w:rPr>
                <w:rFonts w:hint="eastAsia" w:ascii="Times New Roman" w:eastAsia="宋体"/>
                <w:color w:val="000000" w:themeColor="text1"/>
                <w:sz w:val="24"/>
              </w:rPr>
              <w:t>，夜间</w:t>
            </w:r>
            <w:r>
              <w:rPr>
                <w:rFonts w:ascii="Times New Roman" w:hAnsi="Times New Roman" w:eastAsia="宋体"/>
                <w:color w:val="000000" w:themeColor="text1"/>
                <w:sz w:val="24"/>
              </w:rPr>
              <w:t>5</w:t>
            </w:r>
            <w:r>
              <w:rPr>
                <w:rFonts w:hint="eastAsia" w:ascii="Times New Roman" w:hAnsi="Times New Roman" w:eastAsia="宋体"/>
                <w:color w:val="000000" w:themeColor="text1"/>
                <w:sz w:val="24"/>
              </w:rPr>
              <w:t>5</w:t>
            </w:r>
            <w:r>
              <w:rPr>
                <w:rFonts w:ascii="Times New Roman" w:hAnsi="Times New Roman" w:eastAsia="宋体"/>
                <w:color w:val="000000" w:themeColor="text1"/>
                <w:sz w:val="24"/>
              </w:rPr>
              <w:t>dB(A)</w:t>
            </w:r>
            <w:r>
              <w:rPr>
                <w:rFonts w:hint="eastAsia" w:ascii="Times New Roman" w:eastAsia="宋体"/>
                <w:color w:val="000000" w:themeColor="text1"/>
                <w:sz w:val="24"/>
              </w:rPr>
              <w:t>限值要求。</w:t>
            </w:r>
          </w:p>
          <w:p>
            <w:pPr>
              <w:adjustRightInd w:val="0"/>
              <w:snapToGrid w:val="0"/>
              <w:spacing w:line="440" w:lineRule="exact"/>
              <w:ind w:firstLine="482" w:firstLineChars="200"/>
              <w:rPr>
                <w:rFonts w:ascii="Times New Roman" w:hAnsi="Times New Roman" w:eastAsia="宋体"/>
                <w:b/>
                <w:color w:val="000000" w:themeColor="text1"/>
                <w:sz w:val="24"/>
              </w:rPr>
            </w:pPr>
            <w:r>
              <w:rPr>
                <w:rFonts w:hint="eastAsia" w:ascii="Times New Roman" w:eastAsia="宋体"/>
                <w:b/>
                <w:color w:val="000000" w:themeColor="text1"/>
                <w:sz w:val="24"/>
              </w:rPr>
              <w:t>（</w:t>
            </w:r>
            <w:r>
              <w:rPr>
                <w:rFonts w:hint="eastAsia" w:ascii="Times New Roman" w:hAnsi="Times New Roman" w:eastAsia="宋体"/>
                <w:b/>
                <w:color w:val="000000" w:themeColor="text1"/>
                <w:sz w:val="24"/>
              </w:rPr>
              <w:t>4</w:t>
            </w:r>
            <w:r>
              <w:rPr>
                <w:rFonts w:hint="eastAsia" w:ascii="Times New Roman" w:eastAsia="宋体"/>
                <w:b/>
                <w:color w:val="000000" w:themeColor="text1"/>
                <w:sz w:val="24"/>
              </w:rPr>
              <w:t>）固体废物</w:t>
            </w:r>
          </w:p>
          <w:p>
            <w:pPr>
              <w:snapToGrid w:val="0"/>
              <w:spacing w:line="440" w:lineRule="exact"/>
              <w:ind w:firstLine="480" w:firstLineChars="200"/>
              <w:rPr>
                <w:rFonts w:ascii="Times New Roman" w:eastAsia="宋体"/>
                <w:color w:val="000000" w:themeColor="text1"/>
                <w:sz w:val="24"/>
              </w:rPr>
            </w:pPr>
            <w:r>
              <w:rPr>
                <w:rFonts w:hint="eastAsia" w:ascii="Times New Roman" w:hAnsi="Times New Roman" w:eastAsia="宋体"/>
                <w:color w:val="000000" w:themeColor="text1"/>
                <w:sz w:val="24"/>
              </w:rPr>
              <w:t>新乡市顺风船科技有限公司</w:t>
            </w:r>
            <w:r>
              <w:rPr>
                <w:rFonts w:hint="eastAsia" w:ascii="Times New Roman" w:eastAsia="宋体"/>
                <w:color w:val="000000" w:themeColor="text1"/>
                <w:sz w:val="24"/>
              </w:rPr>
              <w:t>原有工程固体废物主要有废包装材料、边角料、生活垃圾、废催化剂、废紫外灯管和废活性炭。</w:t>
            </w:r>
          </w:p>
          <w:p>
            <w:pPr>
              <w:pStyle w:val="2"/>
              <w:spacing w:line="440" w:lineRule="exact"/>
              <w:ind w:firstLine="480" w:firstLineChars="200"/>
              <w:jc w:val="both"/>
              <w:rPr>
                <w:color w:val="000000" w:themeColor="text1"/>
              </w:rPr>
            </w:pPr>
            <w:r>
              <w:rPr>
                <w:rFonts w:hint="eastAsia" w:ascii="Times New Roman" w:eastAsia="宋体"/>
                <w:color w:val="000000" w:themeColor="text1"/>
                <w:sz w:val="24"/>
              </w:rPr>
              <w:t>企业原有工程废包装材料、边角料、生活垃圾和废催化剂</w:t>
            </w:r>
            <w:r>
              <w:rPr>
                <w:rFonts w:ascii="Times New Roman" w:hAnsi="Times New Roman" w:eastAsia="宋体"/>
                <w:color w:val="000000" w:themeColor="text1"/>
                <w:sz w:val="24"/>
              </w:rPr>
              <w:t>均属于一般固体废物</w:t>
            </w:r>
            <w:r>
              <w:rPr>
                <w:rFonts w:hint="eastAsia" w:ascii="Times New Roman" w:hAnsi="Times New Roman" w:eastAsia="宋体"/>
                <w:color w:val="000000" w:themeColor="text1"/>
                <w:sz w:val="24"/>
              </w:rPr>
              <w:t>，</w:t>
            </w:r>
            <w:r>
              <w:rPr>
                <w:rFonts w:hint="eastAsia" w:ascii="Times New Roman" w:eastAsia="宋体"/>
                <w:color w:val="000000" w:themeColor="text1"/>
                <w:sz w:val="24"/>
              </w:rPr>
              <w:t>废紫外灯管和废活性炭属于危险废物。</w:t>
            </w:r>
          </w:p>
          <w:p>
            <w:pPr>
              <w:snapToGrid w:val="0"/>
              <w:spacing w:line="440" w:lineRule="exact"/>
              <w:ind w:firstLine="480" w:firstLineChars="200"/>
              <w:rPr>
                <w:rFonts w:ascii="Times New Roman" w:eastAsia="宋体"/>
                <w:color w:val="000000" w:themeColor="text1"/>
                <w:sz w:val="24"/>
              </w:rPr>
            </w:pPr>
            <w:r>
              <w:rPr>
                <w:rFonts w:hint="eastAsia" w:ascii="Times New Roman" w:eastAsia="宋体"/>
                <w:color w:val="000000" w:themeColor="text1"/>
                <w:sz w:val="24"/>
              </w:rPr>
              <w:t>企业原有工程废包装材料产生量为14.4t/a，</w:t>
            </w:r>
            <w:r>
              <w:rPr>
                <w:rFonts w:ascii="Times New Roman" w:hAnsi="Times New Roman" w:eastAsia="宋体"/>
                <w:color w:val="000000" w:themeColor="text1"/>
                <w:sz w:val="24"/>
              </w:rPr>
              <w:t>集中收集后，定期外售</w:t>
            </w:r>
            <w:r>
              <w:rPr>
                <w:rFonts w:hint="eastAsia" w:ascii="Times New Roman" w:hAnsi="Times New Roman" w:eastAsia="宋体"/>
                <w:color w:val="000000" w:themeColor="text1"/>
                <w:sz w:val="24"/>
              </w:rPr>
              <w:t>；边角料产生量为5t/a，</w:t>
            </w:r>
            <w:r>
              <w:rPr>
                <w:rFonts w:ascii="Times New Roman" w:hAnsi="Times New Roman" w:eastAsia="宋体"/>
                <w:color w:val="000000" w:themeColor="text1"/>
                <w:sz w:val="24"/>
              </w:rPr>
              <w:t>集中收集后，定期外售</w:t>
            </w:r>
            <w:r>
              <w:rPr>
                <w:rFonts w:hint="eastAsia" w:ascii="Times New Roman" w:hAnsi="Times New Roman" w:eastAsia="宋体"/>
                <w:color w:val="000000" w:themeColor="text1"/>
                <w:sz w:val="24"/>
              </w:rPr>
              <w:t>；生活垃圾产生量为9.45t/a，经</w:t>
            </w:r>
            <w:r>
              <w:rPr>
                <w:rFonts w:ascii="Times New Roman" w:hAnsi="Times New Roman" w:eastAsia="宋体"/>
                <w:color w:val="000000" w:themeColor="text1"/>
                <w:sz w:val="24"/>
              </w:rPr>
              <w:t>收集后，由环卫部门集中处理</w:t>
            </w:r>
            <w:r>
              <w:rPr>
                <w:rFonts w:hint="eastAsia" w:ascii="Times New Roman" w:hAnsi="Times New Roman" w:eastAsia="宋体"/>
                <w:color w:val="000000" w:themeColor="text1"/>
                <w:sz w:val="24"/>
              </w:rPr>
              <w:t>；废催化剂产生量为0.02t/a，经收集后，由厂家定期回收；</w:t>
            </w:r>
            <w:r>
              <w:rPr>
                <w:rFonts w:hint="eastAsia" w:ascii="Times New Roman" w:eastAsia="宋体"/>
                <w:color w:val="000000" w:themeColor="text1"/>
                <w:sz w:val="24"/>
              </w:rPr>
              <w:t>废紫外灯管产生量为7根/年，经收集后，暂存于危废暂存间（</w:t>
            </w:r>
            <w:r>
              <w:rPr>
                <w:rFonts w:hint="eastAsia" w:ascii="Times New Roman" w:hAnsi="Times New Roman" w:eastAsia="宋体"/>
                <w:color w:val="000000" w:themeColor="text1"/>
                <w:sz w:val="24"/>
              </w:rPr>
              <w:t>10m</w:t>
            </w:r>
            <w:r>
              <w:rPr>
                <w:rFonts w:hint="eastAsia" w:ascii="Times New Roman" w:hAnsi="Times New Roman" w:eastAsia="宋体"/>
                <w:color w:val="000000" w:themeColor="text1"/>
                <w:sz w:val="24"/>
                <w:vertAlign w:val="superscript"/>
              </w:rPr>
              <w:t>2</w:t>
            </w:r>
            <w:r>
              <w:rPr>
                <w:rFonts w:hint="eastAsia" w:ascii="Times New Roman" w:eastAsia="宋体"/>
                <w:color w:val="000000" w:themeColor="text1"/>
                <w:sz w:val="24"/>
              </w:rPr>
              <w:t>），委托有资质单位进行处置。废活性炭产生量为2.112t/a，经收集后，暂存于危废暂存间（</w:t>
            </w:r>
            <w:r>
              <w:rPr>
                <w:rFonts w:hint="eastAsia" w:ascii="Times New Roman" w:hAnsi="Times New Roman" w:eastAsia="宋体"/>
                <w:color w:val="000000" w:themeColor="text1"/>
                <w:sz w:val="24"/>
              </w:rPr>
              <w:t>10m</w:t>
            </w:r>
            <w:r>
              <w:rPr>
                <w:rFonts w:hint="eastAsia" w:ascii="Times New Roman" w:hAnsi="Times New Roman" w:eastAsia="宋体"/>
                <w:color w:val="000000" w:themeColor="text1"/>
                <w:sz w:val="24"/>
                <w:vertAlign w:val="superscript"/>
              </w:rPr>
              <w:t>2</w:t>
            </w:r>
            <w:r>
              <w:rPr>
                <w:rFonts w:hint="eastAsia" w:ascii="Times New Roman" w:eastAsia="宋体"/>
                <w:color w:val="000000" w:themeColor="text1"/>
                <w:sz w:val="24"/>
              </w:rPr>
              <w:t>），定期交由尉氏县利源净化材料有限公司进行处理（危废处置合同见附件</w:t>
            </w:r>
            <w:r>
              <w:rPr>
                <w:rFonts w:hint="eastAsia" w:ascii="Times New Roman" w:hAnsi="Times New Roman" w:eastAsia="宋体"/>
                <w:color w:val="000000" w:themeColor="text1"/>
                <w:sz w:val="24"/>
              </w:rPr>
              <w:t>6</w:t>
            </w:r>
            <w:r>
              <w:rPr>
                <w:rFonts w:hint="eastAsia" w:ascii="Times New Roman" w:eastAsia="宋体"/>
                <w:color w:val="000000" w:themeColor="text1"/>
                <w:sz w:val="24"/>
              </w:rPr>
              <w:t>）。</w:t>
            </w:r>
          </w:p>
          <w:p>
            <w:pPr>
              <w:snapToGrid w:val="0"/>
              <w:spacing w:line="440" w:lineRule="exact"/>
              <w:ind w:firstLine="480" w:firstLineChars="200"/>
              <w:rPr>
                <w:rFonts w:ascii="Times New Roman" w:hAnsi="Times New Roman" w:eastAsia="宋体"/>
                <w:color w:val="000000" w:themeColor="text1"/>
                <w:sz w:val="24"/>
              </w:rPr>
            </w:pPr>
            <w:r>
              <w:rPr>
                <w:rFonts w:hint="eastAsia" w:ascii="Times New Roman" w:hAnsi="Times New Roman" w:eastAsia="宋体"/>
                <w:color w:val="000000" w:themeColor="text1"/>
                <w:sz w:val="24"/>
              </w:rPr>
              <w:t>新乡市顺风船科技有限公司</w:t>
            </w:r>
            <w:r>
              <w:rPr>
                <w:rFonts w:ascii="Times New Roman" w:hAnsi="Times New Roman" w:eastAsia="宋体"/>
                <w:color w:val="000000" w:themeColor="text1"/>
                <w:sz w:val="24"/>
              </w:rPr>
              <w:t>在厂区内设置一般固废暂存间</w:t>
            </w:r>
            <w:r>
              <w:rPr>
                <w:rFonts w:hint="eastAsia" w:ascii="Times New Roman" w:hAnsi="Times New Roman" w:eastAsia="宋体"/>
                <w:color w:val="000000" w:themeColor="text1"/>
                <w:sz w:val="24"/>
              </w:rPr>
              <w:t>2</w:t>
            </w:r>
            <w:r>
              <w:rPr>
                <w:rFonts w:ascii="Times New Roman" w:hAnsi="Times New Roman" w:eastAsia="宋体"/>
                <w:color w:val="000000" w:themeColor="text1"/>
                <w:sz w:val="24"/>
              </w:rPr>
              <w:t>座，面积分别为</w:t>
            </w:r>
            <w:r>
              <w:rPr>
                <w:rFonts w:hint="eastAsia" w:ascii="Times New Roman" w:hAnsi="Times New Roman" w:eastAsia="宋体"/>
                <w:color w:val="000000" w:themeColor="text1"/>
                <w:sz w:val="24"/>
              </w:rPr>
              <w:t>10</w:t>
            </w:r>
            <w:r>
              <w:rPr>
                <w:rFonts w:ascii="Times New Roman" w:hAnsi="Times New Roman" w:eastAsia="宋体"/>
                <w:color w:val="000000" w:themeColor="text1"/>
                <w:sz w:val="24"/>
              </w:rPr>
              <w:t>m</w:t>
            </w:r>
            <w:r>
              <w:rPr>
                <w:rFonts w:ascii="Times New Roman" w:hAnsi="Times New Roman" w:eastAsia="宋体"/>
                <w:color w:val="000000" w:themeColor="text1"/>
                <w:sz w:val="24"/>
                <w:vertAlign w:val="superscript"/>
              </w:rPr>
              <w:t>2</w:t>
            </w:r>
            <w:r>
              <w:rPr>
                <w:rFonts w:ascii="Times New Roman" w:hAnsi="Times New Roman" w:eastAsia="宋体"/>
                <w:color w:val="000000" w:themeColor="text1"/>
                <w:sz w:val="24"/>
              </w:rPr>
              <w:t>和</w:t>
            </w:r>
            <w:r>
              <w:rPr>
                <w:rFonts w:hint="eastAsia" w:ascii="Times New Roman" w:hAnsi="Times New Roman" w:eastAsia="宋体"/>
                <w:color w:val="000000" w:themeColor="text1"/>
                <w:sz w:val="24"/>
              </w:rPr>
              <w:t>15</w:t>
            </w:r>
            <w:r>
              <w:rPr>
                <w:rFonts w:ascii="Times New Roman" w:hAnsi="Times New Roman" w:eastAsia="宋体"/>
                <w:color w:val="000000" w:themeColor="text1"/>
                <w:sz w:val="24"/>
              </w:rPr>
              <w:t>m</w:t>
            </w:r>
            <w:r>
              <w:rPr>
                <w:rFonts w:ascii="Times New Roman" w:hAnsi="Times New Roman" w:eastAsia="宋体"/>
                <w:color w:val="000000" w:themeColor="text1"/>
                <w:sz w:val="24"/>
                <w:vertAlign w:val="superscript"/>
              </w:rPr>
              <w:t>2</w:t>
            </w:r>
            <w:r>
              <w:rPr>
                <w:rFonts w:hint="eastAsia" w:ascii="Times New Roman" w:hAnsi="Times New Roman" w:eastAsia="宋体"/>
                <w:color w:val="000000" w:themeColor="text1"/>
                <w:sz w:val="24"/>
              </w:rPr>
              <w:t>，总</w:t>
            </w:r>
            <w:r>
              <w:rPr>
                <w:rFonts w:ascii="Times New Roman" w:hAnsi="Times New Roman" w:eastAsia="宋体"/>
                <w:color w:val="000000" w:themeColor="text1"/>
                <w:sz w:val="24"/>
              </w:rPr>
              <w:t>面积为</w:t>
            </w:r>
            <w:r>
              <w:rPr>
                <w:rFonts w:hint="eastAsia" w:ascii="Times New Roman" w:hAnsi="Times New Roman" w:eastAsia="宋体"/>
                <w:color w:val="000000" w:themeColor="text1"/>
                <w:sz w:val="24"/>
              </w:rPr>
              <w:t>25</w:t>
            </w:r>
            <w:r>
              <w:rPr>
                <w:rFonts w:ascii="Times New Roman" w:hAnsi="Times New Roman" w:eastAsia="宋体"/>
                <w:color w:val="000000" w:themeColor="text1"/>
                <w:sz w:val="24"/>
              </w:rPr>
              <w:t>m</w:t>
            </w:r>
            <w:r>
              <w:rPr>
                <w:rFonts w:ascii="Times New Roman" w:hAnsi="Times New Roman" w:eastAsia="宋体"/>
                <w:color w:val="000000" w:themeColor="text1"/>
                <w:sz w:val="24"/>
                <w:vertAlign w:val="superscript"/>
              </w:rPr>
              <w:t>2</w:t>
            </w:r>
            <w:r>
              <w:rPr>
                <w:rFonts w:ascii="Times New Roman" w:hAnsi="Times New Roman" w:eastAsia="宋体"/>
                <w:color w:val="000000" w:themeColor="text1"/>
                <w:sz w:val="24"/>
              </w:rPr>
              <w:t>，已做好防风、防雨、防晒，一般固废暂存间满足《一般工业固体废物贮存、处置场污染控制标准》（GB18599-2001）及2013年修订单的相关要求。企业在厂区内还设置有</w:t>
            </w:r>
            <w:r>
              <w:rPr>
                <w:rFonts w:hint="eastAsia" w:ascii="Times New Roman" w:hAnsi="Times New Roman" w:eastAsia="宋体"/>
                <w:color w:val="000000" w:themeColor="text1"/>
                <w:sz w:val="24"/>
              </w:rPr>
              <w:t>1</w:t>
            </w:r>
            <w:r>
              <w:rPr>
                <w:rFonts w:ascii="Times New Roman" w:hAnsi="Times New Roman" w:eastAsia="宋体"/>
                <w:color w:val="000000" w:themeColor="text1"/>
                <w:sz w:val="24"/>
              </w:rPr>
              <w:t>座面积为</w:t>
            </w:r>
            <w:r>
              <w:rPr>
                <w:rFonts w:hint="eastAsia" w:ascii="Times New Roman" w:hAnsi="Times New Roman" w:eastAsia="宋体"/>
                <w:color w:val="000000" w:themeColor="text1"/>
                <w:sz w:val="24"/>
              </w:rPr>
              <w:t>10</w:t>
            </w:r>
            <w:r>
              <w:rPr>
                <w:rFonts w:ascii="Times New Roman" w:hAnsi="Times New Roman" w:eastAsia="宋体"/>
                <w:color w:val="000000" w:themeColor="text1"/>
                <w:sz w:val="24"/>
              </w:rPr>
              <w:t>m</w:t>
            </w:r>
            <w:r>
              <w:rPr>
                <w:rFonts w:ascii="Times New Roman" w:hAnsi="Times New Roman" w:eastAsia="宋体"/>
                <w:color w:val="000000" w:themeColor="text1"/>
                <w:sz w:val="24"/>
                <w:vertAlign w:val="superscript"/>
              </w:rPr>
              <w:t>2</w:t>
            </w:r>
            <w:r>
              <w:rPr>
                <w:rFonts w:ascii="Times New Roman" w:hAnsi="Times New Roman" w:eastAsia="宋体"/>
                <w:color w:val="000000" w:themeColor="text1"/>
                <w:sz w:val="24"/>
              </w:rPr>
              <w:t>的危废暂存间</w:t>
            </w:r>
            <w:r>
              <w:rPr>
                <w:rFonts w:hint="eastAsia" w:ascii="Times New Roman" w:hAnsi="Times New Roman" w:eastAsia="宋体"/>
                <w:color w:val="000000" w:themeColor="text1"/>
                <w:sz w:val="24"/>
              </w:rPr>
              <w:t>，</w:t>
            </w:r>
            <w:r>
              <w:rPr>
                <w:rFonts w:ascii="Times New Roman" w:hAnsi="Times New Roman" w:eastAsia="宋体"/>
                <w:color w:val="000000" w:themeColor="text1"/>
                <w:sz w:val="24"/>
              </w:rPr>
              <w:t>危废暂存间满足</w:t>
            </w:r>
            <w:r>
              <w:rPr>
                <w:rFonts w:hint="eastAsia" w:ascii="Times New Roman" w:eastAsia="宋体"/>
                <w:bCs/>
                <w:color w:val="000000" w:themeColor="text1"/>
                <w:sz w:val="24"/>
              </w:rPr>
              <w:t>《危险废物贮存污染控制标准》</w:t>
            </w:r>
            <w:r>
              <w:rPr>
                <w:rFonts w:hint="eastAsia" w:ascii="Times New Roman" w:eastAsia="宋体"/>
                <w:color w:val="000000" w:themeColor="text1"/>
                <w:sz w:val="24"/>
              </w:rPr>
              <w:t>（</w:t>
            </w:r>
            <w:r>
              <w:rPr>
                <w:rFonts w:ascii="Times New Roman" w:hAnsi="Times New Roman" w:eastAsia="宋体"/>
                <w:color w:val="000000" w:themeColor="text1"/>
                <w:sz w:val="24"/>
              </w:rPr>
              <w:t>GB18597-2001</w:t>
            </w:r>
            <w:r>
              <w:rPr>
                <w:rFonts w:hint="eastAsia" w:ascii="Times New Roman" w:eastAsia="宋体"/>
                <w:color w:val="000000" w:themeColor="text1"/>
                <w:sz w:val="24"/>
              </w:rPr>
              <w:t>）及</w:t>
            </w:r>
            <w:r>
              <w:rPr>
                <w:rFonts w:ascii="Times New Roman" w:hAnsi="Times New Roman" w:eastAsia="宋体"/>
                <w:color w:val="000000" w:themeColor="text1"/>
                <w:sz w:val="24"/>
              </w:rPr>
              <w:t>2013</w:t>
            </w:r>
            <w:r>
              <w:rPr>
                <w:rFonts w:hint="eastAsia" w:ascii="Times New Roman" w:eastAsia="宋体"/>
                <w:color w:val="000000" w:themeColor="text1"/>
                <w:sz w:val="24"/>
              </w:rPr>
              <w:t>年修改单的相关要求。</w:t>
            </w:r>
          </w:p>
          <w:p>
            <w:pPr>
              <w:adjustRightInd w:val="0"/>
              <w:snapToGrid w:val="0"/>
              <w:spacing w:line="440" w:lineRule="exact"/>
              <w:ind w:firstLine="482" w:firstLineChars="200"/>
              <w:rPr>
                <w:rFonts w:ascii="Times New Roman" w:hAnsi="Times New Roman" w:eastAsia="宋体"/>
                <w:b/>
                <w:color w:val="000000" w:themeColor="text1"/>
                <w:sz w:val="24"/>
              </w:rPr>
            </w:pPr>
            <w:r>
              <w:rPr>
                <w:rFonts w:hint="eastAsia" w:ascii="Times New Roman" w:hAnsi="Times New Roman" w:eastAsia="宋体"/>
                <w:b/>
                <w:color w:val="000000" w:themeColor="text1"/>
                <w:sz w:val="24"/>
              </w:rPr>
              <w:t>4</w:t>
            </w:r>
            <w:r>
              <w:rPr>
                <w:rFonts w:hint="eastAsia" w:ascii="Times New Roman" w:eastAsia="宋体"/>
                <w:b/>
                <w:color w:val="000000" w:themeColor="text1"/>
                <w:sz w:val="24"/>
              </w:rPr>
              <w:t>、原有工程污染物产排情况简述</w:t>
            </w:r>
          </w:p>
          <w:p>
            <w:pPr>
              <w:autoSpaceDE w:val="0"/>
              <w:autoSpaceDN w:val="0"/>
              <w:adjustRightInd w:val="0"/>
              <w:spacing w:line="440" w:lineRule="exact"/>
              <w:ind w:firstLine="480" w:firstLineChars="200"/>
              <w:rPr>
                <w:rFonts w:ascii="Times New Roman" w:hAnsi="Times New Roman" w:eastAsia="宋体"/>
                <w:color w:val="000000" w:themeColor="text1"/>
                <w:sz w:val="24"/>
              </w:rPr>
            </w:pPr>
            <w:r>
              <w:rPr>
                <w:rFonts w:hint="eastAsia" w:ascii="Times New Roman" w:eastAsia="宋体"/>
                <w:color w:val="000000" w:themeColor="text1"/>
                <w:sz w:val="24"/>
              </w:rPr>
              <w:t>根据《</w:t>
            </w:r>
            <w:r>
              <w:rPr>
                <w:rFonts w:hint="eastAsia" w:ascii="Times New Roman" w:hAnsi="Times New Roman" w:eastAsia="宋体"/>
                <w:color w:val="000000" w:themeColor="text1"/>
                <w:sz w:val="24"/>
              </w:rPr>
              <w:t>新乡市顺风船科技有限公司年产1000吨PVC塑料制品项目环境影响报告表》、《新乡市顺风船科技有限公司年产2800吨新型环保钙锌稳定剂项目环境影响报告表》、《新乡市顺风船科技有限公司年产1000吨PVC塑料制品项目</w:t>
            </w:r>
            <w:r>
              <w:rPr>
                <w:rFonts w:ascii="Times New Roman" w:hAnsi="Times New Roman" w:eastAsia="宋体"/>
                <w:color w:val="000000" w:themeColor="text1"/>
                <w:sz w:val="24"/>
              </w:rPr>
              <w:t>竣工环境保护验收监测报告</w:t>
            </w:r>
            <w:r>
              <w:rPr>
                <w:rFonts w:hint="eastAsia" w:ascii="Times New Roman" w:hAnsi="Times New Roman" w:eastAsia="宋体"/>
                <w:color w:val="000000" w:themeColor="text1"/>
                <w:sz w:val="24"/>
              </w:rPr>
              <w:t>》和《新乡市顺风船科技有限公司年产2800吨新型环保钙锌稳定剂项目</w:t>
            </w:r>
            <w:r>
              <w:rPr>
                <w:rFonts w:ascii="Times New Roman" w:hAnsi="Times New Roman" w:eastAsia="宋体"/>
                <w:color w:val="000000" w:themeColor="text1"/>
                <w:sz w:val="24"/>
              </w:rPr>
              <w:t>竣工环境保护验收监测报告</w:t>
            </w:r>
            <w:r>
              <w:rPr>
                <w:rFonts w:hint="eastAsia" w:ascii="Times New Roman" w:hAnsi="Times New Roman" w:eastAsia="宋体"/>
                <w:color w:val="000000" w:themeColor="text1"/>
                <w:sz w:val="24"/>
              </w:rPr>
              <w:t>》可知</w:t>
            </w:r>
            <w:r>
              <w:rPr>
                <w:rFonts w:hint="eastAsia" w:ascii="Times New Roman" w:eastAsia="宋体"/>
                <w:color w:val="000000" w:themeColor="text1"/>
                <w:sz w:val="24"/>
              </w:rPr>
              <w:t>，</w:t>
            </w:r>
            <w:r>
              <w:rPr>
                <w:rFonts w:hint="eastAsia" w:ascii="Times New Roman" w:hAnsi="Times New Roman" w:eastAsia="宋体"/>
                <w:color w:val="000000" w:themeColor="text1"/>
                <w:sz w:val="24"/>
              </w:rPr>
              <w:t>新乡市顺风船科技有限公司</w:t>
            </w:r>
            <w:r>
              <w:rPr>
                <w:rFonts w:hint="eastAsia" w:ascii="Times New Roman" w:eastAsia="宋体"/>
                <w:color w:val="000000" w:themeColor="text1"/>
                <w:sz w:val="24"/>
              </w:rPr>
              <w:t>原有工程全厂污染物的产排情况具体见下表：</w:t>
            </w:r>
          </w:p>
          <w:p>
            <w:pPr>
              <w:pStyle w:val="117"/>
              <w:adjustRightInd w:val="0"/>
              <w:snapToGrid w:val="0"/>
              <w:spacing w:line="520" w:lineRule="exact"/>
              <w:ind w:firstLine="0" w:firstLineChars="0"/>
              <w:jc w:val="center"/>
              <w:rPr>
                <w:rFonts w:ascii="Times New Roman" w:hAnsi="Times New Roman" w:eastAsia="宋体"/>
                <w:b/>
                <w:color w:val="000000" w:themeColor="text1"/>
                <w:sz w:val="24"/>
              </w:rPr>
            </w:pPr>
            <w:r>
              <w:rPr>
                <w:rFonts w:hint="eastAsia" w:ascii="Times New Roman" w:eastAsia="宋体"/>
                <w:b/>
                <w:color w:val="000000" w:themeColor="text1"/>
                <w:sz w:val="24"/>
              </w:rPr>
              <w:t>表</w:t>
            </w:r>
            <w:r>
              <w:rPr>
                <w:rFonts w:hint="eastAsia" w:ascii="Times New Roman" w:hAnsi="Times New Roman" w:eastAsia="宋体"/>
                <w:b/>
                <w:color w:val="000000" w:themeColor="text1"/>
                <w:sz w:val="24"/>
              </w:rPr>
              <w:t xml:space="preserve">18    </w:t>
            </w:r>
            <w:r>
              <w:rPr>
                <w:rFonts w:hint="eastAsia" w:ascii="Times New Roman" w:eastAsia="宋体"/>
                <w:b/>
                <w:color w:val="000000" w:themeColor="text1"/>
                <w:sz w:val="24"/>
              </w:rPr>
              <w:t>新乡市顺风船科技有限公司原有工程全厂污染物产排情况一览表</w:t>
            </w:r>
          </w:p>
          <w:tbl>
            <w:tblPr>
              <w:tblStyle w:val="24"/>
              <w:tblW w:w="9072"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57" w:type="dxa"/>
                <w:left w:w="57" w:type="dxa"/>
                <w:bottom w:w="57" w:type="dxa"/>
                <w:right w:w="57" w:type="dxa"/>
              </w:tblCellMar>
            </w:tblPr>
            <w:tblGrid>
              <w:gridCol w:w="813"/>
              <w:gridCol w:w="1882"/>
              <w:gridCol w:w="849"/>
              <w:gridCol w:w="1562"/>
              <w:gridCol w:w="396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448" w:type="pct"/>
                  <w:tcBorders>
                    <w:top w:val="single" w:color="auto" w:sz="8" w:space="0"/>
                    <w:bottom w:val="single" w:color="auto" w:sz="8" w:space="0"/>
                  </w:tcBorders>
                  <w:vAlign w:val="center"/>
                </w:tcPr>
                <w:p>
                  <w:pPr>
                    <w:jc w:val="center"/>
                    <w:rPr>
                      <w:rFonts w:asciiTheme="minorEastAsia" w:hAnsiTheme="minorEastAsia" w:eastAsiaTheme="minorEastAsia"/>
                      <w:b/>
                      <w:color w:val="000000" w:themeColor="text1"/>
                      <w:szCs w:val="21"/>
                    </w:rPr>
                  </w:pPr>
                  <w:r>
                    <w:rPr>
                      <w:rFonts w:asciiTheme="minorEastAsia" w:hAnsiTheme="minorEastAsia" w:eastAsiaTheme="minorEastAsia"/>
                      <w:b/>
                      <w:color w:val="000000" w:themeColor="text1"/>
                      <w:szCs w:val="21"/>
                    </w:rPr>
                    <w:t>项目</w:t>
                  </w:r>
                </w:p>
              </w:tc>
              <w:tc>
                <w:tcPr>
                  <w:tcW w:w="1037" w:type="pct"/>
                  <w:tcBorders>
                    <w:top w:val="single" w:color="auto" w:sz="8" w:space="0"/>
                    <w:bottom w:val="single" w:color="auto" w:sz="8" w:space="0"/>
                  </w:tcBorders>
                  <w:vAlign w:val="center"/>
                </w:tcPr>
                <w:p>
                  <w:pPr>
                    <w:jc w:val="center"/>
                    <w:rPr>
                      <w:rFonts w:asciiTheme="minorEastAsia" w:hAnsiTheme="minorEastAsia" w:eastAsiaTheme="minorEastAsia"/>
                      <w:b/>
                      <w:color w:val="000000" w:themeColor="text1"/>
                      <w:szCs w:val="21"/>
                    </w:rPr>
                  </w:pPr>
                  <w:r>
                    <w:rPr>
                      <w:rFonts w:asciiTheme="minorEastAsia" w:hAnsiTheme="minorEastAsia" w:eastAsiaTheme="minorEastAsia"/>
                      <w:b/>
                      <w:color w:val="000000" w:themeColor="text1"/>
                      <w:szCs w:val="21"/>
                    </w:rPr>
                    <w:t>污染物</w:t>
                  </w:r>
                </w:p>
              </w:tc>
              <w:tc>
                <w:tcPr>
                  <w:tcW w:w="468" w:type="pct"/>
                  <w:tcBorders>
                    <w:top w:val="single" w:color="auto" w:sz="8" w:space="0"/>
                    <w:bottom w:val="single" w:color="auto" w:sz="8" w:space="0"/>
                  </w:tcBorders>
                  <w:vAlign w:val="center"/>
                </w:tcPr>
                <w:p>
                  <w:pPr>
                    <w:jc w:val="center"/>
                    <w:rPr>
                      <w:rFonts w:asciiTheme="minorEastAsia" w:hAnsiTheme="minorEastAsia" w:eastAsiaTheme="minorEastAsia"/>
                      <w:b/>
                      <w:color w:val="000000" w:themeColor="text1"/>
                      <w:szCs w:val="21"/>
                    </w:rPr>
                  </w:pPr>
                  <w:r>
                    <w:rPr>
                      <w:rFonts w:asciiTheme="minorEastAsia" w:hAnsiTheme="minorEastAsia" w:eastAsiaTheme="minorEastAsia"/>
                      <w:b/>
                      <w:color w:val="000000" w:themeColor="text1"/>
                      <w:szCs w:val="21"/>
                    </w:rPr>
                    <w:t>单位</w:t>
                  </w:r>
                </w:p>
              </w:tc>
              <w:tc>
                <w:tcPr>
                  <w:tcW w:w="861" w:type="pct"/>
                  <w:tcBorders>
                    <w:top w:val="single" w:color="auto" w:sz="8" w:space="0"/>
                    <w:bottom w:val="single" w:color="auto" w:sz="8" w:space="0"/>
                  </w:tcBorders>
                  <w:vAlign w:val="center"/>
                </w:tcPr>
                <w:p>
                  <w:pPr>
                    <w:jc w:val="center"/>
                    <w:rPr>
                      <w:rFonts w:asciiTheme="minorEastAsia" w:hAnsiTheme="minorEastAsia" w:eastAsiaTheme="minorEastAsia"/>
                      <w:b/>
                      <w:color w:val="000000" w:themeColor="text1"/>
                      <w:szCs w:val="21"/>
                    </w:rPr>
                  </w:pPr>
                  <w:r>
                    <w:rPr>
                      <w:rFonts w:asciiTheme="minorEastAsia" w:hAnsiTheme="minorEastAsia" w:eastAsiaTheme="minorEastAsia"/>
                      <w:b/>
                      <w:color w:val="000000" w:themeColor="text1"/>
                      <w:szCs w:val="21"/>
                    </w:rPr>
                    <w:t>污染物产生量</w:t>
                  </w:r>
                </w:p>
              </w:tc>
              <w:tc>
                <w:tcPr>
                  <w:tcW w:w="2186" w:type="pct"/>
                  <w:tcBorders>
                    <w:top w:val="single" w:color="auto" w:sz="8" w:space="0"/>
                    <w:bottom w:val="single" w:color="auto" w:sz="8" w:space="0"/>
                  </w:tcBorders>
                  <w:vAlign w:val="center"/>
                </w:tcPr>
                <w:p>
                  <w:pPr>
                    <w:jc w:val="center"/>
                    <w:rPr>
                      <w:rFonts w:asciiTheme="minorEastAsia" w:hAnsiTheme="minorEastAsia" w:eastAsiaTheme="minorEastAsia"/>
                      <w:b/>
                      <w:color w:val="000000" w:themeColor="text1"/>
                      <w:szCs w:val="21"/>
                    </w:rPr>
                  </w:pPr>
                  <w:r>
                    <w:rPr>
                      <w:rFonts w:asciiTheme="minorEastAsia" w:hAnsiTheme="minorEastAsia" w:eastAsiaTheme="minorEastAsia"/>
                      <w:b/>
                      <w:color w:val="000000" w:themeColor="text1"/>
                      <w:szCs w:val="21"/>
                    </w:rPr>
                    <w:t>污染物排放量</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448" w:type="pct"/>
                  <w:vMerge w:val="restart"/>
                  <w:tcBorders>
                    <w:top w:val="single" w:color="auto" w:sz="8" w:space="0"/>
                  </w:tcBorders>
                  <w:vAlign w:val="center"/>
                </w:tcPr>
                <w:p>
                  <w:pPr>
                    <w:jc w:val="center"/>
                    <w:rPr>
                      <w:rFonts w:ascii="Times New Roman" w:hAnsi="Times New Roman" w:eastAsia="宋体"/>
                      <w:color w:val="000000" w:themeColor="text1"/>
                      <w:szCs w:val="21"/>
                    </w:rPr>
                  </w:pPr>
                  <w:r>
                    <w:rPr>
                      <w:rFonts w:hint="eastAsia" w:ascii="Times New Roman" w:eastAsia="宋体"/>
                      <w:color w:val="000000" w:themeColor="text1"/>
                      <w:szCs w:val="21"/>
                    </w:rPr>
                    <w:t>废水</w:t>
                  </w:r>
                </w:p>
              </w:tc>
              <w:tc>
                <w:tcPr>
                  <w:tcW w:w="1037" w:type="pct"/>
                  <w:tcBorders>
                    <w:top w:val="single" w:color="auto" w:sz="8" w:space="0"/>
                  </w:tcBorders>
                  <w:vAlign w:val="center"/>
                </w:tcPr>
                <w:p>
                  <w:pPr>
                    <w:jc w:val="center"/>
                    <w:rPr>
                      <w:rFonts w:ascii="Times New Roman" w:hAnsi="Times New Roman" w:eastAsia="宋体"/>
                      <w:color w:val="000000" w:themeColor="text1"/>
                      <w:szCs w:val="21"/>
                    </w:rPr>
                  </w:pPr>
                  <w:r>
                    <w:rPr>
                      <w:rFonts w:hint="eastAsia" w:ascii="Times New Roman" w:eastAsia="宋体"/>
                      <w:color w:val="000000" w:themeColor="text1"/>
                      <w:szCs w:val="21"/>
                    </w:rPr>
                    <w:t>废水量</w:t>
                  </w:r>
                </w:p>
              </w:tc>
              <w:tc>
                <w:tcPr>
                  <w:tcW w:w="468" w:type="pct"/>
                  <w:tcBorders>
                    <w:top w:val="single" w:color="auto" w:sz="8" w:space="0"/>
                  </w:tcBorders>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t/a</w:t>
                  </w:r>
                </w:p>
              </w:tc>
              <w:tc>
                <w:tcPr>
                  <w:tcW w:w="861" w:type="pct"/>
                  <w:tcBorders>
                    <w:top w:val="single" w:color="auto" w:sz="8" w:space="0"/>
                  </w:tcBorders>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504</w:t>
                  </w:r>
                </w:p>
              </w:tc>
              <w:tc>
                <w:tcPr>
                  <w:tcW w:w="2186" w:type="pct"/>
                  <w:tcBorders>
                    <w:top w:val="single" w:color="auto" w:sz="8" w:space="0"/>
                  </w:tcBorders>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504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448" w:type="pct"/>
                  <w:vMerge w:val="continue"/>
                  <w:vAlign w:val="center"/>
                </w:tcPr>
                <w:p>
                  <w:pPr>
                    <w:widowControl/>
                    <w:jc w:val="center"/>
                    <w:rPr>
                      <w:rFonts w:ascii="Times New Roman" w:hAnsi="Times New Roman" w:eastAsia="宋体"/>
                      <w:color w:val="000000" w:themeColor="text1"/>
                      <w:szCs w:val="21"/>
                    </w:rPr>
                  </w:pPr>
                </w:p>
              </w:tc>
              <w:tc>
                <w:tcPr>
                  <w:tcW w:w="1037"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COD</w:t>
                  </w:r>
                </w:p>
              </w:tc>
              <w:tc>
                <w:tcPr>
                  <w:tcW w:w="468"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t/a</w:t>
                  </w:r>
                </w:p>
              </w:tc>
              <w:tc>
                <w:tcPr>
                  <w:tcW w:w="861"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0.126</w:t>
                  </w:r>
                </w:p>
              </w:tc>
              <w:tc>
                <w:tcPr>
                  <w:tcW w:w="2186"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0.0252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448" w:type="pct"/>
                  <w:vMerge w:val="continue"/>
                  <w:vAlign w:val="center"/>
                </w:tcPr>
                <w:p>
                  <w:pPr>
                    <w:widowControl/>
                    <w:jc w:val="center"/>
                    <w:rPr>
                      <w:rFonts w:ascii="Times New Roman" w:hAnsi="Times New Roman" w:eastAsia="宋体"/>
                      <w:color w:val="000000" w:themeColor="text1"/>
                      <w:szCs w:val="21"/>
                    </w:rPr>
                  </w:pPr>
                </w:p>
              </w:tc>
              <w:tc>
                <w:tcPr>
                  <w:tcW w:w="1037"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NH</w:t>
                  </w:r>
                  <w:r>
                    <w:rPr>
                      <w:rFonts w:ascii="Times New Roman" w:hAnsi="Times New Roman" w:eastAsia="宋体"/>
                      <w:color w:val="000000" w:themeColor="text1"/>
                      <w:szCs w:val="21"/>
                      <w:vertAlign w:val="subscript"/>
                    </w:rPr>
                    <w:t>3</w:t>
                  </w:r>
                  <w:r>
                    <w:rPr>
                      <w:rFonts w:ascii="Times New Roman" w:hAnsi="Times New Roman" w:eastAsia="宋体"/>
                      <w:color w:val="000000" w:themeColor="text1"/>
                      <w:szCs w:val="21"/>
                    </w:rPr>
                    <w:t>-N</w:t>
                  </w:r>
                </w:p>
              </w:tc>
              <w:tc>
                <w:tcPr>
                  <w:tcW w:w="468"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t/a</w:t>
                  </w:r>
                </w:p>
              </w:tc>
              <w:tc>
                <w:tcPr>
                  <w:tcW w:w="861"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0.0126</w:t>
                  </w:r>
                </w:p>
              </w:tc>
              <w:tc>
                <w:tcPr>
                  <w:tcW w:w="2186"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0.0026</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448" w:type="pct"/>
                  <w:vMerge w:val="continue"/>
                  <w:vAlign w:val="center"/>
                </w:tcPr>
                <w:p>
                  <w:pPr>
                    <w:widowControl/>
                    <w:jc w:val="center"/>
                    <w:rPr>
                      <w:rFonts w:ascii="Times New Roman" w:hAnsi="Times New Roman" w:eastAsia="宋体"/>
                      <w:color w:val="000000" w:themeColor="text1"/>
                      <w:szCs w:val="21"/>
                    </w:rPr>
                  </w:pPr>
                </w:p>
              </w:tc>
              <w:tc>
                <w:tcPr>
                  <w:tcW w:w="1037"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TP</w:t>
                  </w:r>
                </w:p>
              </w:tc>
              <w:tc>
                <w:tcPr>
                  <w:tcW w:w="468"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t/a</w:t>
                  </w:r>
                </w:p>
              </w:tc>
              <w:tc>
                <w:tcPr>
                  <w:tcW w:w="861"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0.001</w:t>
                  </w:r>
                </w:p>
              </w:tc>
              <w:tc>
                <w:tcPr>
                  <w:tcW w:w="2186"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0.0002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448" w:type="pct"/>
                  <w:vMerge w:val="restar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投料混合工序粉尘</w:t>
                  </w:r>
                </w:p>
              </w:tc>
              <w:tc>
                <w:tcPr>
                  <w:tcW w:w="1037" w:type="pct"/>
                  <w:vAlign w:val="center"/>
                </w:tcPr>
                <w:p>
                  <w:pPr>
                    <w:jc w:val="center"/>
                    <w:rPr>
                      <w:rFonts w:ascii="Times New Roman" w:hAnsi="Times New Roman" w:eastAsia="宋体"/>
                      <w:color w:val="000000" w:themeColor="text1"/>
                      <w:szCs w:val="21"/>
                    </w:rPr>
                  </w:pPr>
                  <w:r>
                    <w:rPr>
                      <w:rFonts w:hint="eastAsia" w:ascii="Times New Roman" w:eastAsia="宋体"/>
                      <w:color w:val="000000" w:themeColor="text1"/>
                      <w:szCs w:val="21"/>
                    </w:rPr>
                    <w:t>有组织颗粒物</w:t>
                  </w:r>
                </w:p>
              </w:tc>
              <w:tc>
                <w:tcPr>
                  <w:tcW w:w="468"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t/a</w:t>
                  </w:r>
                </w:p>
              </w:tc>
              <w:tc>
                <w:tcPr>
                  <w:tcW w:w="861"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0.8685</w:t>
                  </w:r>
                </w:p>
              </w:tc>
              <w:tc>
                <w:tcPr>
                  <w:tcW w:w="2186"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0.0</w:t>
                  </w:r>
                  <w:r>
                    <w:rPr>
                      <w:rFonts w:hint="eastAsia" w:ascii="Times New Roman" w:hAnsi="Times New Roman" w:eastAsia="宋体"/>
                      <w:color w:val="000000" w:themeColor="text1"/>
                      <w:szCs w:val="21"/>
                    </w:rPr>
                    <w:t>087</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448" w:type="pct"/>
                  <w:vMerge w:val="continue"/>
                  <w:vAlign w:val="center"/>
                </w:tcPr>
                <w:p>
                  <w:pPr>
                    <w:jc w:val="center"/>
                    <w:rPr>
                      <w:rFonts w:ascii="Times New Roman" w:eastAsia="宋体"/>
                      <w:color w:val="000000" w:themeColor="text1"/>
                      <w:szCs w:val="21"/>
                    </w:rPr>
                  </w:pPr>
                </w:p>
              </w:tc>
              <w:tc>
                <w:tcPr>
                  <w:tcW w:w="1037" w:type="pct"/>
                  <w:vAlign w:val="center"/>
                </w:tcPr>
                <w:p>
                  <w:pPr>
                    <w:jc w:val="center"/>
                    <w:rPr>
                      <w:rFonts w:ascii="Times New Roman" w:hAnsi="Times New Roman" w:eastAsia="宋体"/>
                      <w:color w:val="000000" w:themeColor="text1"/>
                      <w:szCs w:val="21"/>
                    </w:rPr>
                  </w:pPr>
                  <w:r>
                    <w:rPr>
                      <w:rFonts w:hint="eastAsia" w:ascii="Times New Roman" w:eastAsia="宋体"/>
                      <w:color w:val="000000" w:themeColor="text1"/>
                      <w:szCs w:val="21"/>
                    </w:rPr>
                    <w:t>无组织颗粒物</w:t>
                  </w:r>
                </w:p>
              </w:tc>
              <w:tc>
                <w:tcPr>
                  <w:tcW w:w="468"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t/a</w:t>
                  </w:r>
                </w:p>
              </w:tc>
              <w:tc>
                <w:tcPr>
                  <w:tcW w:w="861"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0.0965</w:t>
                  </w:r>
                </w:p>
              </w:tc>
              <w:tc>
                <w:tcPr>
                  <w:tcW w:w="2186"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0.0</w:t>
                  </w:r>
                  <w:r>
                    <w:rPr>
                      <w:rFonts w:hint="eastAsia" w:ascii="Times New Roman" w:hAnsi="Times New Roman" w:eastAsia="宋体"/>
                      <w:color w:val="000000" w:themeColor="text1"/>
                      <w:szCs w:val="21"/>
                    </w:rPr>
                    <w:t>965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448" w:type="pct"/>
                  <w:vMerge w:val="restart"/>
                  <w:vAlign w:val="center"/>
                </w:tcPr>
                <w:p>
                  <w:pPr>
                    <w:jc w:val="center"/>
                    <w:rPr>
                      <w:rFonts w:ascii="Times New Roman" w:eastAsia="宋体"/>
                      <w:color w:val="000000" w:themeColor="text1"/>
                      <w:szCs w:val="21"/>
                    </w:rPr>
                  </w:pPr>
                  <w:r>
                    <w:rPr>
                      <w:rFonts w:hint="eastAsia" w:ascii="Times New Roman" w:hAnsi="Times New Roman" w:eastAsia="宋体"/>
                      <w:color w:val="000000" w:themeColor="text1"/>
                      <w:szCs w:val="21"/>
                    </w:rPr>
                    <w:t>捏合工序粉尘</w:t>
                  </w:r>
                </w:p>
              </w:tc>
              <w:tc>
                <w:tcPr>
                  <w:tcW w:w="1037" w:type="pct"/>
                  <w:vAlign w:val="center"/>
                </w:tcPr>
                <w:p>
                  <w:pPr>
                    <w:jc w:val="center"/>
                    <w:rPr>
                      <w:rFonts w:ascii="Times New Roman" w:hAnsi="Times New Roman" w:eastAsia="宋体"/>
                      <w:color w:val="000000" w:themeColor="text1"/>
                      <w:szCs w:val="21"/>
                    </w:rPr>
                  </w:pPr>
                  <w:r>
                    <w:rPr>
                      <w:rFonts w:hint="eastAsia" w:ascii="Times New Roman" w:eastAsia="宋体"/>
                      <w:color w:val="000000" w:themeColor="text1"/>
                      <w:szCs w:val="21"/>
                    </w:rPr>
                    <w:t>有组织颗粒物</w:t>
                  </w:r>
                </w:p>
              </w:tc>
              <w:tc>
                <w:tcPr>
                  <w:tcW w:w="468"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t/a</w:t>
                  </w:r>
                </w:p>
              </w:tc>
              <w:tc>
                <w:tcPr>
                  <w:tcW w:w="861"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1.386</w:t>
                  </w:r>
                </w:p>
              </w:tc>
              <w:tc>
                <w:tcPr>
                  <w:tcW w:w="2186"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0.0069</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448" w:type="pct"/>
                  <w:vMerge w:val="continue"/>
                  <w:vAlign w:val="center"/>
                </w:tcPr>
                <w:p>
                  <w:pPr>
                    <w:jc w:val="center"/>
                    <w:rPr>
                      <w:rFonts w:ascii="Times New Roman" w:eastAsia="宋体"/>
                      <w:color w:val="000000" w:themeColor="text1"/>
                      <w:szCs w:val="21"/>
                    </w:rPr>
                  </w:pPr>
                </w:p>
              </w:tc>
              <w:tc>
                <w:tcPr>
                  <w:tcW w:w="1037" w:type="pct"/>
                  <w:vAlign w:val="center"/>
                </w:tcPr>
                <w:p>
                  <w:pPr>
                    <w:jc w:val="center"/>
                    <w:rPr>
                      <w:rFonts w:ascii="Times New Roman" w:hAnsi="Times New Roman" w:eastAsia="宋体"/>
                      <w:color w:val="000000" w:themeColor="text1"/>
                      <w:szCs w:val="21"/>
                    </w:rPr>
                  </w:pPr>
                  <w:r>
                    <w:rPr>
                      <w:rFonts w:hint="eastAsia" w:ascii="Times New Roman" w:eastAsia="宋体"/>
                      <w:color w:val="000000" w:themeColor="text1"/>
                      <w:szCs w:val="21"/>
                    </w:rPr>
                    <w:t>无组织颗粒物</w:t>
                  </w:r>
                </w:p>
              </w:tc>
              <w:tc>
                <w:tcPr>
                  <w:tcW w:w="468"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t/a</w:t>
                  </w:r>
                </w:p>
              </w:tc>
              <w:tc>
                <w:tcPr>
                  <w:tcW w:w="861"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0.014</w:t>
                  </w:r>
                </w:p>
              </w:tc>
              <w:tc>
                <w:tcPr>
                  <w:tcW w:w="2186"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0.0</w:t>
                  </w:r>
                  <w:r>
                    <w:rPr>
                      <w:rFonts w:hint="eastAsia" w:ascii="Times New Roman" w:hAnsi="Times New Roman" w:eastAsia="宋体"/>
                      <w:color w:val="000000" w:themeColor="text1"/>
                      <w:szCs w:val="21"/>
                    </w:rPr>
                    <w:t>14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448" w:type="pct"/>
                  <w:vMerge w:val="restart"/>
                  <w:vAlign w:val="center"/>
                </w:tcPr>
                <w:p>
                  <w:pPr>
                    <w:jc w:val="center"/>
                    <w:rPr>
                      <w:rFonts w:ascii="Times New Roman" w:eastAsia="宋体"/>
                      <w:color w:val="000000" w:themeColor="text1"/>
                      <w:szCs w:val="21"/>
                    </w:rPr>
                  </w:pPr>
                  <w:r>
                    <w:rPr>
                      <w:rFonts w:hint="eastAsia" w:ascii="Times New Roman" w:hAnsi="Times New Roman" w:eastAsia="宋体"/>
                      <w:color w:val="000000" w:themeColor="text1"/>
                      <w:szCs w:val="21"/>
                    </w:rPr>
                    <w:t>挤出工序有机废气</w:t>
                  </w:r>
                </w:p>
              </w:tc>
              <w:tc>
                <w:tcPr>
                  <w:tcW w:w="1037" w:type="pct"/>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有组织非甲烷总烃</w:t>
                  </w:r>
                </w:p>
              </w:tc>
              <w:tc>
                <w:tcPr>
                  <w:tcW w:w="468"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t</w:t>
                  </w:r>
                  <w:r>
                    <w:rPr>
                      <w:rFonts w:hint="eastAsia" w:ascii="Times New Roman" w:hAnsi="Times New Roman" w:eastAsia="宋体"/>
                      <w:color w:val="000000" w:themeColor="text1"/>
                      <w:szCs w:val="21"/>
                    </w:rPr>
                    <w:t>/a</w:t>
                  </w:r>
                </w:p>
              </w:tc>
              <w:tc>
                <w:tcPr>
                  <w:tcW w:w="861"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w:t>
                  </w:r>
                </w:p>
              </w:tc>
              <w:tc>
                <w:tcPr>
                  <w:tcW w:w="2186"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0.34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448" w:type="pct"/>
                  <w:vMerge w:val="continue"/>
                  <w:vAlign w:val="center"/>
                </w:tcPr>
                <w:p>
                  <w:pPr>
                    <w:jc w:val="center"/>
                    <w:rPr>
                      <w:rFonts w:ascii="Times New Roman" w:eastAsia="宋体"/>
                      <w:color w:val="000000" w:themeColor="text1"/>
                      <w:szCs w:val="21"/>
                    </w:rPr>
                  </w:pPr>
                </w:p>
              </w:tc>
              <w:tc>
                <w:tcPr>
                  <w:tcW w:w="1037" w:type="pct"/>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有组织氯乙烯</w:t>
                  </w:r>
                </w:p>
              </w:tc>
              <w:tc>
                <w:tcPr>
                  <w:tcW w:w="468"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t</w:t>
                  </w:r>
                  <w:r>
                    <w:rPr>
                      <w:rFonts w:hint="eastAsia" w:ascii="Times New Roman" w:hAnsi="Times New Roman" w:eastAsia="宋体"/>
                      <w:color w:val="000000" w:themeColor="text1"/>
                      <w:szCs w:val="21"/>
                    </w:rPr>
                    <w:t>/a</w:t>
                  </w:r>
                </w:p>
              </w:tc>
              <w:tc>
                <w:tcPr>
                  <w:tcW w:w="861"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w:t>
                  </w:r>
                </w:p>
              </w:tc>
              <w:tc>
                <w:tcPr>
                  <w:tcW w:w="2186"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0.0072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448" w:type="pct"/>
                  <w:vMerge w:val="continue"/>
                  <w:vAlign w:val="center"/>
                </w:tcPr>
                <w:p>
                  <w:pPr>
                    <w:jc w:val="center"/>
                    <w:rPr>
                      <w:rFonts w:ascii="Times New Roman" w:eastAsia="宋体"/>
                      <w:color w:val="000000" w:themeColor="text1"/>
                      <w:szCs w:val="21"/>
                    </w:rPr>
                  </w:pPr>
                </w:p>
              </w:tc>
              <w:tc>
                <w:tcPr>
                  <w:tcW w:w="1037" w:type="pct"/>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有组织氯化氢</w:t>
                  </w:r>
                </w:p>
              </w:tc>
              <w:tc>
                <w:tcPr>
                  <w:tcW w:w="468"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t</w:t>
                  </w:r>
                  <w:r>
                    <w:rPr>
                      <w:rFonts w:hint="eastAsia" w:ascii="Times New Roman" w:hAnsi="Times New Roman" w:eastAsia="宋体"/>
                      <w:color w:val="000000" w:themeColor="text1"/>
                      <w:szCs w:val="21"/>
                    </w:rPr>
                    <w:t>/a</w:t>
                  </w:r>
                </w:p>
              </w:tc>
              <w:tc>
                <w:tcPr>
                  <w:tcW w:w="861"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w:t>
                  </w:r>
                </w:p>
              </w:tc>
              <w:tc>
                <w:tcPr>
                  <w:tcW w:w="2186"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 xml:space="preserve">0.0912 </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448" w:type="pct"/>
                  <w:vMerge w:val="restart"/>
                  <w:vAlign w:val="center"/>
                </w:tcPr>
                <w:p>
                  <w:pPr>
                    <w:jc w:val="center"/>
                    <w:rPr>
                      <w:rFonts w:ascii="Times New Roman" w:hAnsi="Times New Roman" w:eastAsia="宋体"/>
                      <w:color w:val="000000" w:themeColor="text1"/>
                      <w:szCs w:val="21"/>
                    </w:rPr>
                  </w:pPr>
                  <w:r>
                    <w:rPr>
                      <w:rFonts w:hint="eastAsia" w:ascii="Times New Roman" w:eastAsia="宋体"/>
                      <w:color w:val="000000" w:themeColor="text1"/>
                      <w:szCs w:val="21"/>
                    </w:rPr>
                    <w:t>固废</w:t>
                  </w:r>
                </w:p>
              </w:tc>
              <w:tc>
                <w:tcPr>
                  <w:tcW w:w="1037" w:type="pct"/>
                  <w:vAlign w:val="center"/>
                </w:tcPr>
                <w:p>
                  <w:pPr>
                    <w:jc w:val="center"/>
                    <w:rPr>
                      <w:rFonts w:ascii="Times New Roman" w:hAnsi="Times New Roman" w:eastAsia="宋体"/>
                      <w:color w:val="000000" w:themeColor="text1"/>
                      <w:szCs w:val="21"/>
                    </w:rPr>
                  </w:pPr>
                  <w:r>
                    <w:rPr>
                      <w:rFonts w:hint="eastAsia" w:ascii="Times New Roman" w:eastAsia="宋体"/>
                      <w:color w:val="000000" w:themeColor="text1"/>
                      <w:szCs w:val="21"/>
                    </w:rPr>
                    <w:t>废包装材料</w:t>
                  </w:r>
                </w:p>
              </w:tc>
              <w:tc>
                <w:tcPr>
                  <w:tcW w:w="468"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t/a</w:t>
                  </w:r>
                </w:p>
              </w:tc>
              <w:tc>
                <w:tcPr>
                  <w:tcW w:w="861"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3.9</w:t>
                  </w:r>
                </w:p>
              </w:tc>
              <w:tc>
                <w:tcPr>
                  <w:tcW w:w="2186" w:type="pct"/>
                  <w:vAlign w:val="center"/>
                </w:tcPr>
                <w:p>
                  <w:pPr>
                    <w:jc w:val="center"/>
                    <w:rPr>
                      <w:rFonts w:ascii="Times New Roman" w:hAnsi="Times New Roman" w:eastAsia="宋体"/>
                      <w:color w:val="000000" w:themeColor="text1"/>
                      <w:szCs w:val="21"/>
                    </w:rPr>
                  </w:pPr>
                  <w:r>
                    <w:rPr>
                      <w:rFonts w:hint="eastAsia" w:ascii="Times New Roman" w:eastAsia="宋体"/>
                      <w:color w:val="000000" w:themeColor="text1"/>
                      <w:szCs w:val="21"/>
                    </w:rPr>
                    <w:t>经收集后，定期外售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448" w:type="pct"/>
                  <w:vMerge w:val="continue"/>
                  <w:vAlign w:val="center"/>
                </w:tcPr>
                <w:p>
                  <w:pPr>
                    <w:widowControl/>
                    <w:jc w:val="center"/>
                    <w:rPr>
                      <w:rFonts w:ascii="Times New Roman" w:hAnsi="Times New Roman" w:eastAsia="宋体"/>
                      <w:color w:val="000000" w:themeColor="text1"/>
                      <w:szCs w:val="21"/>
                    </w:rPr>
                  </w:pPr>
                </w:p>
              </w:tc>
              <w:tc>
                <w:tcPr>
                  <w:tcW w:w="1037" w:type="pct"/>
                  <w:vAlign w:val="center"/>
                </w:tcPr>
                <w:p>
                  <w:pPr>
                    <w:jc w:val="center"/>
                    <w:rPr>
                      <w:rFonts w:ascii="Times New Roman" w:hAnsi="Times New Roman" w:eastAsia="宋体"/>
                      <w:color w:val="000000" w:themeColor="text1"/>
                      <w:szCs w:val="21"/>
                    </w:rPr>
                  </w:pPr>
                  <w:r>
                    <w:rPr>
                      <w:rFonts w:hint="eastAsia" w:ascii="Times New Roman" w:eastAsia="宋体"/>
                      <w:color w:val="000000" w:themeColor="text1"/>
                      <w:szCs w:val="21"/>
                    </w:rPr>
                    <w:t>边角料</w:t>
                  </w:r>
                </w:p>
              </w:tc>
              <w:tc>
                <w:tcPr>
                  <w:tcW w:w="468"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t/a</w:t>
                  </w:r>
                </w:p>
              </w:tc>
              <w:tc>
                <w:tcPr>
                  <w:tcW w:w="861"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0.5</w:t>
                  </w:r>
                </w:p>
              </w:tc>
              <w:tc>
                <w:tcPr>
                  <w:tcW w:w="2186" w:type="pct"/>
                  <w:vAlign w:val="center"/>
                </w:tcPr>
                <w:p>
                  <w:pPr>
                    <w:jc w:val="center"/>
                    <w:rPr>
                      <w:rFonts w:ascii="Times New Roman" w:hAnsi="Times New Roman" w:eastAsia="宋体"/>
                      <w:color w:val="000000" w:themeColor="text1"/>
                      <w:szCs w:val="21"/>
                    </w:rPr>
                  </w:pPr>
                  <w:r>
                    <w:rPr>
                      <w:rFonts w:hint="eastAsia" w:ascii="Times New Roman" w:eastAsia="宋体"/>
                      <w:color w:val="000000" w:themeColor="text1"/>
                      <w:szCs w:val="21"/>
                    </w:rPr>
                    <w:t>经收集后，定期外售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448" w:type="pct"/>
                  <w:vMerge w:val="continue"/>
                  <w:vAlign w:val="center"/>
                </w:tcPr>
                <w:p>
                  <w:pPr>
                    <w:widowControl/>
                    <w:jc w:val="center"/>
                    <w:rPr>
                      <w:rFonts w:ascii="Times New Roman" w:hAnsi="Times New Roman" w:eastAsia="宋体"/>
                      <w:color w:val="000000" w:themeColor="text1"/>
                      <w:szCs w:val="21"/>
                    </w:rPr>
                  </w:pPr>
                </w:p>
              </w:tc>
              <w:tc>
                <w:tcPr>
                  <w:tcW w:w="1037" w:type="pct"/>
                  <w:vAlign w:val="center"/>
                </w:tcPr>
                <w:p>
                  <w:pPr>
                    <w:jc w:val="center"/>
                    <w:rPr>
                      <w:rFonts w:ascii="Times New Roman" w:eastAsia="宋体"/>
                      <w:color w:val="000000" w:themeColor="text1"/>
                      <w:szCs w:val="21"/>
                    </w:rPr>
                  </w:pPr>
                  <w:r>
                    <w:rPr>
                      <w:rFonts w:ascii="Times New Roman" w:hAnsi="Times New Roman" w:eastAsia="宋体"/>
                      <w:color w:val="000000" w:themeColor="text1"/>
                      <w:szCs w:val="21"/>
                    </w:rPr>
                    <w:t>生活垃圾</w:t>
                  </w:r>
                </w:p>
              </w:tc>
              <w:tc>
                <w:tcPr>
                  <w:tcW w:w="468"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t/a</w:t>
                  </w:r>
                </w:p>
              </w:tc>
              <w:tc>
                <w:tcPr>
                  <w:tcW w:w="861"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0.6</w:t>
                  </w:r>
                </w:p>
              </w:tc>
              <w:tc>
                <w:tcPr>
                  <w:tcW w:w="2186" w:type="pct"/>
                  <w:vAlign w:val="center"/>
                </w:tcPr>
                <w:p>
                  <w:pPr>
                    <w:jc w:val="center"/>
                    <w:rPr>
                      <w:rFonts w:ascii="Times New Roman" w:hAnsi="Times New Roman" w:eastAsia="宋体"/>
                      <w:color w:val="000000" w:themeColor="text1"/>
                      <w:szCs w:val="21"/>
                    </w:rPr>
                  </w:pPr>
                  <w:r>
                    <w:rPr>
                      <w:rFonts w:hint="eastAsia" w:ascii="Times New Roman" w:eastAsia="宋体"/>
                      <w:color w:val="000000" w:themeColor="text1"/>
                      <w:szCs w:val="21"/>
                    </w:rPr>
                    <w:t>经收集后，</w:t>
                  </w:r>
                  <w:r>
                    <w:rPr>
                      <w:rFonts w:ascii="Times New Roman" w:hAnsi="Times New Roman" w:eastAsia="宋体"/>
                      <w:color w:val="000000" w:themeColor="text1"/>
                      <w:szCs w:val="21"/>
                    </w:rPr>
                    <w:t>环卫部门集中处理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448" w:type="pct"/>
                  <w:vMerge w:val="continue"/>
                  <w:vAlign w:val="center"/>
                </w:tcPr>
                <w:p>
                  <w:pPr>
                    <w:widowControl/>
                    <w:jc w:val="center"/>
                    <w:rPr>
                      <w:rFonts w:ascii="Times New Roman" w:hAnsi="Times New Roman" w:eastAsia="宋体"/>
                      <w:color w:val="000000" w:themeColor="text1"/>
                      <w:szCs w:val="21"/>
                    </w:rPr>
                  </w:pPr>
                </w:p>
              </w:tc>
              <w:tc>
                <w:tcPr>
                  <w:tcW w:w="1037"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废催化剂</w:t>
                  </w:r>
                </w:p>
              </w:tc>
              <w:tc>
                <w:tcPr>
                  <w:tcW w:w="468"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t/a</w:t>
                  </w:r>
                </w:p>
              </w:tc>
              <w:tc>
                <w:tcPr>
                  <w:tcW w:w="861"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0.02</w:t>
                  </w:r>
                </w:p>
              </w:tc>
              <w:tc>
                <w:tcPr>
                  <w:tcW w:w="2186" w:type="pct"/>
                  <w:vAlign w:val="center"/>
                </w:tcPr>
                <w:p>
                  <w:pPr>
                    <w:jc w:val="center"/>
                    <w:rPr>
                      <w:rFonts w:ascii="Times New Roman" w:hAnsi="Times New Roman" w:eastAsia="宋体"/>
                      <w:color w:val="000000" w:themeColor="text1"/>
                      <w:szCs w:val="21"/>
                    </w:rPr>
                  </w:pPr>
                  <w:r>
                    <w:rPr>
                      <w:rFonts w:hint="eastAsia" w:ascii="Times New Roman" w:eastAsia="宋体"/>
                      <w:color w:val="000000" w:themeColor="text1"/>
                      <w:szCs w:val="21"/>
                    </w:rPr>
                    <w:t>经收集后，定期交由厂家回收</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448" w:type="pct"/>
                  <w:vMerge w:val="continue"/>
                  <w:vAlign w:val="center"/>
                </w:tcPr>
                <w:p>
                  <w:pPr>
                    <w:widowControl/>
                    <w:jc w:val="center"/>
                    <w:rPr>
                      <w:rFonts w:ascii="Times New Roman" w:hAnsi="Times New Roman" w:eastAsia="宋体"/>
                      <w:color w:val="000000" w:themeColor="text1"/>
                      <w:szCs w:val="21"/>
                    </w:rPr>
                  </w:pPr>
                </w:p>
              </w:tc>
              <w:tc>
                <w:tcPr>
                  <w:tcW w:w="1037" w:type="pct"/>
                  <w:vAlign w:val="center"/>
                </w:tcPr>
                <w:p>
                  <w:pPr>
                    <w:jc w:val="center"/>
                    <w:rPr>
                      <w:rFonts w:ascii="Times New Roman" w:hAnsi="Times New Roman" w:eastAsia="宋体"/>
                      <w:color w:val="000000" w:themeColor="text1"/>
                      <w:szCs w:val="21"/>
                    </w:rPr>
                  </w:pPr>
                  <w:r>
                    <w:rPr>
                      <w:rFonts w:ascii="Times New Roman" w:hAnsi="Times New Roman" w:eastAsia="宋体"/>
                      <w:bCs/>
                      <w:color w:val="000000" w:themeColor="text1"/>
                      <w:szCs w:val="21"/>
                    </w:rPr>
                    <w:t>废紫外灯管</w:t>
                  </w:r>
                </w:p>
              </w:tc>
              <w:tc>
                <w:tcPr>
                  <w:tcW w:w="468"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根/a</w:t>
                  </w:r>
                </w:p>
              </w:tc>
              <w:tc>
                <w:tcPr>
                  <w:tcW w:w="861"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7</w:t>
                  </w:r>
                </w:p>
              </w:tc>
              <w:tc>
                <w:tcPr>
                  <w:tcW w:w="2186"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集中收集后，</w:t>
                  </w:r>
                  <w:r>
                    <w:rPr>
                      <w:rFonts w:hint="eastAsia" w:ascii="Times New Roman" w:eastAsia="宋体"/>
                      <w:color w:val="000000" w:themeColor="text1"/>
                      <w:szCs w:val="21"/>
                    </w:rPr>
                    <w:t>暂存于危废暂存间（</w:t>
                  </w:r>
                  <w:r>
                    <w:rPr>
                      <w:rFonts w:hint="eastAsia" w:ascii="Times New Roman" w:hAnsi="Times New Roman" w:eastAsia="宋体"/>
                      <w:color w:val="000000" w:themeColor="text1"/>
                      <w:szCs w:val="21"/>
                    </w:rPr>
                    <w:t>10m</w:t>
                  </w:r>
                  <w:r>
                    <w:rPr>
                      <w:rFonts w:hint="eastAsia" w:ascii="Times New Roman" w:hAnsi="Times New Roman" w:eastAsia="宋体"/>
                      <w:color w:val="000000" w:themeColor="text1"/>
                      <w:szCs w:val="21"/>
                      <w:vertAlign w:val="superscript"/>
                    </w:rPr>
                    <w:t>2</w:t>
                  </w:r>
                  <w:r>
                    <w:rPr>
                      <w:rFonts w:hint="eastAsia" w:ascii="Times New Roman" w:eastAsia="宋体"/>
                      <w:color w:val="000000" w:themeColor="text1"/>
                      <w:szCs w:val="21"/>
                    </w:rPr>
                    <w:t>），委托有资质单位进行处置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448" w:type="pct"/>
                  <w:vMerge w:val="continue"/>
                  <w:tcBorders>
                    <w:bottom w:val="single" w:color="auto" w:sz="8" w:space="0"/>
                  </w:tcBorders>
                  <w:vAlign w:val="center"/>
                </w:tcPr>
                <w:p>
                  <w:pPr>
                    <w:widowControl/>
                    <w:jc w:val="center"/>
                    <w:rPr>
                      <w:rFonts w:ascii="Times New Roman" w:hAnsi="Times New Roman" w:eastAsia="宋体"/>
                      <w:color w:val="000000" w:themeColor="text1"/>
                      <w:szCs w:val="21"/>
                    </w:rPr>
                  </w:pPr>
                </w:p>
              </w:tc>
              <w:tc>
                <w:tcPr>
                  <w:tcW w:w="1037" w:type="pct"/>
                  <w:tcBorders>
                    <w:bottom w:val="single" w:color="auto" w:sz="8" w:space="0"/>
                  </w:tcBorders>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废活性炭</w:t>
                  </w:r>
                </w:p>
              </w:tc>
              <w:tc>
                <w:tcPr>
                  <w:tcW w:w="468" w:type="pct"/>
                  <w:tcBorders>
                    <w:bottom w:val="single" w:color="auto" w:sz="8" w:space="0"/>
                  </w:tcBorders>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t/a</w:t>
                  </w:r>
                </w:p>
              </w:tc>
              <w:tc>
                <w:tcPr>
                  <w:tcW w:w="861" w:type="pct"/>
                  <w:tcBorders>
                    <w:bottom w:val="single" w:color="auto" w:sz="8" w:space="0"/>
                  </w:tcBorders>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2.112</w:t>
                  </w:r>
                </w:p>
              </w:tc>
              <w:tc>
                <w:tcPr>
                  <w:tcW w:w="2186" w:type="pct"/>
                  <w:tcBorders>
                    <w:bottom w:val="single" w:color="auto" w:sz="8" w:space="0"/>
                  </w:tcBorders>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集中收集后，</w:t>
                  </w:r>
                  <w:r>
                    <w:rPr>
                      <w:rFonts w:hint="eastAsia" w:ascii="Times New Roman" w:hAnsi="Times New Roman" w:eastAsia="宋体"/>
                      <w:color w:val="000000" w:themeColor="text1"/>
                      <w:szCs w:val="21"/>
                    </w:rPr>
                    <w:t>委托尉氏县利源净化材料有限公司（危废处置合同见附件6）回收处理</w:t>
                  </w:r>
                </w:p>
              </w:tc>
            </w:tr>
          </w:tbl>
          <w:p>
            <w:pPr>
              <w:adjustRightInd w:val="0"/>
              <w:snapToGrid w:val="0"/>
              <w:spacing w:line="440" w:lineRule="exact"/>
              <w:ind w:firstLine="482" w:firstLineChars="200"/>
              <w:rPr>
                <w:rFonts w:ascii="Times New Roman" w:hAnsi="Times New Roman" w:eastAsia="宋体"/>
                <w:b/>
                <w:color w:val="000000" w:themeColor="text1"/>
                <w:sz w:val="24"/>
              </w:rPr>
            </w:pPr>
            <w:r>
              <w:rPr>
                <w:rFonts w:hint="eastAsia" w:ascii="Times New Roman" w:hAnsi="Times New Roman" w:eastAsia="宋体"/>
                <w:b/>
                <w:color w:val="000000" w:themeColor="text1"/>
                <w:sz w:val="24"/>
              </w:rPr>
              <w:t>5</w:t>
            </w:r>
            <w:r>
              <w:rPr>
                <w:rFonts w:hint="eastAsia" w:ascii="Times New Roman" w:eastAsia="宋体"/>
                <w:b/>
                <w:color w:val="000000" w:themeColor="text1"/>
                <w:sz w:val="24"/>
              </w:rPr>
              <w:t>、原有工程总量控制指标</w:t>
            </w:r>
          </w:p>
          <w:p>
            <w:pPr>
              <w:adjustRightInd w:val="0"/>
              <w:snapToGrid w:val="0"/>
              <w:spacing w:line="440" w:lineRule="exact"/>
              <w:ind w:firstLine="480" w:firstLineChars="200"/>
              <w:rPr>
                <w:rFonts w:ascii="Times New Roman" w:hAnsi="Times New Roman" w:eastAsia="宋体"/>
                <w:b/>
                <w:color w:val="000000" w:themeColor="text1"/>
                <w:sz w:val="24"/>
              </w:rPr>
            </w:pPr>
            <w:r>
              <w:rPr>
                <w:rFonts w:hint="eastAsia" w:ascii="Times New Roman" w:hAnsi="Times New Roman" w:eastAsia="宋体"/>
                <w:color w:val="000000" w:themeColor="text1"/>
                <w:sz w:val="24"/>
              </w:rPr>
              <w:t>根据《新乡市顺风船科技有限公司年产1000吨PVC塑料制品项目环境影响报告表》和《新乡市顺风船科技有限公司年产2800吨新型环保钙锌稳定剂项目环境影响报告表》可知，新乡市顺风船科技有限公司原有工程总量控制指标为有组织颗粒物：</w:t>
            </w:r>
            <w:r>
              <w:rPr>
                <w:rFonts w:ascii="Times New Roman" w:hAnsi="Times New Roman" w:eastAsia="宋体"/>
                <w:color w:val="000000" w:themeColor="text1"/>
                <w:sz w:val="24"/>
              </w:rPr>
              <w:t>0.0</w:t>
            </w:r>
            <w:r>
              <w:rPr>
                <w:rFonts w:hint="eastAsia" w:ascii="Times New Roman" w:hAnsi="Times New Roman" w:eastAsia="宋体"/>
                <w:color w:val="000000" w:themeColor="text1"/>
                <w:sz w:val="24"/>
              </w:rPr>
              <w:t>156</w:t>
            </w:r>
            <w:r>
              <w:rPr>
                <w:rFonts w:ascii="Times New Roman" w:hAnsi="Times New Roman" w:eastAsia="宋体"/>
                <w:color w:val="000000" w:themeColor="text1"/>
                <w:sz w:val="24"/>
              </w:rPr>
              <w:t>t/a</w:t>
            </w:r>
            <w:r>
              <w:rPr>
                <w:rFonts w:hint="eastAsia" w:ascii="Times New Roman" w:hAnsi="Times New Roman" w:eastAsia="宋体"/>
                <w:color w:val="000000" w:themeColor="text1"/>
                <w:sz w:val="24"/>
              </w:rPr>
              <w:t>、有组织VOCs：0.3472t/a、</w:t>
            </w:r>
            <w:r>
              <w:rPr>
                <w:rFonts w:ascii="Times New Roman" w:hAnsi="Times New Roman" w:eastAsia="宋体"/>
                <w:color w:val="000000" w:themeColor="text1"/>
                <w:sz w:val="24"/>
              </w:rPr>
              <w:t>COD</w:t>
            </w:r>
            <w:r>
              <w:rPr>
                <w:rFonts w:hint="eastAsia" w:ascii="Times New Roman" w:hAnsi="Times New Roman" w:eastAsia="宋体"/>
                <w:color w:val="000000" w:themeColor="text1"/>
                <w:sz w:val="24"/>
              </w:rPr>
              <w:t>：</w:t>
            </w:r>
            <w:r>
              <w:rPr>
                <w:rFonts w:ascii="Times New Roman" w:hAnsi="Times New Roman" w:eastAsia="宋体"/>
                <w:color w:val="000000" w:themeColor="text1"/>
                <w:sz w:val="24"/>
              </w:rPr>
              <w:t>0.</w:t>
            </w:r>
            <w:r>
              <w:rPr>
                <w:rFonts w:hint="eastAsia" w:ascii="Times New Roman" w:hAnsi="Times New Roman" w:eastAsia="宋体"/>
                <w:color w:val="000000" w:themeColor="text1"/>
                <w:sz w:val="24"/>
              </w:rPr>
              <w:t>0252</w:t>
            </w:r>
            <w:r>
              <w:rPr>
                <w:rFonts w:ascii="Times New Roman" w:hAnsi="Times New Roman" w:eastAsia="宋体"/>
                <w:color w:val="000000" w:themeColor="text1"/>
                <w:sz w:val="24"/>
              </w:rPr>
              <w:t>t/a</w:t>
            </w:r>
            <w:r>
              <w:rPr>
                <w:rFonts w:hint="eastAsia" w:ascii="Times New Roman" w:hAnsi="Times New Roman" w:eastAsia="宋体"/>
                <w:color w:val="000000" w:themeColor="text1"/>
                <w:sz w:val="24"/>
              </w:rPr>
              <w:t>、</w:t>
            </w:r>
            <w:r>
              <w:rPr>
                <w:rFonts w:ascii="Times New Roman" w:hAnsi="Times New Roman" w:eastAsia="宋体"/>
                <w:color w:val="000000" w:themeColor="text1"/>
                <w:sz w:val="24"/>
              </w:rPr>
              <w:t>NH</w:t>
            </w:r>
            <w:r>
              <w:rPr>
                <w:rFonts w:ascii="Times New Roman" w:hAnsi="Times New Roman" w:eastAsia="宋体"/>
                <w:color w:val="000000" w:themeColor="text1"/>
                <w:sz w:val="24"/>
                <w:vertAlign w:val="subscript"/>
              </w:rPr>
              <w:t>3</w:t>
            </w:r>
            <w:r>
              <w:rPr>
                <w:rFonts w:ascii="Times New Roman" w:hAnsi="Times New Roman" w:eastAsia="宋体"/>
                <w:color w:val="000000" w:themeColor="text1"/>
                <w:sz w:val="24"/>
              </w:rPr>
              <w:t>-N</w:t>
            </w:r>
            <w:r>
              <w:rPr>
                <w:rFonts w:hint="eastAsia" w:ascii="Times New Roman" w:hAnsi="Times New Roman" w:eastAsia="宋体"/>
                <w:color w:val="000000" w:themeColor="text1"/>
                <w:sz w:val="24"/>
              </w:rPr>
              <w:t>：</w:t>
            </w:r>
            <w:r>
              <w:rPr>
                <w:rFonts w:ascii="Times New Roman" w:hAnsi="Times New Roman" w:eastAsia="宋体"/>
                <w:color w:val="000000" w:themeColor="text1"/>
                <w:sz w:val="24"/>
              </w:rPr>
              <w:t>0.0</w:t>
            </w:r>
            <w:r>
              <w:rPr>
                <w:rFonts w:hint="eastAsia" w:ascii="Times New Roman" w:hAnsi="Times New Roman" w:eastAsia="宋体"/>
                <w:color w:val="000000" w:themeColor="text1"/>
                <w:sz w:val="24"/>
              </w:rPr>
              <w:t>026</w:t>
            </w:r>
            <w:r>
              <w:rPr>
                <w:rFonts w:ascii="Times New Roman" w:hAnsi="Times New Roman" w:eastAsia="宋体"/>
                <w:color w:val="000000" w:themeColor="text1"/>
                <w:sz w:val="24"/>
              </w:rPr>
              <w:t>t/a</w:t>
            </w:r>
            <w:r>
              <w:rPr>
                <w:rFonts w:hint="eastAsia" w:ascii="Times New Roman" w:eastAsia="宋体"/>
                <w:color w:val="000000" w:themeColor="text1"/>
                <w:sz w:val="24"/>
              </w:rPr>
              <w:t>、</w:t>
            </w:r>
            <w:r>
              <w:rPr>
                <w:rFonts w:hint="eastAsia" w:ascii="Times New Roman" w:hAnsi="Times New Roman" w:eastAsia="宋体"/>
                <w:color w:val="000000" w:themeColor="text1"/>
                <w:sz w:val="24"/>
              </w:rPr>
              <w:t>TP</w:t>
            </w:r>
            <w:r>
              <w:rPr>
                <w:rFonts w:hint="eastAsia" w:ascii="Times New Roman" w:eastAsia="宋体"/>
                <w:color w:val="000000" w:themeColor="text1"/>
                <w:sz w:val="24"/>
              </w:rPr>
              <w:t>：</w:t>
            </w:r>
            <w:r>
              <w:rPr>
                <w:rFonts w:hint="eastAsia" w:ascii="Times New Roman" w:hAnsi="Times New Roman" w:eastAsia="宋体"/>
                <w:color w:val="000000" w:themeColor="text1"/>
                <w:sz w:val="24"/>
              </w:rPr>
              <w:t>0.0002t/a。</w:t>
            </w:r>
          </w:p>
          <w:p>
            <w:pPr>
              <w:adjustRightInd w:val="0"/>
              <w:snapToGrid w:val="0"/>
              <w:spacing w:line="440" w:lineRule="exact"/>
              <w:ind w:firstLine="482" w:firstLineChars="200"/>
              <w:rPr>
                <w:rFonts w:ascii="Times New Roman" w:hAnsi="Times New Roman" w:eastAsia="宋体"/>
                <w:b/>
                <w:color w:val="000000" w:themeColor="text1"/>
                <w:sz w:val="24"/>
              </w:rPr>
            </w:pPr>
            <w:r>
              <w:rPr>
                <w:rFonts w:hint="eastAsia" w:ascii="Times New Roman" w:hAnsi="Times New Roman" w:eastAsia="宋体"/>
                <w:b/>
                <w:color w:val="000000" w:themeColor="text1"/>
                <w:sz w:val="24"/>
              </w:rPr>
              <w:t>6</w:t>
            </w:r>
            <w:r>
              <w:rPr>
                <w:rFonts w:hint="eastAsia" w:ascii="Times New Roman" w:eastAsia="宋体"/>
                <w:b/>
                <w:color w:val="000000" w:themeColor="text1"/>
                <w:sz w:val="24"/>
              </w:rPr>
              <w:t>、原有工程卫生防护距离</w:t>
            </w:r>
          </w:p>
          <w:p>
            <w:pPr>
              <w:widowControl/>
              <w:spacing w:line="440" w:lineRule="exact"/>
              <w:ind w:firstLine="480" w:firstLineChars="200"/>
              <w:jc w:val="left"/>
              <w:rPr>
                <w:rFonts w:ascii="Times New Roman" w:hAnsi="Times New Roman" w:eastAsia="宋体"/>
                <w:color w:val="000000" w:themeColor="text1"/>
                <w:sz w:val="24"/>
              </w:rPr>
            </w:pPr>
            <w:r>
              <w:rPr>
                <w:rFonts w:ascii="Times New Roman" w:hAnsi="Times New Roman" w:eastAsia="宋体"/>
                <w:color w:val="000000" w:themeColor="text1"/>
                <w:sz w:val="24"/>
              </w:rPr>
              <w:t>根据</w:t>
            </w:r>
            <w:r>
              <w:rPr>
                <w:rFonts w:hint="eastAsia" w:ascii="Times New Roman" w:hAnsi="Times New Roman" w:eastAsia="宋体"/>
                <w:color w:val="000000" w:themeColor="text1"/>
                <w:sz w:val="24"/>
              </w:rPr>
              <w:t>《新乡市顺风船科技有限公司年产1000吨PVC塑料制品项目环境影响报告表》</w:t>
            </w:r>
            <w:r>
              <w:rPr>
                <w:rFonts w:ascii="Times New Roman" w:hAnsi="Times New Roman" w:eastAsia="宋体"/>
                <w:color w:val="000000" w:themeColor="text1"/>
                <w:sz w:val="24"/>
              </w:rPr>
              <w:t>可知，企业原有工程生产车间</w:t>
            </w:r>
            <w:r>
              <w:rPr>
                <w:rFonts w:hint="eastAsia" w:ascii="Times New Roman" w:hAnsi="Times New Roman" w:eastAsia="宋体"/>
                <w:color w:val="000000" w:themeColor="text1"/>
                <w:sz w:val="24"/>
              </w:rPr>
              <w:t>1</w:t>
            </w:r>
            <w:r>
              <w:rPr>
                <w:rFonts w:ascii="Times New Roman" w:hAnsi="Times New Roman" w:eastAsia="宋体"/>
                <w:color w:val="000000" w:themeColor="text1"/>
                <w:sz w:val="24"/>
              </w:rPr>
              <w:t>的卫生防护距离为</w:t>
            </w:r>
            <w:r>
              <w:rPr>
                <w:rFonts w:hint="eastAsia" w:ascii="Times New Roman" w:hAnsi="Times New Roman" w:eastAsia="宋体"/>
                <w:color w:val="000000" w:themeColor="text1"/>
                <w:sz w:val="24"/>
              </w:rPr>
              <w:t>100</w:t>
            </w:r>
            <w:r>
              <w:rPr>
                <w:rFonts w:ascii="Times New Roman" w:hAnsi="Times New Roman" w:eastAsia="宋体"/>
                <w:color w:val="000000" w:themeColor="text1"/>
                <w:sz w:val="24"/>
              </w:rPr>
              <w:t>m。根据</w:t>
            </w:r>
            <w:r>
              <w:rPr>
                <w:rFonts w:hint="eastAsia" w:ascii="Times New Roman" w:hAnsi="Times New Roman" w:eastAsia="宋体"/>
                <w:color w:val="000000" w:themeColor="text1"/>
                <w:sz w:val="24"/>
              </w:rPr>
              <w:t>《新乡市顺风船科技有限公司年产2800吨新型环保钙锌稳定剂项目环境影响报告表》可知，</w:t>
            </w:r>
            <w:r>
              <w:rPr>
                <w:rFonts w:ascii="Times New Roman" w:hAnsi="Times New Roman" w:eastAsia="宋体"/>
                <w:color w:val="000000" w:themeColor="text1"/>
                <w:sz w:val="24"/>
              </w:rPr>
              <w:t>企业原有工程生产车间</w:t>
            </w:r>
            <w:r>
              <w:rPr>
                <w:rFonts w:hint="eastAsia" w:ascii="Times New Roman" w:hAnsi="Times New Roman" w:eastAsia="宋体"/>
                <w:color w:val="000000" w:themeColor="text1"/>
                <w:sz w:val="24"/>
              </w:rPr>
              <w:t>2</w:t>
            </w:r>
            <w:r>
              <w:rPr>
                <w:rFonts w:ascii="Times New Roman" w:hAnsi="Times New Roman" w:eastAsia="宋体"/>
                <w:color w:val="000000" w:themeColor="text1"/>
                <w:sz w:val="24"/>
              </w:rPr>
              <w:t>的卫生防护距离为</w:t>
            </w:r>
            <w:r>
              <w:rPr>
                <w:rFonts w:hint="eastAsia" w:ascii="Times New Roman" w:hAnsi="Times New Roman" w:eastAsia="宋体"/>
                <w:color w:val="000000" w:themeColor="text1"/>
                <w:sz w:val="24"/>
              </w:rPr>
              <w:t>50</w:t>
            </w:r>
            <w:r>
              <w:rPr>
                <w:rFonts w:ascii="Times New Roman" w:hAnsi="Times New Roman" w:eastAsia="宋体"/>
                <w:color w:val="000000" w:themeColor="text1"/>
                <w:sz w:val="24"/>
              </w:rPr>
              <w:t>m。结合厂区平面布置，原有工程厂区确定的卫生防护距离为东厂界外</w:t>
            </w:r>
            <w:r>
              <w:rPr>
                <w:rFonts w:hint="eastAsia" w:ascii="Times New Roman" w:hAnsi="Times New Roman" w:eastAsia="宋体"/>
                <w:color w:val="000000" w:themeColor="text1"/>
                <w:sz w:val="24"/>
              </w:rPr>
              <w:t>95</w:t>
            </w:r>
            <w:r>
              <w:rPr>
                <w:rFonts w:ascii="Times New Roman" w:hAnsi="Times New Roman" w:eastAsia="宋体"/>
                <w:color w:val="000000" w:themeColor="text1"/>
                <w:sz w:val="24"/>
              </w:rPr>
              <w:t>m、南厂界外</w:t>
            </w:r>
            <w:r>
              <w:rPr>
                <w:rFonts w:hint="eastAsia" w:ascii="Times New Roman" w:hAnsi="Times New Roman" w:eastAsia="宋体"/>
                <w:color w:val="000000" w:themeColor="text1"/>
                <w:sz w:val="24"/>
              </w:rPr>
              <w:t>96</w:t>
            </w:r>
            <w:r>
              <w:rPr>
                <w:rFonts w:ascii="Times New Roman" w:hAnsi="Times New Roman" w:eastAsia="宋体"/>
                <w:color w:val="000000" w:themeColor="text1"/>
                <w:sz w:val="24"/>
              </w:rPr>
              <w:t>m、西厂界外</w:t>
            </w:r>
            <w:r>
              <w:rPr>
                <w:rFonts w:hint="eastAsia" w:ascii="Times New Roman" w:hAnsi="Times New Roman" w:eastAsia="宋体"/>
                <w:color w:val="000000" w:themeColor="text1"/>
                <w:sz w:val="24"/>
              </w:rPr>
              <w:t>95</w:t>
            </w:r>
            <w:r>
              <w:rPr>
                <w:rFonts w:ascii="Times New Roman" w:hAnsi="Times New Roman" w:eastAsia="宋体"/>
                <w:color w:val="000000" w:themeColor="text1"/>
                <w:sz w:val="24"/>
              </w:rPr>
              <w:t>m、北厂界外</w:t>
            </w:r>
            <w:r>
              <w:rPr>
                <w:rFonts w:hint="eastAsia" w:ascii="Times New Roman" w:hAnsi="Times New Roman" w:eastAsia="宋体"/>
                <w:color w:val="000000" w:themeColor="text1"/>
                <w:sz w:val="24"/>
              </w:rPr>
              <w:t>97</w:t>
            </w:r>
            <w:r>
              <w:rPr>
                <w:rFonts w:ascii="Times New Roman" w:hAnsi="Times New Roman" w:eastAsia="宋体"/>
                <w:color w:val="000000" w:themeColor="text1"/>
                <w:sz w:val="24"/>
              </w:rPr>
              <w:t>m。经现场调查，原有工程卫生防护距离</w:t>
            </w:r>
            <w:r>
              <w:rPr>
                <w:rFonts w:hint="eastAsia" w:ascii="Times New Roman" w:hAnsi="Times New Roman" w:eastAsia="宋体"/>
                <w:color w:val="000000" w:themeColor="text1"/>
                <w:sz w:val="24"/>
              </w:rPr>
              <w:t>100</w:t>
            </w:r>
            <w:r>
              <w:rPr>
                <w:rFonts w:ascii="Times New Roman" w:hAnsi="Times New Roman" w:eastAsia="宋体"/>
                <w:color w:val="000000" w:themeColor="text1"/>
                <w:sz w:val="24"/>
              </w:rPr>
              <w:t>m范围内无居民区、学校、医院等环境保护目标，卫生防护距离可以满足要求。</w:t>
            </w:r>
          </w:p>
          <w:p>
            <w:pPr>
              <w:adjustRightInd w:val="0"/>
              <w:snapToGrid w:val="0"/>
              <w:spacing w:line="440" w:lineRule="exact"/>
              <w:ind w:firstLine="482" w:firstLineChars="200"/>
              <w:rPr>
                <w:rFonts w:ascii="Times New Roman" w:hAnsi="Times New Roman" w:eastAsia="宋体"/>
                <w:b/>
                <w:color w:val="000000" w:themeColor="text1"/>
                <w:sz w:val="24"/>
              </w:rPr>
            </w:pPr>
            <w:r>
              <w:rPr>
                <w:rFonts w:hint="eastAsia" w:ascii="Times New Roman" w:hAnsi="Times New Roman" w:eastAsia="宋体"/>
                <w:b/>
                <w:color w:val="000000" w:themeColor="text1"/>
                <w:sz w:val="24"/>
              </w:rPr>
              <w:t>7、新乡市顺风船科技有限公司原有工程存在的问题及整改措施</w:t>
            </w:r>
          </w:p>
          <w:p>
            <w:pPr>
              <w:pStyle w:val="9"/>
              <w:spacing w:line="440" w:lineRule="exact"/>
              <w:ind w:firstLine="480" w:firstLineChars="200"/>
              <w:rPr>
                <w:rFonts w:ascii="Times New Roman" w:hAnsi="Times New Roman" w:eastAsia="宋体"/>
                <w:color w:val="000000" w:themeColor="text1"/>
                <w:sz w:val="24"/>
              </w:rPr>
            </w:pPr>
            <w:r>
              <w:rPr>
                <w:rFonts w:hint="eastAsia" w:ascii="Times New Roman" w:hAnsi="Times New Roman" w:eastAsia="宋体"/>
                <w:color w:val="000000" w:themeColor="text1"/>
                <w:sz w:val="24"/>
              </w:rPr>
              <w:t>根据现场踏勘，新乡市顺风船科技有限公司原有工程挤出工序有机废气</w:t>
            </w:r>
            <w:r>
              <w:rPr>
                <w:rFonts w:ascii="Times New Roman" w:hAnsi="Times New Roman" w:eastAsia="宋体"/>
                <w:color w:val="000000" w:themeColor="text1"/>
                <w:sz w:val="24"/>
              </w:rPr>
              <w:t>经</w:t>
            </w:r>
            <w:r>
              <w:rPr>
                <w:rFonts w:hint="eastAsia" w:ascii="Times New Roman" w:hAnsi="Times New Roman" w:eastAsia="宋体"/>
                <w:color w:val="000000" w:themeColor="text1"/>
                <w:sz w:val="24"/>
              </w:rPr>
              <w:t>集气罩+“</w:t>
            </w:r>
            <w:r>
              <w:rPr>
                <w:rFonts w:ascii="Times New Roman" w:hAnsi="Times New Roman" w:eastAsia="宋体"/>
                <w:color w:val="000000" w:themeColor="text1"/>
                <w:sz w:val="24"/>
              </w:rPr>
              <w:t>UV光催化氧化+活性炭吸附</w:t>
            </w:r>
            <w:r>
              <w:rPr>
                <w:rFonts w:hint="eastAsia" w:ascii="Times New Roman" w:hAnsi="Times New Roman" w:eastAsia="宋体"/>
                <w:color w:val="000000" w:themeColor="text1"/>
                <w:sz w:val="24"/>
              </w:rPr>
              <w:t>+油烟净化器装置”</w:t>
            </w:r>
            <w:r>
              <w:rPr>
                <w:rFonts w:ascii="Times New Roman" w:hAnsi="Times New Roman" w:eastAsia="宋体"/>
                <w:color w:val="000000" w:themeColor="text1"/>
                <w:sz w:val="24"/>
              </w:rPr>
              <w:t>+</w:t>
            </w:r>
            <w:r>
              <w:rPr>
                <w:rFonts w:hint="eastAsia" w:ascii="Times New Roman" w:hAnsi="Times New Roman" w:eastAsia="宋体"/>
                <w:color w:val="000000" w:themeColor="text1"/>
                <w:sz w:val="24"/>
              </w:rPr>
              <w:t>15m高</w:t>
            </w:r>
            <w:r>
              <w:rPr>
                <w:rFonts w:ascii="Times New Roman" w:hAnsi="Times New Roman" w:eastAsia="宋体"/>
                <w:color w:val="000000" w:themeColor="text1"/>
                <w:sz w:val="24"/>
              </w:rPr>
              <w:t>排气筒排放</w:t>
            </w:r>
            <w:r>
              <w:rPr>
                <w:rFonts w:hint="eastAsia" w:ascii="Times New Roman" w:hAnsi="Times New Roman" w:eastAsia="宋体"/>
                <w:color w:val="000000" w:themeColor="text1"/>
                <w:sz w:val="24"/>
              </w:rPr>
              <w:t>。有机废气中氯化氢的排放浓度能够满足</w:t>
            </w:r>
            <w:r>
              <w:rPr>
                <w:rFonts w:hint="eastAsia" w:ascii="Times New Roman" w:hAnsi="Times New Roman" w:eastAsia="宋体"/>
                <w:b/>
                <w:color w:val="000000" w:themeColor="text1"/>
                <w:sz w:val="24"/>
                <w:u w:val="single"/>
              </w:rPr>
              <w:t>《烧碱、聚氯乙烯工业污染物排放标准》</w:t>
            </w:r>
            <w:r>
              <w:rPr>
                <w:rFonts w:ascii="Times New Roman" w:hAnsi="Times New Roman" w:eastAsia="宋体"/>
                <w:b/>
                <w:color w:val="000000" w:themeColor="text1"/>
                <w:sz w:val="24"/>
                <w:u w:val="single"/>
              </w:rPr>
              <w:t>（GB</w:t>
            </w:r>
            <w:r>
              <w:rPr>
                <w:rFonts w:hint="eastAsia" w:ascii="Times New Roman" w:hAnsi="Times New Roman" w:eastAsia="宋体"/>
                <w:b/>
                <w:color w:val="000000" w:themeColor="text1"/>
                <w:sz w:val="24"/>
                <w:u w:val="single"/>
              </w:rPr>
              <w:t>15581</w:t>
            </w:r>
            <w:r>
              <w:rPr>
                <w:rFonts w:ascii="Times New Roman" w:hAnsi="Times New Roman" w:eastAsia="宋体"/>
                <w:b/>
                <w:color w:val="000000" w:themeColor="text1"/>
                <w:sz w:val="24"/>
                <w:u w:val="single"/>
              </w:rPr>
              <w:t>-</w:t>
            </w:r>
            <w:r>
              <w:rPr>
                <w:rFonts w:hint="eastAsia" w:ascii="Times New Roman" w:hAnsi="Times New Roman" w:eastAsia="宋体"/>
                <w:b/>
                <w:color w:val="000000" w:themeColor="text1"/>
                <w:sz w:val="24"/>
                <w:u w:val="single"/>
              </w:rPr>
              <w:t>2016</w:t>
            </w:r>
            <w:r>
              <w:rPr>
                <w:rFonts w:ascii="Times New Roman" w:hAnsi="Times New Roman" w:eastAsia="宋体"/>
                <w:b/>
                <w:color w:val="000000" w:themeColor="text1"/>
                <w:sz w:val="24"/>
                <w:u w:val="single"/>
              </w:rPr>
              <w:t>）表</w:t>
            </w:r>
            <w:r>
              <w:rPr>
                <w:rFonts w:hint="eastAsia" w:ascii="Times New Roman" w:hAnsi="Times New Roman" w:eastAsia="宋体"/>
                <w:b/>
                <w:color w:val="000000" w:themeColor="text1"/>
                <w:sz w:val="24"/>
                <w:u w:val="single"/>
              </w:rPr>
              <w:t>4标准（</w:t>
            </w:r>
            <w:r>
              <w:rPr>
                <w:rFonts w:ascii="Times New Roman" w:hAnsi="Times New Roman" w:eastAsia="宋体"/>
                <w:b/>
                <w:color w:val="000000" w:themeColor="text1"/>
                <w:sz w:val="24"/>
                <w:u w:val="single"/>
              </w:rPr>
              <w:t>HCl</w:t>
            </w:r>
            <w:r>
              <w:rPr>
                <w:rFonts w:hint="eastAsia" w:ascii="Times New Roman" w:hAnsi="Times New Roman" w:eastAsia="宋体"/>
                <w:b/>
                <w:bCs/>
                <w:color w:val="000000" w:themeColor="text1"/>
                <w:sz w:val="24"/>
                <w:u w:val="single"/>
              </w:rPr>
              <w:t>排放限值20</w:t>
            </w:r>
            <w:r>
              <w:rPr>
                <w:rFonts w:ascii="Times New Roman" w:hAnsi="Times New Roman" w:eastAsia="宋体"/>
                <w:b/>
                <w:bCs/>
                <w:color w:val="000000" w:themeColor="text1"/>
                <w:sz w:val="24"/>
                <w:u w:val="single"/>
              </w:rPr>
              <w:t>mg/m</w:t>
            </w:r>
            <w:r>
              <w:rPr>
                <w:rFonts w:ascii="Times New Roman" w:hAnsi="Times New Roman" w:eastAsia="宋体"/>
                <w:b/>
                <w:bCs/>
                <w:color w:val="000000" w:themeColor="text1"/>
                <w:sz w:val="24"/>
                <w:u w:val="single"/>
                <w:vertAlign w:val="superscript"/>
              </w:rPr>
              <w:t>3</w:t>
            </w:r>
            <w:r>
              <w:rPr>
                <w:rFonts w:hint="eastAsia" w:ascii="Times New Roman" w:hAnsi="Times New Roman" w:eastAsia="宋体"/>
                <w:b/>
                <w:color w:val="000000" w:themeColor="text1"/>
                <w:sz w:val="24"/>
                <w:u w:val="single"/>
              </w:rPr>
              <w:t>）</w:t>
            </w:r>
            <w:r>
              <w:rPr>
                <w:rFonts w:hint="eastAsia" w:ascii="Times New Roman" w:hAnsi="Times New Roman" w:eastAsia="宋体"/>
                <w:color w:val="000000" w:themeColor="text1"/>
                <w:sz w:val="24"/>
              </w:rPr>
              <w:t>的要求。但企业应根据现在的环保要求，在有机废气处理设施后面增加一套水喷淋设施，以提高有机废气中氯化氢的处理效率。水喷淋设施产生的喷淋废水将</w:t>
            </w:r>
            <w:r>
              <w:rPr>
                <w:rFonts w:ascii="Times New Roman" w:hAnsi="Times New Roman" w:eastAsia="宋体"/>
                <w:color w:val="000000" w:themeColor="text1"/>
                <w:sz w:val="24"/>
              </w:rPr>
              <w:t>pH调节到</w:t>
            </w:r>
            <w:r>
              <w:rPr>
                <w:rFonts w:hint="eastAsia" w:ascii="Times New Roman" w:hAnsi="Times New Roman" w:eastAsia="宋体"/>
                <w:color w:val="000000" w:themeColor="text1"/>
                <w:sz w:val="24"/>
              </w:rPr>
              <w:t>6-9后，排入污水管网。</w:t>
            </w:r>
          </w:p>
          <w:p>
            <w:pPr>
              <w:adjustRightInd w:val="0"/>
              <w:snapToGrid w:val="0"/>
              <w:spacing w:line="520" w:lineRule="exact"/>
              <w:ind w:firstLine="480" w:firstLineChars="200"/>
              <w:rPr>
                <w:rFonts w:ascii="Times New Roman" w:hAnsi="Times New Roman" w:eastAsia="宋体"/>
                <w:color w:val="000000" w:themeColor="text1"/>
                <w:sz w:val="24"/>
              </w:rPr>
            </w:pPr>
          </w:p>
          <w:p>
            <w:pPr>
              <w:pStyle w:val="9"/>
              <w:spacing w:line="440" w:lineRule="exact"/>
              <w:ind w:firstLine="480" w:firstLineChars="200"/>
              <w:rPr>
                <w:rFonts w:ascii="Times New Roman" w:hAnsi="Times New Roman" w:eastAsia="宋体"/>
                <w:color w:val="000000" w:themeColor="text1"/>
                <w:sz w:val="24"/>
              </w:rPr>
            </w:pPr>
          </w:p>
          <w:p>
            <w:pPr>
              <w:rPr>
                <w:color w:val="000000" w:themeColor="text1"/>
              </w:rPr>
            </w:pPr>
          </w:p>
          <w:p>
            <w:pPr>
              <w:pStyle w:val="2"/>
              <w:rPr>
                <w:color w:val="000000" w:themeColor="text1"/>
              </w:rPr>
            </w:pPr>
          </w:p>
          <w:p/>
        </w:tc>
      </w:tr>
    </w:tbl>
    <w:p>
      <w:pPr>
        <w:pStyle w:val="23"/>
        <w:ind w:firstLine="538"/>
        <w:rPr>
          <w:color w:val="000000" w:themeColor="text1"/>
        </w:rPr>
        <w:sectPr>
          <w:footerReference r:id="rId3" w:type="default"/>
          <w:footerReference r:id="rId4" w:type="even"/>
          <w:pgSz w:w="11906" w:h="16838"/>
          <w:pgMar w:top="1417" w:right="1417" w:bottom="1417" w:left="1417" w:header="851" w:footer="992" w:gutter="0"/>
          <w:cols w:space="720" w:num="1"/>
          <w:docGrid w:type="lines" w:linePitch="312" w:charSpace="0"/>
        </w:sectPr>
      </w:pPr>
    </w:p>
    <w:p>
      <w:pPr>
        <w:spacing w:line="500" w:lineRule="exact"/>
        <w:outlineLvl w:val="0"/>
        <w:rPr>
          <w:b/>
          <w:color w:val="000000" w:themeColor="text1"/>
          <w:sz w:val="32"/>
          <w:szCs w:val="32"/>
        </w:rPr>
      </w:pPr>
      <w:r>
        <w:rPr>
          <w:rFonts w:hint="eastAsia" w:hAnsi="宋体"/>
          <w:b/>
          <w:color w:val="000000" w:themeColor="text1"/>
          <w:sz w:val="32"/>
          <w:szCs w:val="32"/>
        </w:rPr>
        <w:t>建设项目所在地自然环境简况</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28" w:type="dxa"/>
          <w:bottom w:w="0" w:type="dxa"/>
          <w:right w:w="28" w:type="dxa"/>
        </w:tblCellMar>
      </w:tblPr>
      <w:tblGrid>
        <w:gridCol w:w="908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547" w:hRule="atLeast"/>
          <w:jc w:val="center"/>
        </w:trPr>
        <w:tc>
          <w:tcPr>
            <w:tcW w:w="9082" w:type="dxa"/>
          </w:tcPr>
          <w:p>
            <w:pPr>
              <w:spacing w:line="440" w:lineRule="exact"/>
              <w:ind w:firstLine="482" w:firstLineChars="200"/>
              <w:jc w:val="left"/>
              <w:rPr>
                <w:rFonts w:ascii="Times New Roman" w:hAnsi="Times New Roman" w:eastAsia="宋体"/>
                <w:b/>
                <w:color w:val="000000" w:themeColor="text1"/>
                <w:sz w:val="24"/>
              </w:rPr>
            </w:pPr>
            <w:r>
              <w:rPr>
                <w:rFonts w:ascii="Times New Roman" w:hAnsi="Times New Roman" w:eastAsia="宋体"/>
                <w:b/>
                <w:color w:val="000000" w:themeColor="text1"/>
                <w:sz w:val="24"/>
              </w:rPr>
              <w:t>1、地理位置</w:t>
            </w:r>
          </w:p>
          <w:p>
            <w:pPr>
              <w:adjustRightInd w:val="0"/>
              <w:snapToGrid w:val="0"/>
              <w:spacing w:line="440" w:lineRule="exact"/>
              <w:ind w:firstLine="480" w:firstLineChars="200"/>
              <w:rPr>
                <w:rFonts w:ascii="Times New Roman" w:hAnsi="Times New Roman" w:eastAsia="宋体"/>
                <w:color w:val="000000" w:themeColor="text1"/>
                <w:sz w:val="24"/>
              </w:rPr>
            </w:pPr>
            <w:r>
              <w:rPr>
                <w:rFonts w:hint="eastAsia" w:ascii="Times New Roman" w:eastAsia="宋体"/>
                <w:color w:val="000000" w:themeColor="text1"/>
                <w:sz w:val="24"/>
              </w:rPr>
              <w:t>新乡县位于河南省中北部，属新乡市管辖。地处东经</w:t>
            </w:r>
            <w:r>
              <w:rPr>
                <w:rFonts w:ascii="Times New Roman" w:hAnsi="Times New Roman" w:eastAsia="宋体"/>
                <w:color w:val="000000" w:themeColor="text1"/>
                <w:sz w:val="24"/>
              </w:rPr>
              <w:t>113°42′~114°04′</w:t>
            </w:r>
            <w:r>
              <w:rPr>
                <w:rFonts w:hint="eastAsia" w:ascii="Times New Roman" w:eastAsia="宋体"/>
                <w:color w:val="000000" w:themeColor="text1"/>
                <w:sz w:val="24"/>
              </w:rPr>
              <w:t>，北纬</w:t>
            </w:r>
            <w:r>
              <w:rPr>
                <w:rFonts w:ascii="Times New Roman" w:hAnsi="Times New Roman" w:eastAsia="宋体"/>
                <w:color w:val="000000" w:themeColor="text1"/>
                <w:sz w:val="24"/>
              </w:rPr>
              <w:t>35°05′~35°24′</w:t>
            </w:r>
            <w:r>
              <w:rPr>
                <w:rFonts w:hint="eastAsia" w:ascii="Times New Roman" w:eastAsia="宋体"/>
                <w:color w:val="000000" w:themeColor="text1"/>
                <w:sz w:val="24"/>
              </w:rPr>
              <w:t>。全境环绕新乡市市区东、西、南三面，县境东西最大距离为</w:t>
            </w:r>
            <w:r>
              <w:rPr>
                <w:rFonts w:ascii="Times New Roman" w:hAnsi="Times New Roman" w:eastAsia="宋体"/>
                <w:color w:val="000000" w:themeColor="text1"/>
                <w:sz w:val="24"/>
              </w:rPr>
              <w:t>32.7 km</w:t>
            </w:r>
            <w:r>
              <w:rPr>
                <w:rFonts w:hint="eastAsia" w:ascii="Times New Roman" w:eastAsia="宋体"/>
                <w:color w:val="000000" w:themeColor="text1"/>
                <w:sz w:val="24"/>
              </w:rPr>
              <w:t>，南北最大距离</w:t>
            </w:r>
            <w:r>
              <w:rPr>
                <w:rFonts w:ascii="Times New Roman" w:hAnsi="Times New Roman" w:eastAsia="宋体"/>
                <w:color w:val="000000" w:themeColor="text1"/>
                <w:sz w:val="24"/>
              </w:rPr>
              <w:t>34.5 km</w:t>
            </w:r>
            <w:r>
              <w:rPr>
                <w:rFonts w:hint="eastAsia" w:ascii="Times New Roman" w:eastAsia="宋体"/>
                <w:color w:val="000000" w:themeColor="text1"/>
                <w:sz w:val="24"/>
              </w:rPr>
              <w:t>，总面积</w:t>
            </w:r>
            <w:r>
              <w:rPr>
                <w:rFonts w:ascii="Times New Roman" w:hAnsi="Times New Roman" w:eastAsia="宋体"/>
                <w:color w:val="000000" w:themeColor="text1"/>
                <w:sz w:val="24"/>
              </w:rPr>
              <w:t>523.6 km</w:t>
            </w:r>
            <w:r>
              <w:rPr>
                <w:rFonts w:ascii="Times New Roman" w:hAnsi="Times New Roman" w:eastAsia="宋体"/>
                <w:color w:val="000000" w:themeColor="text1"/>
                <w:sz w:val="24"/>
                <w:vertAlign w:val="superscript"/>
              </w:rPr>
              <w:t>2</w:t>
            </w:r>
            <w:r>
              <w:rPr>
                <w:rFonts w:hint="eastAsia" w:ascii="Times New Roman" w:eastAsia="宋体"/>
                <w:color w:val="000000" w:themeColor="text1"/>
                <w:sz w:val="24"/>
              </w:rPr>
              <w:t>。</w:t>
            </w:r>
          </w:p>
          <w:p>
            <w:pPr>
              <w:pStyle w:val="9"/>
              <w:spacing w:line="440" w:lineRule="exact"/>
              <w:ind w:firstLine="480" w:firstLineChars="200"/>
              <w:rPr>
                <w:rFonts w:ascii="Times New Roman" w:hAnsi="Times New Roman" w:eastAsia="宋体"/>
                <w:color w:val="000000" w:themeColor="text1"/>
                <w:sz w:val="24"/>
              </w:rPr>
            </w:pPr>
            <w:r>
              <w:rPr>
                <w:rFonts w:ascii="Times New Roman" w:hAnsi="Times New Roman" w:eastAsia="宋体"/>
                <w:color w:val="000000" w:themeColor="text1"/>
                <w:sz w:val="24"/>
              </w:rPr>
              <w:t>该项目位于</w:t>
            </w:r>
            <w:r>
              <w:rPr>
                <w:rFonts w:ascii="Times New Roman" w:hAnsi="Times New Roman" w:eastAsia="宋体"/>
                <w:bCs/>
                <w:color w:val="000000" w:themeColor="text1"/>
                <w:sz w:val="24"/>
              </w:rPr>
              <w:t>新乡市新乡县七里营镇</w:t>
            </w:r>
            <w:r>
              <w:rPr>
                <w:rFonts w:hint="eastAsia" w:ascii="Times New Roman" w:hAnsi="Times New Roman" w:eastAsia="宋体"/>
                <w:bCs/>
                <w:color w:val="000000" w:themeColor="text1"/>
                <w:sz w:val="24"/>
              </w:rPr>
              <w:t>107国道与胡韦线交叉口中原兴业产业园</w:t>
            </w:r>
            <w:r>
              <w:rPr>
                <w:rFonts w:ascii="Times New Roman" w:hAnsi="Times New Roman" w:eastAsia="宋体"/>
                <w:color w:val="000000" w:themeColor="text1"/>
                <w:sz w:val="24"/>
              </w:rPr>
              <w:t>，具体地理位置详见附图 1。</w:t>
            </w:r>
          </w:p>
          <w:p>
            <w:pPr>
              <w:pStyle w:val="3"/>
              <w:spacing w:before="0" w:after="0" w:line="440" w:lineRule="exact"/>
              <w:ind w:firstLine="482" w:firstLineChars="200"/>
              <w:rPr>
                <w:rFonts w:ascii="Times New Roman" w:hAnsi="Times New Roman" w:eastAsia="宋体"/>
                <w:color w:val="000000" w:themeColor="text1"/>
                <w:sz w:val="24"/>
                <w:szCs w:val="24"/>
              </w:rPr>
            </w:pPr>
            <w:r>
              <w:rPr>
                <w:rFonts w:ascii="Times New Roman" w:hAnsi="Times New Roman" w:eastAsia="宋体"/>
                <w:color w:val="000000" w:themeColor="text1"/>
                <w:sz w:val="24"/>
                <w:szCs w:val="24"/>
              </w:rPr>
              <w:t>2、地形地貌</w:t>
            </w:r>
          </w:p>
          <w:p>
            <w:pPr>
              <w:spacing w:line="440" w:lineRule="exact"/>
              <w:ind w:firstLine="456" w:firstLineChars="200"/>
              <w:rPr>
                <w:rFonts w:ascii="Times New Roman" w:hAnsi="Times New Roman" w:eastAsia="宋体"/>
                <w:color w:val="000000" w:themeColor="text1"/>
                <w:spacing w:val="-6"/>
                <w:sz w:val="24"/>
              </w:rPr>
            </w:pPr>
            <w:r>
              <w:rPr>
                <w:rFonts w:hint="eastAsia" w:ascii="Times New Roman" w:eastAsia="宋体"/>
                <w:color w:val="000000" w:themeColor="text1"/>
                <w:spacing w:val="-6"/>
                <w:sz w:val="24"/>
              </w:rPr>
              <w:t>新乡县属黄河冲积平原，南部多沙，中部低洼，地形低平，便于引黄灌溉和机械化操作。总的地势是西北高、东南低。自然坡降为</w:t>
            </w:r>
            <w:r>
              <w:rPr>
                <w:rFonts w:ascii="Times New Roman" w:hAnsi="Times New Roman" w:eastAsia="宋体"/>
                <w:color w:val="000000" w:themeColor="text1"/>
                <w:spacing w:val="-6"/>
                <w:sz w:val="24"/>
              </w:rPr>
              <w:t>1/4000</w:t>
            </w:r>
            <w:r>
              <w:rPr>
                <w:rFonts w:hint="eastAsia" w:ascii="Times New Roman" w:eastAsia="宋体"/>
                <w:color w:val="000000" w:themeColor="text1"/>
                <w:spacing w:val="-6"/>
                <w:sz w:val="24"/>
              </w:rPr>
              <w:t>，海拔高度</w:t>
            </w:r>
            <w:r>
              <w:rPr>
                <w:rFonts w:ascii="Times New Roman" w:hAnsi="Times New Roman" w:eastAsia="宋体"/>
                <w:color w:val="000000" w:themeColor="text1"/>
                <w:spacing w:val="-6"/>
                <w:sz w:val="24"/>
              </w:rPr>
              <w:t>70~80m</w:t>
            </w:r>
            <w:r>
              <w:rPr>
                <w:rFonts w:hint="eastAsia" w:ascii="Times New Roman" w:eastAsia="宋体"/>
                <w:color w:val="000000" w:themeColor="text1"/>
                <w:spacing w:val="-6"/>
                <w:sz w:val="24"/>
              </w:rPr>
              <w:t>。</w:t>
            </w:r>
          </w:p>
          <w:p>
            <w:pPr>
              <w:pStyle w:val="3"/>
              <w:spacing w:before="0" w:after="0" w:line="440" w:lineRule="exact"/>
              <w:ind w:firstLine="482" w:firstLineChars="200"/>
              <w:rPr>
                <w:rFonts w:ascii="Times New Roman" w:hAnsi="Times New Roman" w:eastAsia="宋体"/>
                <w:color w:val="000000" w:themeColor="text1"/>
                <w:sz w:val="24"/>
                <w:szCs w:val="24"/>
              </w:rPr>
            </w:pPr>
            <w:r>
              <w:rPr>
                <w:rFonts w:ascii="Times New Roman" w:hAnsi="Times New Roman" w:eastAsia="宋体"/>
                <w:color w:val="000000" w:themeColor="text1"/>
                <w:sz w:val="24"/>
                <w:szCs w:val="24"/>
              </w:rPr>
              <w:t>3、气候、气象</w:t>
            </w:r>
          </w:p>
          <w:p>
            <w:pPr>
              <w:spacing w:line="440" w:lineRule="exact"/>
              <w:ind w:firstLine="480" w:firstLineChars="200"/>
              <w:rPr>
                <w:rFonts w:ascii="Times New Roman" w:hAnsi="Times New Roman" w:eastAsia="宋体"/>
                <w:bCs/>
                <w:color w:val="000000" w:themeColor="text1"/>
                <w:sz w:val="24"/>
              </w:rPr>
            </w:pPr>
            <w:r>
              <w:rPr>
                <w:rFonts w:hint="eastAsia" w:ascii="Times New Roman" w:eastAsia="宋体"/>
                <w:bCs/>
                <w:color w:val="000000" w:themeColor="text1"/>
                <w:sz w:val="24"/>
              </w:rPr>
              <w:t>新乡市属暖温带大陆性季风气候，四季分明，冬寒夏热，秋凉春早，年平均气温</w:t>
            </w:r>
            <w:r>
              <w:rPr>
                <w:rFonts w:ascii="Times New Roman" w:hAnsi="Times New Roman" w:eastAsia="宋体"/>
                <w:bCs/>
                <w:color w:val="000000" w:themeColor="text1"/>
                <w:sz w:val="24"/>
              </w:rPr>
              <w:t>15.2</w:t>
            </w:r>
            <w:r>
              <w:rPr>
                <w:rFonts w:hint="eastAsia" w:ascii="Times New Roman" w:hAnsi="Times New Roman" w:eastAsia="宋体"/>
                <w:bCs/>
                <w:color w:val="000000" w:themeColor="text1"/>
                <w:sz w:val="24"/>
              </w:rPr>
              <w:t>℃</w:t>
            </w:r>
            <w:r>
              <w:rPr>
                <w:rFonts w:hint="eastAsia" w:ascii="Times New Roman" w:eastAsia="宋体"/>
                <w:bCs/>
                <w:color w:val="000000" w:themeColor="text1"/>
                <w:sz w:val="24"/>
              </w:rPr>
              <w:t>；</w:t>
            </w:r>
            <w:r>
              <w:rPr>
                <w:rFonts w:ascii="Times New Roman" w:hAnsi="Times New Roman" w:eastAsia="宋体"/>
                <w:bCs/>
                <w:color w:val="000000" w:themeColor="text1"/>
                <w:sz w:val="24"/>
              </w:rPr>
              <w:t>7</w:t>
            </w:r>
            <w:r>
              <w:rPr>
                <w:rFonts w:hint="eastAsia" w:ascii="Times New Roman" w:eastAsia="宋体"/>
                <w:bCs/>
                <w:color w:val="000000" w:themeColor="text1"/>
                <w:sz w:val="24"/>
              </w:rPr>
              <w:t>月最热，平均</w:t>
            </w:r>
            <w:r>
              <w:rPr>
                <w:rFonts w:ascii="Times New Roman" w:hAnsi="Times New Roman" w:eastAsia="宋体"/>
                <w:bCs/>
                <w:color w:val="000000" w:themeColor="text1"/>
                <w:sz w:val="24"/>
              </w:rPr>
              <w:t>27.63</w:t>
            </w:r>
            <w:r>
              <w:rPr>
                <w:rFonts w:hint="eastAsia" w:ascii="Times New Roman" w:hAnsi="Times New Roman" w:eastAsia="宋体"/>
                <w:bCs/>
                <w:color w:val="000000" w:themeColor="text1"/>
                <w:sz w:val="24"/>
              </w:rPr>
              <w:t>°</w:t>
            </w:r>
            <w:r>
              <w:rPr>
                <w:rFonts w:ascii="Times New Roman" w:hAnsi="Times New Roman" w:eastAsia="宋体"/>
                <w:bCs/>
                <w:color w:val="000000" w:themeColor="text1"/>
                <w:sz w:val="24"/>
              </w:rPr>
              <w:t>C</w:t>
            </w:r>
            <w:r>
              <w:rPr>
                <w:rFonts w:hint="eastAsia" w:ascii="Times New Roman" w:eastAsia="宋体"/>
                <w:bCs/>
                <w:color w:val="000000" w:themeColor="text1"/>
                <w:sz w:val="24"/>
              </w:rPr>
              <w:t>；</w:t>
            </w:r>
            <w:r>
              <w:rPr>
                <w:rFonts w:ascii="Times New Roman" w:hAnsi="Times New Roman" w:eastAsia="宋体"/>
                <w:bCs/>
                <w:color w:val="000000" w:themeColor="text1"/>
                <w:sz w:val="24"/>
              </w:rPr>
              <w:t>1</w:t>
            </w:r>
            <w:r>
              <w:rPr>
                <w:rFonts w:hint="eastAsia" w:ascii="Times New Roman" w:eastAsia="宋体"/>
                <w:bCs/>
                <w:color w:val="000000" w:themeColor="text1"/>
                <w:sz w:val="24"/>
              </w:rPr>
              <w:t>月最冷，平均</w:t>
            </w:r>
            <w:r>
              <w:rPr>
                <w:rFonts w:ascii="Times New Roman" w:hAnsi="Times New Roman" w:eastAsia="宋体"/>
                <w:bCs/>
                <w:color w:val="000000" w:themeColor="text1"/>
                <w:sz w:val="24"/>
              </w:rPr>
              <w:t>0.2</w:t>
            </w:r>
            <w:r>
              <w:rPr>
                <w:rFonts w:hint="eastAsia" w:ascii="Times New Roman" w:hAnsi="Times New Roman" w:eastAsia="宋体"/>
                <w:bCs/>
                <w:color w:val="000000" w:themeColor="text1"/>
                <w:sz w:val="24"/>
              </w:rPr>
              <w:t>°</w:t>
            </w:r>
            <w:r>
              <w:rPr>
                <w:rFonts w:ascii="Times New Roman" w:hAnsi="Times New Roman" w:eastAsia="宋体"/>
                <w:bCs/>
                <w:color w:val="000000" w:themeColor="text1"/>
                <w:sz w:val="24"/>
              </w:rPr>
              <w:t>C</w:t>
            </w:r>
            <w:r>
              <w:rPr>
                <w:rFonts w:hint="eastAsia" w:ascii="Times New Roman" w:eastAsia="宋体"/>
                <w:bCs/>
                <w:color w:val="000000" w:themeColor="text1"/>
                <w:sz w:val="24"/>
              </w:rPr>
              <w:t>；最高气温</w:t>
            </w:r>
            <w:r>
              <w:rPr>
                <w:rFonts w:ascii="Times New Roman" w:hAnsi="Times New Roman" w:eastAsia="宋体"/>
                <w:bCs/>
                <w:color w:val="000000" w:themeColor="text1"/>
                <w:sz w:val="24"/>
              </w:rPr>
              <w:t>40.9</w:t>
            </w:r>
            <w:r>
              <w:rPr>
                <w:rFonts w:hint="eastAsia" w:ascii="Times New Roman" w:hAnsi="Times New Roman" w:eastAsia="宋体"/>
                <w:bCs/>
                <w:color w:val="000000" w:themeColor="text1"/>
                <w:sz w:val="24"/>
              </w:rPr>
              <w:t>℃</w:t>
            </w:r>
            <w:r>
              <w:rPr>
                <w:rFonts w:hint="eastAsia" w:ascii="Times New Roman" w:eastAsia="宋体"/>
                <w:bCs/>
                <w:color w:val="000000" w:themeColor="text1"/>
                <w:sz w:val="24"/>
              </w:rPr>
              <w:t>（</w:t>
            </w:r>
            <w:r>
              <w:rPr>
                <w:rFonts w:ascii="Times New Roman" w:hAnsi="Times New Roman" w:eastAsia="宋体"/>
                <w:bCs/>
                <w:color w:val="000000" w:themeColor="text1"/>
                <w:sz w:val="24"/>
              </w:rPr>
              <w:t>2009</w:t>
            </w:r>
            <w:r>
              <w:rPr>
                <w:rFonts w:hint="eastAsia" w:ascii="Times New Roman" w:eastAsia="宋体"/>
                <w:bCs/>
                <w:color w:val="000000" w:themeColor="text1"/>
                <w:sz w:val="24"/>
              </w:rPr>
              <w:t>年</w:t>
            </w:r>
            <w:r>
              <w:rPr>
                <w:rFonts w:ascii="Times New Roman" w:hAnsi="Times New Roman" w:eastAsia="宋体"/>
                <w:bCs/>
                <w:color w:val="000000" w:themeColor="text1"/>
                <w:sz w:val="24"/>
              </w:rPr>
              <w:t>6</w:t>
            </w:r>
            <w:r>
              <w:rPr>
                <w:rFonts w:hint="eastAsia" w:ascii="Times New Roman" w:eastAsia="宋体"/>
                <w:bCs/>
                <w:color w:val="000000" w:themeColor="text1"/>
                <w:sz w:val="24"/>
              </w:rPr>
              <w:t>月</w:t>
            </w:r>
            <w:r>
              <w:rPr>
                <w:rFonts w:ascii="Times New Roman" w:hAnsi="Times New Roman" w:eastAsia="宋体"/>
                <w:bCs/>
                <w:color w:val="000000" w:themeColor="text1"/>
                <w:sz w:val="24"/>
              </w:rPr>
              <w:t>25</w:t>
            </w:r>
            <w:r>
              <w:rPr>
                <w:rFonts w:hint="eastAsia" w:ascii="Times New Roman" w:eastAsia="宋体"/>
                <w:bCs/>
                <w:color w:val="000000" w:themeColor="text1"/>
                <w:sz w:val="24"/>
              </w:rPr>
              <w:t>日），最低气温</w:t>
            </w:r>
            <w:r>
              <w:rPr>
                <w:rFonts w:ascii="Times New Roman" w:hAnsi="Times New Roman" w:eastAsia="宋体"/>
                <w:bCs/>
                <w:color w:val="000000" w:themeColor="text1"/>
                <w:sz w:val="24"/>
              </w:rPr>
              <w:t>-13.1</w:t>
            </w:r>
            <w:r>
              <w:rPr>
                <w:rFonts w:hint="eastAsia" w:ascii="Times New Roman" w:hAnsi="Times New Roman" w:eastAsia="宋体"/>
                <w:bCs/>
                <w:color w:val="000000" w:themeColor="text1"/>
                <w:sz w:val="24"/>
              </w:rPr>
              <w:t>℃</w:t>
            </w:r>
            <w:r>
              <w:rPr>
                <w:rFonts w:hint="eastAsia" w:ascii="Times New Roman" w:eastAsia="宋体"/>
                <w:bCs/>
                <w:color w:val="000000" w:themeColor="text1"/>
                <w:sz w:val="24"/>
              </w:rPr>
              <w:t>（</w:t>
            </w:r>
            <w:r>
              <w:rPr>
                <w:rFonts w:ascii="Times New Roman" w:hAnsi="Times New Roman" w:eastAsia="宋体"/>
                <w:bCs/>
                <w:color w:val="000000" w:themeColor="text1"/>
                <w:sz w:val="24"/>
              </w:rPr>
              <w:t>2016</w:t>
            </w:r>
            <w:r>
              <w:rPr>
                <w:rFonts w:hint="eastAsia" w:ascii="Times New Roman" w:eastAsia="宋体"/>
                <w:bCs/>
                <w:color w:val="000000" w:themeColor="text1"/>
                <w:sz w:val="24"/>
              </w:rPr>
              <w:t>年</w:t>
            </w:r>
            <w:r>
              <w:rPr>
                <w:rFonts w:ascii="Times New Roman" w:hAnsi="Times New Roman" w:eastAsia="宋体"/>
                <w:bCs/>
                <w:color w:val="000000" w:themeColor="text1"/>
                <w:sz w:val="24"/>
              </w:rPr>
              <w:t>1</w:t>
            </w:r>
            <w:r>
              <w:rPr>
                <w:rFonts w:hint="eastAsia" w:ascii="Times New Roman" w:eastAsia="宋体"/>
                <w:bCs/>
                <w:color w:val="000000" w:themeColor="text1"/>
                <w:sz w:val="24"/>
              </w:rPr>
              <w:t>月</w:t>
            </w:r>
            <w:r>
              <w:rPr>
                <w:rFonts w:ascii="Times New Roman" w:hAnsi="Times New Roman" w:eastAsia="宋体"/>
                <w:bCs/>
                <w:color w:val="000000" w:themeColor="text1"/>
                <w:sz w:val="24"/>
              </w:rPr>
              <w:t>24</w:t>
            </w:r>
            <w:r>
              <w:rPr>
                <w:rFonts w:hint="eastAsia" w:ascii="Times New Roman" w:eastAsia="宋体"/>
                <w:bCs/>
                <w:color w:val="000000" w:themeColor="text1"/>
                <w:sz w:val="24"/>
              </w:rPr>
              <w:t>日）。年均湿度</w:t>
            </w:r>
            <w:r>
              <w:rPr>
                <w:rFonts w:ascii="Times New Roman" w:hAnsi="Times New Roman" w:eastAsia="宋体"/>
                <w:bCs/>
                <w:color w:val="000000" w:themeColor="text1"/>
                <w:sz w:val="24"/>
              </w:rPr>
              <w:t>63.9%</w:t>
            </w:r>
            <w:r>
              <w:rPr>
                <w:rFonts w:hint="eastAsia" w:ascii="Times New Roman" w:eastAsia="宋体"/>
                <w:bCs/>
                <w:color w:val="000000" w:themeColor="text1"/>
                <w:sz w:val="24"/>
              </w:rPr>
              <w:t>，最大冻土深度</w:t>
            </w:r>
            <w:r>
              <w:rPr>
                <w:rFonts w:ascii="Times New Roman" w:hAnsi="Times New Roman" w:eastAsia="宋体"/>
                <w:bCs/>
                <w:color w:val="000000" w:themeColor="text1"/>
                <w:sz w:val="24"/>
              </w:rPr>
              <w:t>280mm</w:t>
            </w:r>
            <w:r>
              <w:rPr>
                <w:rFonts w:hint="eastAsia" w:ascii="Times New Roman" w:eastAsia="宋体"/>
                <w:bCs/>
                <w:color w:val="000000" w:themeColor="text1"/>
                <w:sz w:val="24"/>
              </w:rPr>
              <w:t>。</w:t>
            </w:r>
          </w:p>
          <w:p>
            <w:pPr>
              <w:spacing w:line="440" w:lineRule="exact"/>
              <w:ind w:firstLine="480" w:firstLineChars="200"/>
              <w:rPr>
                <w:rFonts w:ascii="Times New Roman" w:hAnsi="Times New Roman" w:eastAsia="宋体"/>
                <w:bCs/>
                <w:color w:val="000000" w:themeColor="text1"/>
                <w:sz w:val="24"/>
              </w:rPr>
            </w:pPr>
            <w:r>
              <w:rPr>
                <w:rFonts w:hint="eastAsia" w:ascii="Times New Roman" w:eastAsia="宋体"/>
                <w:bCs/>
                <w:color w:val="000000" w:themeColor="text1"/>
                <w:sz w:val="24"/>
              </w:rPr>
              <w:t>降水量：年平均降雨</w:t>
            </w:r>
            <w:r>
              <w:rPr>
                <w:rFonts w:ascii="Times New Roman" w:hAnsi="Times New Roman" w:eastAsia="宋体"/>
                <w:bCs/>
                <w:color w:val="000000" w:themeColor="text1"/>
                <w:sz w:val="24"/>
              </w:rPr>
              <w:t>575.7mm</w:t>
            </w:r>
            <w:r>
              <w:rPr>
                <w:rFonts w:hint="eastAsia" w:ascii="Times New Roman" w:eastAsia="宋体"/>
                <w:bCs/>
                <w:color w:val="000000" w:themeColor="text1"/>
                <w:sz w:val="24"/>
              </w:rPr>
              <w:t>，最大降雨量</w:t>
            </w:r>
            <w:r>
              <w:rPr>
                <w:rFonts w:ascii="Times New Roman" w:hAnsi="Times New Roman" w:eastAsia="宋体"/>
                <w:bCs/>
                <w:color w:val="000000" w:themeColor="text1"/>
                <w:sz w:val="24"/>
              </w:rPr>
              <w:t>414.0mm(2016-07-09</w:t>
            </w:r>
            <w:r>
              <w:rPr>
                <w:rFonts w:hint="eastAsia" w:ascii="Times New Roman" w:eastAsia="宋体"/>
                <w:bCs/>
                <w:color w:val="000000" w:themeColor="text1"/>
                <w:sz w:val="24"/>
              </w:rPr>
              <w:t>）；</w:t>
            </w:r>
            <w:r>
              <w:rPr>
                <w:rFonts w:ascii="Times New Roman" w:hAnsi="Times New Roman" w:eastAsia="宋体"/>
                <w:bCs/>
                <w:color w:val="000000" w:themeColor="text1"/>
                <w:sz w:val="24"/>
              </w:rPr>
              <w:t>7</w:t>
            </w:r>
            <w:r>
              <w:rPr>
                <w:rFonts w:hint="eastAsia" w:ascii="Times New Roman" w:eastAsia="宋体"/>
                <w:bCs/>
                <w:color w:val="000000" w:themeColor="text1"/>
                <w:sz w:val="24"/>
              </w:rPr>
              <w:t>月份降水量最多，为</w:t>
            </w:r>
            <w:r>
              <w:rPr>
                <w:rFonts w:ascii="Times New Roman" w:hAnsi="Times New Roman" w:eastAsia="宋体"/>
                <w:bCs/>
                <w:color w:val="000000" w:themeColor="text1"/>
                <w:sz w:val="24"/>
              </w:rPr>
              <w:t>181.72mm</w:t>
            </w:r>
            <w:r>
              <w:rPr>
                <w:rFonts w:hint="eastAsia" w:ascii="Times New Roman" w:eastAsia="宋体"/>
                <w:bCs/>
                <w:color w:val="000000" w:themeColor="text1"/>
                <w:sz w:val="24"/>
              </w:rPr>
              <w:t>，</w:t>
            </w:r>
            <w:r>
              <w:rPr>
                <w:rFonts w:ascii="Times New Roman" w:hAnsi="Times New Roman" w:eastAsia="宋体"/>
                <w:bCs/>
                <w:color w:val="000000" w:themeColor="text1"/>
                <w:sz w:val="24"/>
              </w:rPr>
              <w:t>12</w:t>
            </w:r>
            <w:r>
              <w:rPr>
                <w:rFonts w:hint="eastAsia" w:ascii="Times New Roman" w:eastAsia="宋体"/>
                <w:bCs/>
                <w:color w:val="000000" w:themeColor="text1"/>
                <w:sz w:val="24"/>
              </w:rPr>
              <w:t>月份降水量最小，为</w:t>
            </w:r>
            <w:r>
              <w:rPr>
                <w:rFonts w:ascii="Times New Roman" w:hAnsi="Times New Roman" w:eastAsia="宋体"/>
                <w:bCs/>
                <w:color w:val="000000" w:themeColor="text1"/>
                <w:sz w:val="24"/>
              </w:rPr>
              <w:t>4.42mm</w:t>
            </w:r>
            <w:r>
              <w:rPr>
                <w:rFonts w:hint="eastAsia" w:ascii="Times New Roman" w:eastAsia="宋体"/>
                <w:bCs/>
                <w:color w:val="000000" w:themeColor="text1"/>
                <w:sz w:val="24"/>
              </w:rPr>
              <w:t>。</w:t>
            </w:r>
          </w:p>
          <w:p>
            <w:pPr>
              <w:spacing w:line="440" w:lineRule="exact"/>
              <w:ind w:firstLine="480" w:firstLineChars="200"/>
              <w:rPr>
                <w:rFonts w:ascii="Times New Roman" w:hAnsi="Times New Roman" w:eastAsia="宋体"/>
                <w:bCs/>
                <w:color w:val="000000" w:themeColor="text1"/>
                <w:sz w:val="24"/>
              </w:rPr>
            </w:pPr>
            <w:r>
              <w:rPr>
                <w:rFonts w:hint="eastAsia" w:ascii="Times New Roman" w:eastAsia="宋体"/>
                <w:bCs/>
                <w:color w:val="000000" w:themeColor="text1"/>
                <w:sz w:val="24"/>
              </w:rPr>
              <w:t>风速及风向：全年最多风向为</w:t>
            </w:r>
            <w:r>
              <w:rPr>
                <w:rFonts w:ascii="Times New Roman" w:hAnsi="Times New Roman" w:eastAsia="宋体"/>
                <w:bCs/>
                <w:color w:val="000000" w:themeColor="text1"/>
                <w:sz w:val="24"/>
              </w:rPr>
              <w:t>ENE</w:t>
            </w:r>
            <w:r>
              <w:rPr>
                <w:rFonts w:hint="eastAsia" w:ascii="Times New Roman" w:eastAsia="宋体"/>
                <w:bCs/>
                <w:color w:val="000000" w:themeColor="text1"/>
                <w:sz w:val="24"/>
              </w:rPr>
              <w:t>，频率为</w:t>
            </w:r>
            <w:r>
              <w:rPr>
                <w:rFonts w:ascii="Times New Roman" w:hAnsi="Times New Roman" w:eastAsia="宋体"/>
                <w:bCs/>
                <w:color w:val="000000" w:themeColor="text1"/>
                <w:sz w:val="24"/>
              </w:rPr>
              <w:t>17.0%</w:t>
            </w:r>
            <w:r>
              <w:rPr>
                <w:rFonts w:hint="eastAsia" w:ascii="Times New Roman" w:eastAsia="宋体"/>
                <w:bCs/>
                <w:color w:val="000000" w:themeColor="text1"/>
                <w:sz w:val="24"/>
              </w:rPr>
              <w:t>，年平均风速为</w:t>
            </w:r>
            <w:r>
              <w:rPr>
                <w:rFonts w:ascii="Times New Roman" w:hAnsi="Times New Roman" w:eastAsia="宋体"/>
                <w:bCs/>
                <w:color w:val="000000" w:themeColor="text1"/>
                <w:sz w:val="24"/>
              </w:rPr>
              <w:t>2.10m/s</w:t>
            </w:r>
            <w:r>
              <w:rPr>
                <w:rFonts w:hint="eastAsia" w:ascii="Times New Roman" w:eastAsia="宋体"/>
                <w:bCs/>
                <w:color w:val="000000" w:themeColor="text1"/>
                <w:sz w:val="24"/>
              </w:rPr>
              <w:t>。</w:t>
            </w:r>
          </w:p>
          <w:p>
            <w:pPr>
              <w:spacing w:line="440" w:lineRule="exact"/>
              <w:ind w:firstLine="480" w:firstLineChars="200"/>
              <w:textAlignment w:val="baseline"/>
              <w:rPr>
                <w:rFonts w:ascii="Times New Roman" w:hAnsi="Times New Roman" w:eastAsia="宋体"/>
                <w:bCs/>
                <w:color w:val="000000" w:themeColor="text1"/>
                <w:sz w:val="24"/>
              </w:rPr>
            </w:pPr>
            <w:r>
              <w:rPr>
                <w:rFonts w:hint="eastAsia" w:ascii="Times New Roman" w:eastAsia="宋体"/>
                <w:bCs/>
                <w:color w:val="000000" w:themeColor="text1"/>
                <w:sz w:val="24"/>
              </w:rPr>
              <w:t>新乡气象站近</w:t>
            </w:r>
            <w:r>
              <w:rPr>
                <w:rFonts w:ascii="Times New Roman" w:hAnsi="Times New Roman" w:eastAsia="宋体"/>
                <w:bCs/>
                <w:color w:val="000000" w:themeColor="text1"/>
                <w:sz w:val="24"/>
              </w:rPr>
              <w:t>20</w:t>
            </w:r>
            <w:r>
              <w:rPr>
                <w:rFonts w:hint="eastAsia" w:ascii="Times New Roman" w:eastAsia="宋体"/>
                <w:bCs/>
                <w:color w:val="000000" w:themeColor="text1"/>
                <w:sz w:val="24"/>
              </w:rPr>
              <w:t>年年日照时数无明显变化趋势，</w:t>
            </w:r>
            <w:r>
              <w:rPr>
                <w:rFonts w:ascii="Times New Roman" w:hAnsi="Times New Roman" w:eastAsia="宋体"/>
                <w:bCs/>
                <w:color w:val="000000" w:themeColor="text1"/>
                <w:sz w:val="24"/>
              </w:rPr>
              <w:t>1999</w:t>
            </w:r>
            <w:r>
              <w:rPr>
                <w:rFonts w:hint="eastAsia" w:ascii="Times New Roman" w:eastAsia="宋体"/>
                <w:bCs/>
                <w:color w:val="000000" w:themeColor="text1"/>
                <w:sz w:val="24"/>
              </w:rPr>
              <w:t>年年日照时数最长（</w:t>
            </w:r>
            <w:r>
              <w:rPr>
                <w:rFonts w:ascii="Times New Roman" w:hAnsi="Times New Roman" w:eastAsia="宋体"/>
                <w:bCs/>
                <w:color w:val="000000" w:themeColor="text1"/>
                <w:sz w:val="24"/>
              </w:rPr>
              <w:t>2349.80</w:t>
            </w:r>
            <w:r>
              <w:rPr>
                <w:rFonts w:hint="eastAsia" w:ascii="Times New Roman" w:eastAsia="宋体"/>
                <w:bCs/>
                <w:color w:val="000000" w:themeColor="text1"/>
                <w:sz w:val="24"/>
              </w:rPr>
              <w:t>小时），</w:t>
            </w:r>
            <w:r>
              <w:rPr>
                <w:rFonts w:ascii="Times New Roman" w:hAnsi="Times New Roman" w:eastAsia="宋体"/>
                <w:bCs/>
                <w:color w:val="000000" w:themeColor="text1"/>
                <w:sz w:val="24"/>
              </w:rPr>
              <w:t>2003</w:t>
            </w:r>
            <w:r>
              <w:rPr>
                <w:rFonts w:hint="eastAsia" w:ascii="Times New Roman" w:eastAsia="宋体"/>
                <w:bCs/>
                <w:color w:val="000000" w:themeColor="text1"/>
                <w:sz w:val="24"/>
              </w:rPr>
              <w:t>年年日照时数最短（</w:t>
            </w:r>
            <w:r>
              <w:rPr>
                <w:rFonts w:ascii="Times New Roman" w:hAnsi="Times New Roman" w:eastAsia="宋体"/>
                <w:bCs/>
                <w:color w:val="000000" w:themeColor="text1"/>
                <w:sz w:val="24"/>
              </w:rPr>
              <w:t>1755.40</w:t>
            </w:r>
            <w:r>
              <w:rPr>
                <w:rFonts w:hint="eastAsia" w:ascii="Times New Roman" w:eastAsia="宋体"/>
                <w:bCs/>
                <w:color w:val="000000" w:themeColor="text1"/>
                <w:sz w:val="24"/>
              </w:rPr>
              <w:t>小时），无明显周期。</w:t>
            </w:r>
          </w:p>
          <w:p>
            <w:pPr>
              <w:pStyle w:val="3"/>
              <w:spacing w:before="0" w:after="0" w:line="440" w:lineRule="exact"/>
              <w:ind w:firstLine="482" w:firstLineChars="200"/>
              <w:rPr>
                <w:rFonts w:ascii="Times New Roman" w:hAnsi="Times New Roman" w:eastAsia="宋体"/>
                <w:color w:val="000000" w:themeColor="text1"/>
                <w:sz w:val="24"/>
                <w:szCs w:val="24"/>
              </w:rPr>
            </w:pPr>
            <w:r>
              <w:rPr>
                <w:rFonts w:ascii="Times New Roman" w:hAnsi="Times New Roman" w:eastAsia="宋体"/>
                <w:color w:val="000000" w:themeColor="text1"/>
                <w:sz w:val="24"/>
                <w:szCs w:val="24"/>
              </w:rPr>
              <w:t>4、水文</w:t>
            </w:r>
          </w:p>
          <w:p>
            <w:pPr>
              <w:pStyle w:val="79"/>
              <w:spacing w:line="440" w:lineRule="exact"/>
              <w:ind w:firstLine="480" w:firstLineChars="200"/>
              <w:rPr>
                <w:rFonts w:ascii="Times New Roman" w:hAnsi="Times New Roman" w:eastAsia="宋体"/>
                <w:color w:val="000000" w:themeColor="text1"/>
                <w:sz w:val="24"/>
              </w:rPr>
            </w:pPr>
            <w:r>
              <w:rPr>
                <w:rFonts w:hint="eastAsia" w:ascii="Times New Roman" w:hAnsi="Times New Roman" w:eastAsia="宋体"/>
                <w:color w:val="000000" w:themeColor="text1"/>
                <w:sz w:val="24"/>
              </w:rPr>
              <w:t>新乡县境内地表水有东孟姜女河、西孟姜女河、大沙河等，东孟姜女河是卫河的支流，全长</w:t>
            </w:r>
            <w:r>
              <w:rPr>
                <w:rFonts w:ascii="Times New Roman" w:hAnsi="Times New Roman" w:eastAsia="宋体"/>
                <w:color w:val="000000" w:themeColor="text1"/>
                <w:sz w:val="24"/>
              </w:rPr>
              <w:t>50.5km</w:t>
            </w:r>
            <w:r>
              <w:rPr>
                <w:rFonts w:hint="eastAsia" w:ascii="Times New Roman" w:hAnsi="Times New Roman" w:eastAsia="宋体"/>
                <w:color w:val="000000" w:themeColor="text1"/>
                <w:sz w:val="24"/>
              </w:rPr>
              <w:t>，流经新乡县、延津县、卫辉市，由于在上游接纳了大量的生产、生活废水，水质已超过地面水Ⅴ类水质标准。东孟姜女河有三个支流：一支排、二支排和大泉排，三个支流均为纳污河道，无天然径流，目前水质均已超过地面水</w:t>
            </w:r>
            <w:r>
              <w:rPr>
                <w:rFonts w:ascii="Times New Roman" w:hAnsi="Times New Roman" w:eastAsia="宋体"/>
                <w:color w:val="000000" w:themeColor="text1"/>
                <w:sz w:val="24"/>
              </w:rPr>
              <w:t>V</w:t>
            </w:r>
            <w:r>
              <w:rPr>
                <w:rFonts w:hint="eastAsia" w:ascii="Times New Roman" w:hAnsi="Times New Roman" w:eastAsia="宋体"/>
                <w:color w:val="000000" w:themeColor="text1"/>
                <w:sz w:val="24"/>
              </w:rPr>
              <w:t>类水质标准。根据新乡市地面水功能区划分，对东孟姜女河的水质要求是达到地面水</w:t>
            </w:r>
            <w:r>
              <w:rPr>
                <w:rFonts w:ascii="Times New Roman" w:hAnsi="Times New Roman" w:eastAsia="宋体"/>
                <w:color w:val="000000" w:themeColor="text1"/>
                <w:sz w:val="24"/>
              </w:rPr>
              <w:t>V</w:t>
            </w:r>
            <w:r>
              <w:rPr>
                <w:rFonts w:hint="eastAsia" w:ascii="Times New Roman" w:hAnsi="Times New Roman" w:eastAsia="宋体"/>
                <w:color w:val="000000" w:themeColor="text1"/>
                <w:sz w:val="24"/>
              </w:rPr>
              <w:t>类水质标准，规划功能为自然水域及输水沟渠。</w:t>
            </w:r>
          </w:p>
          <w:p>
            <w:pPr>
              <w:pStyle w:val="3"/>
              <w:spacing w:before="0" w:after="0" w:line="440" w:lineRule="exact"/>
              <w:ind w:firstLine="482" w:firstLineChars="200"/>
              <w:rPr>
                <w:rFonts w:ascii="Times New Roman" w:hAnsi="Times New Roman" w:eastAsia="宋体"/>
                <w:color w:val="000000" w:themeColor="text1"/>
                <w:sz w:val="24"/>
                <w:szCs w:val="24"/>
              </w:rPr>
            </w:pPr>
            <w:r>
              <w:rPr>
                <w:rFonts w:ascii="Times New Roman" w:hAnsi="Times New Roman" w:eastAsia="宋体"/>
                <w:color w:val="000000" w:themeColor="text1"/>
                <w:sz w:val="24"/>
                <w:szCs w:val="24"/>
              </w:rPr>
              <w:t>5、地下水</w:t>
            </w:r>
          </w:p>
          <w:p>
            <w:pPr>
              <w:pStyle w:val="79"/>
              <w:spacing w:line="440" w:lineRule="exact"/>
              <w:ind w:firstLine="480" w:firstLineChars="200"/>
              <w:rPr>
                <w:rFonts w:ascii="Times New Roman" w:hAnsi="Times New Roman" w:eastAsia="宋体"/>
                <w:color w:val="000000" w:themeColor="text1"/>
                <w:sz w:val="24"/>
              </w:rPr>
            </w:pPr>
            <w:r>
              <w:rPr>
                <w:rFonts w:hint="eastAsia" w:ascii="Times New Roman" w:hAnsi="Times New Roman" w:eastAsia="宋体"/>
                <w:color w:val="000000" w:themeColor="text1"/>
                <w:sz w:val="24"/>
              </w:rPr>
              <w:t>新乡县地下水流向总体上为从西南至东北。浅层水顶板埋深</w:t>
            </w:r>
            <w:r>
              <w:rPr>
                <w:rFonts w:ascii="Times New Roman" w:hAnsi="Times New Roman" w:eastAsia="宋体"/>
                <w:color w:val="000000" w:themeColor="text1"/>
                <w:sz w:val="24"/>
              </w:rPr>
              <w:t>4~8m</w:t>
            </w:r>
            <w:r>
              <w:rPr>
                <w:rFonts w:hint="eastAsia" w:ascii="Times New Roman" w:hAnsi="Times New Roman" w:eastAsia="宋体"/>
                <w:color w:val="000000" w:themeColor="text1"/>
                <w:sz w:val="24"/>
              </w:rPr>
              <w:t>，底板埋深</w:t>
            </w:r>
            <w:r>
              <w:rPr>
                <w:rFonts w:ascii="Times New Roman" w:hAnsi="Times New Roman" w:eastAsia="宋体"/>
                <w:color w:val="000000" w:themeColor="text1"/>
                <w:sz w:val="24"/>
              </w:rPr>
              <w:t>71~87m</w:t>
            </w:r>
            <w:r>
              <w:rPr>
                <w:rFonts w:hint="eastAsia" w:ascii="Times New Roman" w:hAnsi="Times New Roman" w:eastAsia="宋体"/>
                <w:color w:val="000000" w:themeColor="text1"/>
                <w:sz w:val="24"/>
              </w:rPr>
              <w:t>，以中砂为主；中层水顶板埋深</w:t>
            </w:r>
            <w:r>
              <w:rPr>
                <w:rFonts w:ascii="Times New Roman" w:hAnsi="Times New Roman" w:eastAsia="宋体"/>
                <w:color w:val="000000" w:themeColor="text1"/>
                <w:sz w:val="24"/>
              </w:rPr>
              <w:t>73~97m</w:t>
            </w:r>
            <w:r>
              <w:rPr>
                <w:rFonts w:hint="eastAsia" w:ascii="Times New Roman" w:hAnsi="Times New Roman" w:eastAsia="宋体"/>
                <w:color w:val="000000" w:themeColor="text1"/>
                <w:sz w:val="24"/>
              </w:rPr>
              <w:t>，底板埋深</w:t>
            </w:r>
            <w:r>
              <w:rPr>
                <w:rFonts w:ascii="Times New Roman" w:hAnsi="Times New Roman" w:eastAsia="宋体"/>
                <w:color w:val="000000" w:themeColor="text1"/>
                <w:sz w:val="24"/>
              </w:rPr>
              <w:t>124~137m</w:t>
            </w:r>
            <w:r>
              <w:rPr>
                <w:rFonts w:hint="eastAsia" w:ascii="Times New Roman" w:hAnsi="Times New Roman" w:eastAsia="宋体"/>
                <w:color w:val="000000" w:themeColor="text1"/>
                <w:sz w:val="24"/>
              </w:rPr>
              <w:t>，以中细砂为主。地下水矿化度小于</w:t>
            </w:r>
            <w:r>
              <w:rPr>
                <w:rFonts w:ascii="Times New Roman" w:hAnsi="Times New Roman" w:eastAsia="宋体"/>
                <w:color w:val="000000" w:themeColor="text1"/>
                <w:sz w:val="24"/>
              </w:rPr>
              <w:t>0.7g/L</w:t>
            </w:r>
            <w:r>
              <w:rPr>
                <w:rFonts w:hint="eastAsia" w:ascii="Times New Roman" w:hAnsi="Times New Roman" w:eastAsia="宋体"/>
                <w:color w:val="000000" w:themeColor="text1"/>
                <w:sz w:val="24"/>
              </w:rPr>
              <w:t>。</w:t>
            </w:r>
          </w:p>
          <w:p>
            <w:pPr>
              <w:pStyle w:val="3"/>
              <w:spacing w:before="0" w:after="0" w:line="440" w:lineRule="exact"/>
              <w:ind w:firstLine="482" w:firstLineChars="200"/>
              <w:rPr>
                <w:rFonts w:ascii="Times New Roman" w:hAnsi="Times New Roman" w:eastAsia="宋体"/>
                <w:color w:val="000000" w:themeColor="text1"/>
                <w:sz w:val="24"/>
                <w:szCs w:val="24"/>
              </w:rPr>
            </w:pPr>
            <w:r>
              <w:rPr>
                <w:rFonts w:hint="eastAsia" w:ascii="Times New Roman" w:hAnsi="Times New Roman" w:eastAsia="宋体"/>
                <w:color w:val="000000" w:themeColor="text1"/>
                <w:sz w:val="24"/>
                <w:szCs w:val="24"/>
              </w:rPr>
              <w:t>6</w:t>
            </w:r>
            <w:r>
              <w:rPr>
                <w:rFonts w:ascii="Times New Roman" w:hAnsi="Times New Roman" w:eastAsia="宋体"/>
                <w:color w:val="000000" w:themeColor="text1"/>
                <w:sz w:val="24"/>
                <w:szCs w:val="24"/>
              </w:rPr>
              <w:t>、自然资源</w:t>
            </w:r>
          </w:p>
          <w:p>
            <w:pPr>
              <w:spacing w:line="440" w:lineRule="exact"/>
              <w:ind w:firstLine="480" w:firstLineChars="200"/>
              <w:rPr>
                <w:rFonts w:ascii="Times New Roman" w:hAnsi="Times New Roman" w:eastAsia="宋体"/>
                <w:b/>
                <w:color w:val="000000" w:themeColor="text1"/>
                <w:sz w:val="24"/>
              </w:rPr>
            </w:pPr>
            <w:r>
              <w:rPr>
                <w:rFonts w:hint="eastAsia" w:ascii="Times New Roman" w:eastAsia="宋体"/>
                <w:color w:val="000000" w:themeColor="text1"/>
                <w:sz w:val="24"/>
              </w:rPr>
              <w:t>新乡市自然资源丰富。已发现和开采矿藏</w:t>
            </w:r>
            <w:r>
              <w:rPr>
                <w:rFonts w:ascii="Times New Roman" w:hAnsi="Times New Roman" w:eastAsia="宋体"/>
                <w:color w:val="000000" w:themeColor="text1"/>
                <w:sz w:val="24"/>
              </w:rPr>
              <w:t>20</w:t>
            </w:r>
            <w:r>
              <w:rPr>
                <w:rFonts w:hint="eastAsia" w:ascii="Times New Roman" w:eastAsia="宋体"/>
                <w:color w:val="000000" w:themeColor="text1"/>
                <w:sz w:val="24"/>
              </w:rPr>
              <w:t>余种，其中，水泥灰岩和煤炭储量分别达到</w:t>
            </w:r>
            <w:r>
              <w:rPr>
                <w:rFonts w:ascii="Times New Roman" w:hAnsi="Times New Roman" w:eastAsia="宋体"/>
                <w:color w:val="000000" w:themeColor="text1"/>
                <w:sz w:val="24"/>
              </w:rPr>
              <w:t>100</w:t>
            </w:r>
            <w:r>
              <w:rPr>
                <w:rFonts w:hint="eastAsia" w:ascii="Times New Roman" w:eastAsia="宋体"/>
                <w:color w:val="000000" w:themeColor="text1"/>
                <w:sz w:val="24"/>
              </w:rPr>
              <w:t>亿吨和</w:t>
            </w:r>
            <w:r>
              <w:rPr>
                <w:rFonts w:ascii="Times New Roman" w:hAnsi="Times New Roman" w:eastAsia="宋体"/>
                <w:color w:val="000000" w:themeColor="text1"/>
                <w:sz w:val="24"/>
              </w:rPr>
              <w:t>84</w:t>
            </w:r>
            <w:r>
              <w:rPr>
                <w:rFonts w:hint="eastAsia" w:ascii="Times New Roman" w:eastAsia="宋体"/>
                <w:color w:val="000000" w:themeColor="text1"/>
                <w:sz w:val="24"/>
              </w:rPr>
              <w:t>亿吨。南水北调、西气东输工程穿境而过，获嘉县地下煤层气储量丰富。主要矿产资源为非金属建筑材料泥灰岩、白垩土、石灰岩。其储量大，质量好，此外有铁、铜、铝、重晶石、白云岩、煤等。</w:t>
            </w:r>
          </w:p>
          <w:p>
            <w:pPr>
              <w:adjustRightInd w:val="0"/>
              <w:snapToGrid w:val="0"/>
              <w:spacing w:line="440" w:lineRule="exact"/>
              <w:ind w:firstLine="480" w:firstLineChars="200"/>
              <w:rPr>
                <w:rFonts w:ascii="Times New Roman" w:hAnsi="Times New Roman" w:eastAsia="宋体"/>
                <w:color w:val="000000" w:themeColor="text1"/>
                <w:sz w:val="24"/>
              </w:rPr>
            </w:pPr>
            <w:r>
              <w:rPr>
                <w:rFonts w:hint="eastAsia" w:ascii="Times New Roman" w:eastAsia="宋体"/>
                <w:color w:val="000000" w:themeColor="text1"/>
                <w:sz w:val="24"/>
              </w:rPr>
              <w:t>本项目周围无可开采的矿产资源。</w:t>
            </w:r>
          </w:p>
          <w:p>
            <w:pPr>
              <w:pStyle w:val="3"/>
              <w:spacing w:before="0" w:after="0" w:line="440" w:lineRule="exact"/>
              <w:ind w:firstLine="482" w:firstLineChars="200"/>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7</w:t>
            </w:r>
            <w:r>
              <w:rPr>
                <w:rFonts w:asciiTheme="minorEastAsia" w:hAnsiTheme="minorEastAsia" w:eastAsiaTheme="minorEastAsia"/>
                <w:color w:val="000000" w:themeColor="text1"/>
                <w:sz w:val="24"/>
                <w:szCs w:val="24"/>
              </w:rPr>
              <w:t>、土壤状况</w:t>
            </w:r>
          </w:p>
          <w:p>
            <w:pPr>
              <w:pStyle w:val="3"/>
              <w:spacing w:before="0" w:after="0" w:line="440" w:lineRule="exact"/>
              <w:ind w:firstLine="480" w:firstLineChars="200"/>
              <w:rPr>
                <w:rFonts w:ascii="Times New Roman" w:hAnsi="Times New Roman" w:eastAsia="宋体"/>
                <w:b w:val="0"/>
                <w:color w:val="000000" w:themeColor="text1"/>
                <w:sz w:val="24"/>
                <w:szCs w:val="24"/>
              </w:rPr>
            </w:pPr>
            <w:r>
              <w:rPr>
                <w:rFonts w:hint="eastAsia" w:ascii="Times New Roman" w:hAnsi="Times New Roman" w:eastAsia="宋体"/>
                <w:b w:val="0"/>
                <w:color w:val="000000" w:themeColor="text1"/>
                <w:sz w:val="24"/>
                <w:szCs w:val="24"/>
              </w:rPr>
              <w:t>全县境地处华北平原，为燕山运动以后下沉的地区。土壤母质系新生界第四系，为太行山前冲洪积物与黄河、沁河冲积物沉积而成。形成县境内砂质、壤质、粘质三级土壤。</w:t>
            </w:r>
            <w:r>
              <w:rPr>
                <w:rFonts w:ascii="Times New Roman" w:hAnsi="Times New Roman" w:eastAsia="宋体"/>
                <w:b w:val="0"/>
                <w:color w:val="000000" w:themeColor="text1"/>
                <w:sz w:val="24"/>
                <w:szCs w:val="24"/>
              </w:rPr>
              <w:t>0~8m</w:t>
            </w:r>
            <w:r>
              <w:rPr>
                <w:rFonts w:hint="eastAsia" w:ascii="Times New Roman" w:hAnsi="Times New Roman" w:eastAsia="宋体"/>
                <w:b w:val="0"/>
                <w:color w:val="000000" w:themeColor="text1"/>
                <w:sz w:val="24"/>
                <w:szCs w:val="24"/>
              </w:rPr>
              <w:t>为粘土，中间有淤泥亚粘土，属新近沉积物粘土；</w:t>
            </w:r>
            <w:r>
              <w:rPr>
                <w:rFonts w:ascii="Times New Roman" w:hAnsi="Times New Roman" w:eastAsia="宋体"/>
                <w:b w:val="0"/>
                <w:color w:val="000000" w:themeColor="text1"/>
                <w:sz w:val="24"/>
                <w:szCs w:val="24"/>
              </w:rPr>
              <w:t>8~12m</w:t>
            </w:r>
            <w:r>
              <w:rPr>
                <w:rFonts w:hint="eastAsia" w:ascii="Times New Roman" w:hAnsi="Times New Roman" w:eastAsia="宋体"/>
                <w:b w:val="0"/>
                <w:color w:val="000000" w:themeColor="text1"/>
                <w:sz w:val="24"/>
                <w:szCs w:val="24"/>
              </w:rPr>
              <w:t>为粉砂、细粉砂；</w:t>
            </w:r>
            <w:r>
              <w:rPr>
                <w:rFonts w:ascii="Times New Roman" w:hAnsi="Times New Roman" w:eastAsia="宋体"/>
                <w:b w:val="0"/>
                <w:color w:val="000000" w:themeColor="text1"/>
                <w:sz w:val="24"/>
                <w:szCs w:val="24"/>
              </w:rPr>
              <w:t>12~80m</w:t>
            </w:r>
            <w:r>
              <w:rPr>
                <w:rFonts w:hint="eastAsia" w:ascii="Times New Roman" w:hAnsi="Times New Roman" w:eastAsia="宋体"/>
                <w:b w:val="0"/>
                <w:color w:val="000000" w:themeColor="text1"/>
                <w:sz w:val="24"/>
                <w:szCs w:val="24"/>
              </w:rPr>
              <w:t>为细砂，均为全新河流冲积粉层。</w:t>
            </w:r>
          </w:p>
          <w:p>
            <w:pPr>
              <w:pStyle w:val="3"/>
              <w:spacing w:before="0" w:after="0" w:line="440" w:lineRule="exact"/>
              <w:ind w:firstLine="482" w:firstLineChars="200"/>
              <w:rPr>
                <w:rFonts w:ascii="Times New Roman" w:hAnsi="Times New Roman" w:eastAsia="宋体"/>
                <w:color w:val="000000" w:themeColor="text1"/>
                <w:sz w:val="24"/>
                <w:szCs w:val="24"/>
              </w:rPr>
            </w:pPr>
            <w:r>
              <w:rPr>
                <w:rFonts w:hint="eastAsia" w:ascii="Times New Roman" w:hAnsi="Times New Roman" w:eastAsia="宋体"/>
                <w:color w:val="000000" w:themeColor="text1"/>
                <w:sz w:val="24"/>
                <w:szCs w:val="24"/>
              </w:rPr>
              <w:t>8、动植物概况</w:t>
            </w:r>
          </w:p>
          <w:p>
            <w:pPr>
              <w:pStyle w:val="79"/>
              <w:spacing w:line="440" w:lineRule="exact"/>
              <w:ind w:firstLine="480" w:firstLineChars="200"/>
              <w:rPr>
                <w:rFonts w:ascii="Times New Roman" w:hAnsi="Times New Roman" w:eastAsia="宋体"/>
                <w:color w:val="000000" w:themeColor="text1"/>
                <w:sz w:val="24"/>
              </w:rPr>
            </w:pPr>
            <w:r>
              <w:rPr>
                <w:rFonts w:hint="eastAsia" w:ascii="Times New Roman" w:hAnsi="Times New Roman" w:eastAsia="宋体"/>
                <w:color w:val="000000" w:themeColor="text1"/>
                <w:sz w:val="24"/>
              </w:rPr>
              <w:t>新乡县境内植物有粮食作物、经济作物、蔬菜作物以及林果、自然植被等。野生动物有兽类、鸟类、爬行类、两栖类、鱼类、昆虫等。</w:t>
            </w:r>
          </w:p>
          <w:p>
            <w:pPr>
              <w:adjustRightInd w:val="0"/>
              <w:snapToGrid w:val="0"/>
              <w:spacing w:line="440" w:lineRule="exact"/>
              <w:ind w:firstLine="480" w:firstLineChars="200"/>
              <w:rPr>
                <w:rFonts w:ascii="Times New Roman" w:hAnsi="Times New Roman" w:eastAsia="宋体"/>
                <w:color w:val="000000" w:themeColor="text1"/>
                <w:sz w:val="24"/>
              </w:rPr>
            </w:pPr>
            <w:r>
              <w:rPr>
                <w:rFonts w:hint="eastAsia" w:ascii="Times New Roman" w:eastAsia="宋体"/>
                <w:color w:val="000000" w:themeColor="text1"/>
                <w:sz w:val="24"/>
              </w:rPr>
              <w:t>本项目周围无可开采的矿产资源。</w:t>
            </w:r>
          </w:p>
          <w:p>
            <w:pPr>
              <w:pStyle w:val="9"/>
              <w:spacing w:line="440" w:lineRule="exact"/>
              <w:ind w:firstLine="480" w:firstLineChars="200"/>
              <w:rPr>
                <w:rFonts w:ascii="Times New Roman" w:hAnsi="Times New Roman" w:eastAsia="宋体"/>
                <w:color w:val="000000" w:themeColor="text1"/>
                <w:sz w:val="24"/>
              </w:rPr>
            </w:pPr>
          </w:p>
          <w:p>
            <w:pPr>
              <w:pStyle w:val="23"/>
              <w:ind w:firstLine="461"/>
              <w:rPr>
                <w:color w:val="000000" w:themeColor="text1"/>
                <w:sz w:val="24"/>
              </w:rPr>
            </w:pPr>
          </w:p>
          <w:p>
            <w:pPr>
              <w:pStyle w:val="23"/>
              <w:ind w:firstLine="461"/>
              <w:rPr>
                <w:color w:val="000000" w:themeColor="text1"/>
                <w:sz w:val="24"/>
              </w:rPr>
            </w:pPr>
          </w:p>
          <w:p>
            <w:pPr>
              <w:pStyle w:val="23"/>
              <w:ind w:firstLine="461"/>
              <w:rPr>
                <w:color w:val="000000" w:themeColor="text1"/>
                <w:sz w:val="24"/>
              </w:rPr>
            </w:pPr>
          </w:p>
          <w:p>
            <w:pPr>
              <w:pStyle w:val="23"/>
              <w:spacing w:after="0" w:line="240" w:lineRule="auto"/>
              <w:ind w:left="0" w:leftChars="0" w:firstLine="480" w:firstLineChars="200"/>
              <w:rPr>
                <w:color w:val="000000" w:themeColor="text1"/>
                <w:sz w:val="24"/>
              </w:rPr>
            </w:pPr>
          </w:p>
          <w:p>
            <w:pPr>
              <w:pStyle w:val="23"/>
              <w:spacing w:after="0" w:line="240" w:lineRule="auto"/>
              <w:ind w:left="0" w:leftChars="0" w:firstLine="480" w:firstLineChars="200"/>
              <w:rPr>
                <w:color w:val="000000" w:themeColor="text1"/>
                <w:sz w:val="24"/>
              </w:rPr>
            </w:pPr>
          </w:p>
          <w:p>
            <w:pPr>
              <w:pStyle w:val="23"/>
              <w:spacing w:after="0" w:line="240" w:lineRule="auto"/>
              <w:ind w:left="0" w:leftChars="0" w:firstLine="480" w:firstLineChars="200"/>
              <w:rPr>
                <w:color w:val="000000" w:themeColor="text1"/>
                <w:sz w:val="24"/>
              </w:rPr>
            </w:pPr>
          </w:p>
          <w:p>
            <w:pPr>
              <w:pStyle w:val="23"/>
              <w:spacing w:after="0" w:line="240" w:lineRule="auto"/>
              <w:ind w:left="0" w:leftChars="0" w:firstLine="480" w:firstLineChars="200"/>
              <w:rPr>
                <w:color w:val="000000" w:themeColor="text1"/>
                <w:sz w:val="24"/>
              </w:rPr>
            </w:pPr>
          </w:p>
          <w:p>
            <w:pPr>
              <w:pStyle w:val="23"/>
              <w:spacing w:after="0" w:line="240" w:lineRule="auto"/>
              <w:ind w:left="0" w:leftChars="0" w:firstLine="480" w:firstLineChars="200"/>
              <w:rPr>
                <w:color w:val="000000" w:themeColor="text1"/>
                <w:sz w:val="24"/>
              </w:rPr>
            </w:pPr>
          </w:p>
          <w:p>
            <w:pPr>
              <w:adjustRightInd w:val="0"/>
              <w:snapToGrid w:val="0"/>
              <w:ind w:firstLine="480" w:firstLineChars="200"/>
              <w:rPr>
                <w:rFonts w:ascii="Times New Roman" w:hAnsi="Times New Roman" w:eastAsia="宋体"/>
                <w:color w:val="000000" w:themeColor="text1"/>
                <w:sz w:val="24"/>
              </w:rPr>
            </w:pPr>
          </w:p>
          <w:p>
            <w:pPr>
              <w:adjustRightInd w:val="0"/>
              <w:snapToGrid w:val="0"/>
              <w:ind w:firstLine="480" w:firstLineChars="200"/>
              <w:rPr>
                <w:rFonts w:ascii="Times New Roman" w:hAnsi="Times New Roman" w:eastAsia="宋体"/>
                <w:color w:val="000000" w:themeColor="text1"/>
                <w:sz w:val="24"/>
              </w:rPr>
            </w:pPr>
          </w:p>
          <w:p>
            <w:pPr>
              <w:adjustRightInd w:val="0"/>
              <w:snapToGrid w:val="0"/>
              <w:ind w:firstLine="480" w:firstLineChars="200"/>
              <w:rPr>
                <w:rFonts w:ascii="Times New Roman" w:hAnsi="Times New Roman" w:eastAsia="宋体"/>
                <w:color w:val="000000" w:themeColor="text1"/>
                <w:sz w:val="24"/>
              </w:rPr>
            </w:pPr>
          </w:p>
          <w:p>
            <w:pPr>
              <w:adjustRightInd w:val="0"/>
              <w:snapToGrid w:val="0"/>
              <w:ind w:firstLine="480" w:firstLineChars="200"/>
              <w:rPr>
                <w:rFonts w:ascii="Times New Roman" w:hAnsi="Times New Roman" w:eastAsia="宋体"/>
                <w:color w:val="000000" w:themeColor="text1"/>
                <w:sz w:val="24"/>
              </w:rPr>
            </w:pPr>
          </w:p>
          <w:p>
            <w:pPr>
              <w:adjustRightInd w:val="0"/>
              <w:snapToGrid w:val="0"/>
              <w:spacing w:line="440" w:lineRule="exact"/>
              <w:ind w:firstLine="480" w:firstLineChars="200"/>
              <w:rPr>
                <w:rFonts w:ascii="Times New Roman" w:hAnsi="Times New Roman" w:eastAsia="宋体"/>
                <w:color w:val="000000" w:themeColor="text1"/>
                <w:sz w:val="24"/>
              </w:rPr>
            </w:pPr>
          </w:p>
          <w:p>
            <w:pPr>
              <w:adjustRightInd w:val="0"/>
              <w:snapToGrid w:val="0"/>
              <w:spacing w:line="440" w:lineRule="exact"/>
              <w:ind w:firstLine="480" w:firstLineChars="200"/>
              <w:rPr>
                <w:rFonts w:ascii="Times New Roman" w:hAnsi="Times New Roman" w:eastAsia="宋体"/>
                <w:color w:val="000000" w:themeColor="text1"/>
                <w:sz w:val="24"/>
              </w:rPr>
            </w:pPr>
          </w:p>
          <w:p>
            <w:pPr>
              <w:pStyle w:val="2"/>
              <w:rPr>
                <w:b/>
                <w:color w:val="000000" w:themeColor="text1"/>
                <w:sz w:val="24"/>
              </w:rPr>
            </w:pPr>
          </w:p>
          <w:p>
            <w:pPr>
              <w:rPr>
                <w:b/>
                <w:color w:val="000000" w:themeColor="text1"/>
                <w:sz w:val="24"/>
              </w:rPr>
            </w:pPr>
          </w:p>
          <w:p>
            <w:pPr>
              <w:pStyle w:val="2"/>
              <w:rPr>
                <w:b/>
                <w:color w:val="000000" w:themeColor="text1"/>
                <w:sz w:val="24"/>
              </w:rPr>
            </w:pPr>
          </w:p>
          <w:p>
            <w:pPr>
              <w:rPr>
                <w:b/>
                <w:color w:val="000000" w:themeColor="text1"/>
                <w:sz w:val="24"/>
              </w:rPr>
            </w:pPr>
          </w:p>
          <w:p>
            <w:pPr>
              <w:rPr>
                <w:b/>
                <w:color w:val="000000" w:themeColor="text1"/>
                <w:sz w:val="24"/>
              </w:rPr>
            </w:pPr>
          </w:p>
        </w:tc>
      </w:tr>
    </w:tbl>
    <w:p>
      <w:pPr>
        <w:spacing w:line="500" w:lineRule="exact"/>
        <w:outlineLvl w:val="0"/>
        <w:rPr>
          <w:b/>
          <w:color w:val="000000" w:themeColor="text1"/>
          <w:sz w:val="32"/>
          <w:szCs w:val="32"/>
        </w:rPr>
      </w:pPr>
      <w:r>
        <w:rPr>
          <w:rFonts w:hint="eastAsia" w:hAnsi="宋体"/>
          <w:b/>
          <w:color w:val="000000" w:themeColor="text1"/>
          <w:sz w:val="32"/>
          <w:szCs w:val="32"/>
        </w:rPr>
        <w:t>环境质量状况</w:t>
      </w:r>
    </w:p>
    <w:tbl>
      <w:tblPr>
        <w:tblStyle w:val="2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28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1" w:hRule="atLeast"/>
          <w:jc w:val="center"/>
        </w:trPr>
        <w:tc>
          <w:tcPr>
            <w:tcW w:w="9242" w:type="dxa"/>
          </w:tcPr>
          <w:p>
            <w:pPr>
              <w:pStyle w:val="19"/>
              <w:spacing w:line="440" w:lineRule="exact"/>
              <w:rPr>
                <w:rFonts w:ascii="Times New Roman" w:hAnsi="Times New Roman" w:eastAsia="宋体"/>
                <w:b/>
                <w:bCs/>
                <w:color w:val="000000" w:themeColor="text1"/>
              </w:rPr>
            </w:pPr>
            <w:r>
              <w:rPr>
                <w:rFonts w:ascii="Times New Roman" w:hAnsi="Times New Roman" w:eastAsia="宋体"/>
                <w:b/>
                <w:bCs/>
                <w:color w:val="000000" w:themeColor="text1"/>
              </w:rPr>
              <w:t>建设项目所在地区域环境质量现状及主要环境问题（环境空气、地面水、地下水、声环境、生态环境等）</w:t>
            </w:r>
          </w:p>
          <w:p>
            <w:pPr>
              <w:adjustRightInd w:val="0"/>
              <w:snapToGrid w:val="0"/>
              <w:spacing w:line="440" w:lineRule="exact"/>
              <w:ind w:firstLine="482" w:firstLineChars="200"/>
              <w:jc w:val="left"/>
              <w:rPr>
                <w:rFonts w:ascii="Times New Roman" w:hAnsi="Times New Roman" w:eastAsia="宋体"/>
                <w:b/>
                <w:color w:val="000000" w:themeColor="text1"/>
                <w:sz w:val="24"/>
              </w:rPr>
            </w:pPr>
            <w:r>
              <w:rPr>
                <w:rFonts w:ascii="Times New Roman" w:hAnsi="Times New Roman" w:eastAsia="宋体"/>
                <w:b/>
                <w:color w:val="000000" w:themeColor="text1"/>
                <w:sz w:val="24"/>
              </w:rPr>
              <w:t>1、环境空气质量现状</w:t>
            </w:r>
          </w:p>
          <w:p>
            <w:pPr>
              <w:pStyle w:val="113"/>
              <w:tabs>
                <w:tab w:val="left" w:pos="1240"/>
              </w:tabs>
              <w:spacing w:line="440" w:lineRule="exact"/>
              <w:ind w:firstLine="480"/>
              <w:rPr>
                <w:rFonts w:ascii="Times New Roman" w:hAnsi="Times New Roman" w:eastAsia="宋体"/>
                <w:color w:val="000000" w:themeColor="text1"/>
                <w:sz w:val="24"/>
              </w:rPr>
            </w:pPr>
            <w:r>
              <w:rPr>
                <w:rFonts w:ascii="Times New Roman" w:hAnsi="Times New Roman" w:eastAsia="宋体"/>
                <w:color w:val="000000" w:themeColor="text1"/>
                <w:sz w:val="24"/>
              </w:rPr>
              <w:t>（1）环境空气质量现状基本污染物评价</w:t>
            </w:r>
          </w:p>
          <w:p>
            <w:pPr>
              <w:pStyle w:val="101"/>
              <w:spacing w:afterLines="0" w:line="440" w:lineRule="exact"/>
              <w:ind w:firstLine="480" w:firstLineChars="200"/>
              <w:rPr>
                <w:rFonts w:ascii="Times New Roman" w:hAnsi="Times New Roman" w:eastAsia="宋体"/>
                <w:b w:val="0"/>
                <w:bCs/>
                <w:color w:val="000000" w:themeColor="text1"/>
                <w:sz w:val="24"/>
                <w:szCs w:val="24"/>
              </w:rPr>
            </w:pPr>
            <w:r>
              <w:rPr>
                <w:rFonts w:ascii="Times New Roman" w:hAnsi="Times New Roman" w:eastAsia="宋体"/>
                <w:b w:val="0"/>
                <w:bCs/>
                <w:color w:val="000000" w:themeColor="text1"/>
                <w:sz w:val="24"/>
                <w:szCs w:val="24"/>
              </w:rPr>
              <w:t>根据大气功能区划分原则</w:t>
            </w:r>
            <w:r>
              <w:rPr>
                <w:rFonts w:hint="eastAsia" w:ascii="Times New Roman" w:hAnsi="Times New Roman" w:eastAsia="宋体"/>
                <w:b w:val="0"/>
                <w:bCs/>
                <w:color w:val="000000" w:themeColor="text1"/>
                <w:sz w:val="24"/>
                <w:szCs w:val="24"/>
              </w:rPr>
              <w:t>，</w:t>
            </w:r>
            <w:r>
              <w:rPr>
                <w:rFonts w:ascii="Times New Roman" w:hAnsi="Times New Roman" w:eastAsia="宋体"/>
                <w:b w:val="0"/>
                <w:bCs/>
                <w:color w:val="000000" w:themeColor="text1"/>
                <w:sz w:val="24"/>
                <w:szCs w:val="24"/>
              </w:rPr>
              <w:t>项目所在区域为二类功能区</w:t>
            </w:r>
            <w:r>
              <w:rPr>
                <w:rFonts w:hint="eastAsia" w:ascii="Times New Roman" w:hAnsi="Times New Roman" w:eastAsia="宋体"/>
                <w:b w:val="0"/>
                <w:bCs/>
                <w:color w:val="000000" w:themeColor="text1"/>
                <w:sz w:val="24"/>
                <w:szCs w:val="24"/>
              </w:rPr>
              <w:t>，</w:t>
            </w:r>
            <w:r>
              <w:rPr>
                <w:rFonts w:ascii="Times New Roman" w:hAnsi="Times New Roman" w:eastAsia="宋体"/>
                <w:b w:val="0"/>
                <w:bCs/>
                <w:color w:val="000000" w:themeColor="text1"/>
                <w:sz w:val="24"/>
                <w:szCs w:val="24"/>
              </w:rPr>
              <w:t>环境空气质量应执行</w:t>
            </w:r>
            <w:r>
              <w:rPr>
                <w:rFonts w:hint="eastAsia" w:ascii="Times New Roman" w:hAnsi="Times New Roman" w:eastAsia="宋体"/>
                <w:b w:val="0"/>
                <w:bCs/>
                <w:color w:val="000000" w:themeColor="text1"/>
                <w:sz w:val="24"/>
                <w:szCs w:val="24"/>
              </w:rPr>
              <w:t>《环境空气质量标准》（GB3095-2012）及其2018年修改单二级标准。</w:t>
            </w:r>
            <w:r>
              <w:rPr>
                <w:rFonts w:ascii="Times New Roman" w:hAnsi="Times New Roman" w:eastAsia="宋体"/>
                <w:b w:val="0"/>
                <w:bCs/>
                <w:color w:val="000000" w:themeColor="text1"/>
                <w:sz w:val="24"/>
                <w:szCs w:val="24"/>
              </w:rPr>
              <w:t>根据新乡市生态环境局发布的《新乡市2019年环境质量年报》，2019年，新乡市颗粒物PM</w:t>
            </w:r>
            <w:r>
              <w:rPr>
                <w:rFonts w:ascii="Times New Roman" w:hAnsi="Times New Roman" w:eastAsia="宋体"/>
                <w:b w:val="0"/>
                <w:bCs/>
                <w:color w:val="000000" w:themeColor="text1"/>
                <w:sz w:val="24"/>
                <w:szCs w:val="24"/>
                <w:vertAlign w:val="subscript"/>
              </w:rPr>
              <w:t>10</w:t>
            </w:r>
            <w:r>
              <w:rPr>
                <w:rFonts w:ascii="Times New Roman" w:hAnsi="Times New Roman" w:eastAsia="宋体"/>
                <w:b w:val="0"/>
                <w:bCs/>
                <w:color w:val="000000" w:themeColor="text1"/>
                <w:sz w:val="24"/>
                <w:szCs w:val="24"/>
              </w:rPr>
              <w:t>平均浓度101微克/立方米，同比下降4微克/立方米，降幅3.8%；PM</w:t>
            </w:r>
            <w:r>
              <w:rPr>
                <w:rFonts w:ascii="Times New Roman" w:hAnsi="Times New Roman" w:eastAsia="宋体"/>
                <w:b w:val="0"/>
                <w:bCs/>
                <w:color w:val="000000" w:themeColor="text1"/>
                <w:sz w:val="24"/>
                <w:szCs w:val="24"/>
                <w:vertAlign w:val="subscript"/>
              </w:rPr>
              <w:t>2.5</w:t>
            </w:r>
            <w:r>
              <w:rPr>
                <w:rFonts w:ascii="Times New Roman" w:hAnsi="Times New Roman" w:eastAsia="宋体"/>
                <w:b w:val="0"/>
                <w:bCs/>
                <w:color w:val="000000" w:themeColor="text1"/>
                <w:sz w:val="24"/>
                <w:szCs w:val="24"/>
              </w:rPr>
              <w:t>平均浓度56微克/立方米，同比下降5微克/立方米，降幅8.2%。气态污染物 SO</w:t>
            </w:r>
            <w:r>
              <w:rPr>
                <w:rFonts w:ascii="Times New Roman" w:hAnsi="Times New Roman" w:eastAsia="宋体"/>
                <w:b w:val="0"/>
                <w:bCs/>
                <w:color w:val="000000" w:themeColor="text1"/>
                <w:sz w:val="24"/>
                <w:szCs w:val="24"/>
                <w:vertAlign w:val="subscript"/>
              </w:rPr>
              <w:t>2</w:t>
            </w:r>
            <w:r>
              <w:rPr>
                <w:rFonts w:ascii="Times New Roman" w:hAnsi="Times New Roman" w:eastAsia="宋体"/>
                <w:b w:val="0"/>
                <w:bCs/>
                <w:color w:val="000000" w:themeColor="text1"/>
                <w:sz w:val="24"/>
                <w:szCs w:val="24"/>
              </w:rPr>
              <w:t>平均浓度16微克/立方米，同比下降3微克/立方米，降幅15.8%；NO</w:t>
            </w:r>
            <w:r>
              <w:rPr>
                <w:rFonts w:ascii="Times New Roman" w:hAnsi="Times New Roman" w:eastAsia="宋体"/>
                <w:b w:val="0"/>
                <w:bCs/>
                <w:color w:val="000000" w:themeColor="text1"/>
                <w:sz w:val="24"/>
                <w:szCs w:val="24"/>
                <w:vertAlign w:val="subscript"/>
              </w:rPr>
              <w:t>2</w:t>
            </w:r>
            <w:r>
              <w:rPr>
                <w:rFonts w:ascii="Times New Roman" w:hAnsi="Times New Roman" w:eastAsia="宋体"/>
                <w:b w:val="0"/>
                <w:bCs/>
                <w:color w:val="000000" w:themeColor="text1"/>
                <w:sz w:val="24"/>
                <w:szCs w:val="24"/>
              </w:rPr>
              <w:t>平均浓度44微克/立方米，同比下降5微克/立方米，降幅10.2%；O</w:t>
            </w:r>
            <w:r>
              <w:rPr>
                <w:rFonts w:ascii="Times New Roman" w:hAnsi="Times New Roman" w:eastAsia="宋体"/>
                <w:b w:val="0"/>
                <w:bCs/>
                <w:color w:val="000000" w:themeColor="text1"/>
                <w:sz w:val="24"/>
                <w:szCs w:val="24"/>
                <w:vertAlign w:val="subscript"/>
              </w:rPr>
              <w:t>3</w:t>
            </w:r>
            <w:r>
              <w:rPr>
                <w:rFonts w:ascii="Times New Roman" w:hAnsi="Times New Roman" w:eastAsia="宋体"/>
                <w:b w:val="0"/>
                <w:bCs/>
                <w:color w:val="000000" w:themeColor="text1"/>
                <w:sz w:val="24"/>
                <w:szCs w:val="24"/>
              </w:rPr>
              <w:t>第90百分位浓度为178微克/立方米，同比下降24微克/立方米，降幅11.9%，CO第95百分位浓度2.08毫克/立方米，同比下降0.22毫克/立方米，降幅9.6%。2019年，新乡市环境空气优、良天数204天，优、良天数比例55.9%；去年同期，优、良天数177天，优、良天数比例51.8%；同比优、良天数增加27天，上升4.1个百分点。区域空气质量现状数据如下表所示。</w:t>
            </w:r>
          </w:p>
          <w:p>
            <w:pPr>
              <w:pStyle w:val="101"/>
              <w:spacing w:afterLines="0" w:line="440" w:lineRule="exact"/>
              <w:ind w:firstLine="0" w:firstLineChars="0"/>
              <w:jc w:val="center"/>
              <w:rPr>
                <w:rFonts w:ascii="Times New Roman" w:hAnsi="Times New Roman" w:eastAsia="宋体"/>
                <w:color w:val="000000" w:themeColor="text1"/>
                <w:sz w:val="24"/>
                <w:szCs w:val="24"/>
                <w:lang w:val="zh-CN"/>
              </w:rPr>
            </w:pPr>
            <w:r>
              <w:rPr>
                <w:rFonts w:ascii="Times New Roman" w:hAnsi="Times New Roman" w:eastAsia="宋体"/>
                <w:color w:val="000000" w:themeColor="text1"/>
                <w:sz w:val="24"/>
                <w:szCs w:val="24"/>
              </w:rPr>
              <w:t>表1</w:t>
            </w:r>
            <w:r>
              <w:rPr>
                <w:rFonts w:hint="eastAsia" w:ascii="Times New Roman" w:hAnsi="Times New Roman" w:eastAsia="宋体"/>
                <w:color w:val="000000" w:themeColor="text1"/>
                <w:sz w:val="24"/>
                <w:szCs w:val="24"/>
              </w:rPr>
              <w:t xml:space="preserve">9    </w:t>
            </w:r>
            <w:r>
              <w:rPr>
                <w:rFonts w:ascii="Times New Roman" w:hAnsi="Times New Roman" w:eastAsia="宋体"/>
                <w:color w:val="000000" w:themeColor="text1"/>
                <w:sz w:val="24"/>
                <w:szCs w:val="24"/>
              </w:rPr>
              <w:t>环境质量调查数据统计结果</w:t>
            </w:r>
          </w:p>
          <w:tbl>
            <w:tblPr>
              <w:tblStyle w:val="24"/>
              <w:tblW w:w="9075"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57" w:type="dxa"/>
                <w:left w:w="108" w:type="dxa"/>
                <w:bottom w:w="57" w:type="dxa"/>
                <w:right w:w="108" w:type="dxa"/>
              </w:tblCellMar>
            </w:tblPr>
            <w:tblGrid>
              <w:gridCol w:w="1396"/>
              <w:gridCol w:w="1880"/>
              <w:gridCol w:w="1559"/>
              <w:gridCol w:w="1694"/>
              <w:gridCol w:w="1273"/>
              <w:gridCol w:w="127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1396" w:type="dxa"/>
                  <w:tcBorders>
                    <w:top w:val="single" w:color="auto" w:sz="8" w:space="0"/>
                    <w:left w:val="nil"/>
                    <w:bottom w:val="single" w:color="auto" w:sz="8" w:space="0"/>
                    <w:right w:val="single" w:color="auto" w:sz="4" w:space="0"/>
                  </w:tcBorders>
                  <w:tcMar>
                    <w:top w:w="57" w:type="dxa"/>
                    <w:left w:w="85" w:type="dxa"/>
                    <w:bottom w:w="57" w:type="dxa"/>
                    <w:right w:w="85" w:type="dxa"/>
                  </w:tcMar>
                  <w:vAlign w:val="center"/>
                </w:tcPr>
                <w:p>
                  <w:pPr>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污染物</w:t>
                  </w:r>
                </w:p>
              </w:tc>
              <w:tc>
                <w:tcPr>
                  <w:tcW w:w="1879" w:type="dxa"/>
                  <w:tcBorders>
                    <w:top w:val="single" w:color="auto" w:sz="8" w:space="0"/>
                    <w:left w:val="single" w:color="auto" w:sz="4" w:space="0"/>
                    <w:bottom w:val="single" w:color="auto" w:sz="8" w:space="0"/>
                    <w:right w:val="single" w:color="auto" w:sz="4" w:space="0"/>
                  </w:tcBorders>
                  <w:tcMar>
                    <w:top w:w="57" w:type="dxa"/>
                    <w:left w:w="85" w:type="dxa"/>
                    <w:bottom w:w="57" w:type="dxa"/>
                    <w:right w:w="85" w:type="dxa"/>
                  </w:tcMar>
                  <w:vAlign w:val="center"/>
                </w:tcPr>
                <w:p>
                  <w:pPr>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年评价指标</w:t>
                  </w:r>
                </w:p>
              </w:tc>
              <w:tc>
                <w:tcPr>
                  <w:tcW w:w="1558" w:type="dxa"/>
                  <w:tcBorders>
                    <w:top w:val="single" w:color="auto" w:sz="8" w:space="0"/>
                    <w:left w:val="single" w:color="auto" w:sz="4" w:space="0"/>
                    <w:bottom w:val="single" w:color="auto" w:sz="8" w:space="0"/>
                    <w:right w:val="single" w:color="auto" w:sz="4" w:space="0"/>
                  </w:tcBorders>
                  <w:tcMar>
                    <w:top w:w="57" w:type="dxa"/>
                    <w:left w:w="85" w:type="dxa"/>
                    <w:bottom w:w="57" w:type="dxa"/>
                    <w:right w:w="85" w:type="dxa"/>
                  </w:tcMar>
                  <w:vAlign w:val="center"/>
                </w:tcPr>
                <w:p>
                  <w:pPr>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现状浓度/（μg/m</w:t>
                  </w:r>
                  <w:r>
                    <w:rPr>
                      <w:rFonts w:ascii="Times New Roman" w:hAnsi="Times New Roman" w:eastAsia="宋体"/>
                      <w:b/>
                      <w:bCs/>
                      <w:color w:val="000000" w:themeColor="text1"/>
                      <w:szCs w:val="21"/>
                      <w:vertAlign w:val="superscript"/>
                    </w:rPr>
                    <w:t>3</w:t>
                  </w:r>
                  <w:r>
                    <w:rPr>
                      <w:rFonts w:ascii="Times New Roman" w:hAnsi="Times New Roman" w:eastAsia="宋体"/>
                      <w:b/>
                      <w:bCs/>
                      <w:color w:val="000000" w:themeColor="text1"/>
                      <w:szCs w:val="21"/>
                    </w:rPr>
                    <w:t>）</w:t>
                  </w:r>
                </w:p>
              </w:tc>
              <w:tc>
                <w:tcPr>
                  <w:tcW w:w="1693" w:type="dxa"/>
                  <w:tcBorders>
                    <w:top w:val="single" w:color="auto" w:sz="8" w:space="0"/>
                    <w:left w:val="single" w:color="auto" w:sz="4" w:space="0"/>
                    <w:bottom w:val="single" w:color="auto" w:sz="8" w:space="0"/>
                    <w:right w:val="single" w:color="auto" w:sz="4" w:space="0"/>
                  </w:tcBorders>
                  <w:tcMar>
                    <w:top w:w="57" w:type="dxa"/>
                    <w:left w:w="85" w:type="dxa"/>
                    <w:bottom w:w="57" w:type="dxa"/>
                    <w:right w:w="85" w:type="dxa"/>
                  </w:tcMar>
                  <w:vAlign w:val="center"/>
                </w:tcPr>
                <w:p>
                  <w:pPr>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标准值/（μg/m</w:t>
                  </w:r>
                  <w:r>
                    <w:rPr>
                      <w:rFonts w:ascii="Times New Roman" w:hAnsi="Times New Roman" w:eastAsia="宋体"/>
                      <w:b/>
                      <w:bCs/>
                      <w:color w:val="000000" w:themeColor="text1"/>
                      <w:szCs w:val="21"/>
                      <w:vertAlign w:val="superscript"/>
                    </w:rPr>
                    <w:t>3</w:t>
                  </w:r>
                  <w:r>
                    <w:rPr>
                      <w:rFonts w:ascii="Times New Roman" w:hAnsi="Times New Roman" w:eastAsia="宋体"/>
                      <w:b/>
                      <w:bCs/>
                      <w:color w:val="000000" w:themeColor="text1"/>
                      <w:szCs w:val="21"/>
                    </w:rPr>
                    <w:t>）</w:t>
                  </w:r>
                </w:p>
              </w:tc>
              <w:tc>
                <w:tcPr>
                  <w:tcW w:w="1273" w:type="dxa"/>
                  <w:tcBorders>
                    <w:top w:val="single" w:color="auto" w:sz="8" w:space="0"/>
                    <w:left w:val="single" w:color="auto" w:sz="4" w:space="0"/>
                    <w:bottom w:val="single" w:color="auto" w:sz="8" w:space="0"/>
                    <w:right w:val="single" w:color="auto" w:sz="4" w:space="0"/>
                  </w:tcBorders>
                  <w:tcMar>
                    <w:top w:w="57" w:type="dxa"/>
                    <w:left w:w="85" w:type="dxa"/>
                    <w:bottom w:w="57" w:type="dxa"/>
                    <w:right w:w="85" w:type="dxa"/>
                  </w:tcMar>
                  <w:vAlign w:val="center"/>
                </w:tcPr>
                <w:p>
                  <w:pPr>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占标率</w:t>
                  </w:r>
                </w:p>
                <w:p>
                  <w:pPr>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w:t>
                  </w:r>
                </w:p>
              </w:tc>
              <w:tc>
                <w:tcPr>
                  <w:tcW w:w="1273" w:type="dxa"/>
                  <w:tcBorders>
                    <w:top w:val="single" w:color="auto" w:sz="8" w:space="0"/>
                    <w:left w:val="single" w:color="auto" w:sz="4" w:space="0"/>
                    <w:bottom w:val="single" w:color="auto" w:sz="8" w:space="0"/>
                    <w:right w:val="nil"/>
                  </w:tcBorders>
                  <w:tcMar>
                    <w:top w:w="57" w:type="dxa"/>
                    <w:left w:w="85" w:type="dxa"/>
                    <w:bottom w:w="57" w:type="dxa"/>
                    <w:right w:w="85" w:type="dxa"/>
                  </w:tcMar>
                  <w:vAlign w:val="center"/>
                </w:tcPr>
                <w:p>
                  <w:pPr>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达标情况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1396" w:type="dxa"/>
                  <w:tcBorders>
                    <w:top w:val="single" w:color="auto" w:sz="8" w:space="0"/>
                    <w:left w:val="nil"/>
                    <w:bottom w:val="single" w:color="auto" w:sz="4" w:space="0"/>
                    <w:right w:val="single" w:color="auto" w:sz="4" w:space="0"/>
                  </w:tcBorders>
                  <w:tcMar>
                    <w:top w:w="57" w:type="dxa"/>
                    <w:left w:w="85" w:type="dxa"/>
                    <w:bottom w:w="57" w:type="dxa"/>
                    <w:right w:w="85" w:type="dxa"/>
                  </w:tcMar>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PM</w:t>
                  </w:r>
                  <w:r>
                    <w:rPr>
                      <w:rFonts w:ascii="Times New Roman" w:hAnsi="Times New Roman" w:eastAsia="宋体"/>
                      <w:color w:val="000000" w:themeColor="text1"/>
                      <w:szCs w:val="21"/>
                      <w:vertAlign w:val="subscript"/>
                    </w:rPr>
                    <w:t>10</w:t>
                  </w:r>
                </w:p>
              </w:tc>
              <w:tc>
                <w:tcPr>
                  <w:tcW w:w="1879" w:type="dxa"/>
                  <w:tcBorders>
                    <w:top w:val="single" w:color="auto" w:sz="8"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年平均质量浓度</w:t>
                  </w:r>
                </w:p>
              </w:tc>
              <w:tc>
                <w:tcPr>
                  <w:tcW w:w="1558" w:type="dxa"/>
                  <w:tcBorders>
                    <w:top w:val="single" w:color="auto" w:sz="8"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101</w:t>
                  </w:r>
                </w:p>
              </w:tc>
              <w:tc>
                <w:tcPr>
                  <w:tcW w:w="1693" w:type="dxa"/>
                  <w:tcBorders>
                    <w:top w:val="single" w:color="auto" w:sz="8"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70</w:t>
                  </w:r>
                </w:p>
              </w:tc>
              <w:tc>
                <w:tcPr>
                  <w:tcW w:w="1273" w:type="dxa"/>
                  <w:tcBorders>
                    <w:top w:val="single" w:color="auto" w:sz="8"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144.3</w:t>
                  </w:r>
                </w:p>
              </w:tc>
              <w:tc>
                <w:tcPr>
                  <w:tcW w:w="1273" w:type="dxa"/>
                  <w:tcBorders>
                    <w:top w:val="single" w:color="auto" w:sz="8" w:space="0"/>
                    <w:left w:val="single" w:color="auto" w:sz="4" w:space="0"/>
                    <w:bottom w:val="single" w:color="auto" w:sz="4" w:space="0"/>
                    <w:right w:val="nil"/>
                  </w:tcBorders>
                  <w:tcMar>
                    <w:top w:w="57" w:type="dxa"/>
                    <w:left w:w="85" w:type="dxa"/>
                    <w:bottom w:w="57" w:type="dxa"/>
                    <w:right w:w="85" w:type="dxa"/>
                  </w:tcMar>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超标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1396" w:type="dxa"/>
                  <w:tcBorders>
                    <w:top w:val="single" w:color="auto" w:sz="4" w:space="0"/>
                    <w:left w:val="nil"/>
                    <w:bottom w:val="single" w:color="auto" w:sz="4" w:space="0"/>
                    <w:right w:val="single" w:color="auto" w:sz="4" w:space="0"/>
                  </w:tcBorders>
                  <w:tcMar>
                    <w:top w:w="57" w:type="dxa"/>
                    <w:left w:w="85" w:type="dxa"/>
                    <w:bottom w:w="57" w:type="dxa"/>
                    <w:right w:w="85" w:type="dxa"/>
                  </w:tcMar>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PM</w:t>
                  </w:r>
                  <w:r>
                    <w:rPr>
                      <w:rFonts w:ascii="Times New Roman" w:hAnsi="Times New Roman" w:eastAsia="宋体"/>
                      <w:color w:val="000000" w:themeColor="text1"/>
                      <w:szCs w:val="21"/>
                      <w:vertAlign w:val="subscript"/>
                    </w:rPr>
                    <w:t>2.5</w:t>
                  </w:r>
                </w:p>
              </w:tc>
              <w:tc>
                <w:tcPr>
                  <w:tcW w:w="1879"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年平均质量浓度</w:t>
                  </w:r>
                </w:p>
              </w:tc>
              <w:tc>
                <w:tcPr>
                  <w:tcW w:w="155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56</w:t>
                  </w:r>
                </w:p>
              </w:tc>
              <w:tc>
                <w:tcPr>
                  <w:tcW w:w="1693"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35</w:t>
                  </w:r>
                </w:p>
              </w:tc>
              <w:tc>
                <w:tcPr>
                  <w:tcW w:w="1273"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160</w:t>
                  </w:r>
                </w:p>
              </w:tc>
              <w:tc>
                <w:tcPr>
                  <w:tcW w:w="1273" w:type="dxa"/>
                  <w:tcBorders>
                    <w:top w:val="single" w:color="auto" w:sz="4" w:space="0"/>
                    <w:left w:val="single" w:color="auto" w:sz="4" w:space="0"/>
                    <w:bottom w:val="single" w:color="auto" w:sz="4" w:space="0"/>
                    <w:right w:val="nil"/>
                  </w:tcBorders>
                  <w:tcMar>
                    <w:top w:w="57" w:type="dxa"/>
                    <w:left w:w="85" w:type="dxa"/>
                    <w:bottom w:w="57" w:type="dxa"/>
                    <w:right w:w="85" w:type="dxa"/>
                  </w:tcMar>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超标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1396" w:type="dxa"/>
                  <w:tcBorders>
                    <w:top w:val="single" w:color="auto" w:sz="4" w:space="0"/>
                    <w:left w:val="nil"/>
                    <w:bottom w:val="single" w:color="auto" w:sz="4" w:space="0"/>
                    <w:right w:val="single" w:color="auto" w:sz="4" w:space="0"/>
                  </w:tcBorders>
                  <w:tcMar>
                    <w:top w:w="57" w:type="dxa"/>
                    <w:left w:w="85" w:type="dxa"/>
                    <w:bottom w:w="57" w:type="dxa"/>
                    <w:right w:w="85" w:type="dxa"/>
                  </w:tcMar>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SO</w:t>
                  </w:r>
                  <w:r>
                    <w:rPr>
                      <w:rFonts w:ascii="Times New Roman" w:hAnsi="Times New Roman" w:eastAsia="宋体"/>
                      <w:color w:val="000000" w:themeColor="text1"/>
                      <w:szCs w:val="21"/>
                      <w:vertAlign w:val="subscript"/>
                    </w:rPr>
                    <w:t>2</w:t>
                  </w:r>
                </w:p>
              </w:tc>
              <w:tc>
                <w:tcPr>
                  <w:tcW w:w="1879"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年平均质量浓度</w:t>
                  </w:r>
                </w:p>
              </w:tc>
              <w:tc>
                <w:tcPr>
                  <w:tcW w:w="155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16</w:t>
                  </w:r>
                </w:p>
              </w:tc>
              <w:tc>
                <w:tcPr>
                  <w:tcW w:w="1693"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60</w:t>
                  </w:r>
                </w:p>
              </w:tc>
              <w:tc>
                <w:tcPr>
                  <w:tcW w:w="1273"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26.7</w:t>
                  </w:r>
                </w:p>
              </w:tc>
              <w:tc>
                <w:tcPr>
                  <w:tcW w:w="1273" w:type="dxa"/>
                  <w:tcBorders>
                    <w:top w:val="single" w:color="auto" w:sz="4" w:space="0"/>
                    <w:left w:val="single" w:color="auto" w:sz="4" w:space="0"/>
                    <w:bottom w:val="single" w:color="auto" w:sz="4" w:space="0"/>
                    <w:right w:val="nil"/>
                  </w:tcBorders>
                  <w:tcMar>
                    <w:top w:w="57" w:type="dxa"/>
                    <w:left w:w="85" w:type="dxa"/>
                    <w:bottom w:w="57" w:type="dxa"/>
                    <w:right w:w="85" w:type="dxa"/>
                  </w:tcMar>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1396" w:type="dxa"/>
                  <w:tcBorders>
                    <w:top w:val="single" w:color="auto" w:sz="4" w:space="0"/>
                    <w:left w:val="nil"/>
                    <w:bottom w:val="single" w:color="auto" w:sz="4" w:space="0"/>
                    <w:right w:val="single" w:color="auto" w:sz="4" w:space="0"/>
                  </w:tcBorders>
                  <w:tcMar>
                    <w:top w:w="57" w:type="dxa"/>
                    <w:left w:w="85" w:type="dxa"/>
                    <w:bottom w:w="57" w:type="dxa"/>
                    <w:right w:w="85" w:type="dxa"/>
                  </w:tcMar>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NO</w:t>
                  </w:r>
                  <w:r>
                    <w:rPr>
                      <w:rFonts w:ascii="Times New Roman" w:hAnsi="Times New Roman" w:eastAsia="宋体"/>
                      <w:color w:val="000000" w:themeColor="text1"/>
                      <w:szCs w:val="21"/>
                      <w:vertAlign w:val="subscript"/>
                    </w:rPr>
                    <w:t>2</w:t>
                  </w:r>
                </w:p>
              </w:tc>
              <w:tc>
                <w:tcPr>
                  <w:tcW w:w="1879"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年平均质量浓度</w:t>
                  </w:r>
                </w:p>
              </w:tc>
              <w:tc>
                <w:tcPr>
                  <w:tcW w:w="155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44</w:t>
                  </w:r>
                </w:p>
              </w:tc>
              <w:tc>
                <w:tcPr>
                  <w:tcW w:w="1693"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40</w:t>
                  </w:r>
                </w:p>
              </w:tc>
              <w:tc>
                <w:tcPr>
                  <w:tcW w:w="1273"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110</w:t>
                  </w:r>
                </w:p>
              </w:tc>
              <w:tc>
                <w:tcPr>
                  <w:tcW w:w="1273" w:type="dxa"/>
                  <w:tcBorders>
                    <w:top w:val="single" w:color="auto" w:sz="4" w:space="0"/>
                    <w:left w:val="single" w:color="auto" w:sz="4" w:space="0"/>
                    <w:bottom w:val="single" w:color="auto" w:sz="4" w:space="0"/>
                    <w:right w:val="nil"/>
                  </w:tcBorders>
                  <w:tcMar>
                    <w:top w:w="57" w:type="dxa"/>
                    <w:left w:w="85" w:type="dxa"/>
                    <w:bottom w:w="57" w:type="dxa"/>
                    <w:right w:w="85" w:type="dxa"/>
                  </w:tcMar>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超标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1396" w:type="dxa"/>
                  <w:tcBorders>
                    <w:top w:val="single" w:color="auto" w:sz="4" w:space="0"/>
                    <w:left w:val="nil"/>
                    <w:bottom w:val="single" w:color="auto" w:sz="4" w:space="0"/>
                    <w:right w:val="single" w:color="auto" w:sz="4" w:space="0"/>
                  </w:tcBorders>
                  <w:tcMar>
                    <w:top w:w="57" w:type="dxa"/>
                    <w:left w:w="85" w:type="dxa"/>
                    <w:bottom w:w="57" w:type="dxa"/>
                    <w:right w:w="85" w:type="dxa"/>
                  </w:tcMar>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CO</w:t>
                  </w:r>
                </w:p>
              </w:tc>
              <w:tc>
                <w:tcPr>
                  <w:tcW w:w="1879"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第95百分位浓度</w:t>
                  </w:r>
                </w:p>
              </w:tc>
              <w:tc>
                <w:tcPr>
                  <w:tcW w:w="155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2.08mg/m</w:t>
                  </w:r>
                  <w:r>
                    <w:rPr>
                      <w:rFonts w:ascii="Times New Roman" w:hAnsi="Times New Roman" w:eastAsia="宋体"/>
                      <w:color w:val="000000" w:themeColor="text1"/>
                      <w:szCs w:val="21"/>
                      <w:vertAlign w:val="superscript"/>
                    </w:rPr>
                    <w:t>3</w:t>
                  </w:r>
                </w:p>
              </w:tc>
              <w:tc>
                <w:tcPr>
                  <w:tcW w:w="1693"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4mg/m</w:t>
                  </w:r>
                  <w:r>
                    <w:rPr>
                      <w:rFonts w:ascii="Times New Roman" w:hAnsi="Times New Roman" w:eastAsia="宋体"/>
                      <w:color w:val="000000" w:themeColor="text1"/>
                      <w:szCs w:val="21"/>
                      <w:vertAlign w:val="superscript"/>
                    </w:rPr>
                    <w:t>3</w:t>
                  </w:r>
                </w:p>
              </w:tc>
              <w:tc>
                <w:tcPr>
                  <w:tcW w:w="1273"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52</w:t>
                  </w:r>
                </w:p>
              </w:tc>
              <w:tc>
                <w:tcPr>
                  <w:tcW w:w="1273" w:type="dxa"/>
                  <w:tcBorders>
                    <w:top w:val="single" w:color="auto" w:sz="4" w:space="0"/>
                    <w:left w:val="single" w:color="auto" w:sz="4" w:space="0"/>
                    <w:bottom w:val="single" w:color="auto" w:sz="4" w:space="0"/>
                    <w:right w:val="nil"/>
                  </w:tcBorders>
                  <w:tcMar>
                    <w:top w:w="57" w:type="dxa"/>
                    <w:left w:w="85" w:type="dxa"/>
                    <w:bottom w:w="57" w:type="dxa"/>
                    <w:right w:w="85" w:type="dxa"/>
                  </w:tcMar>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1396" w:type="dxa"/>
                  <w:tcBorders>
                    <w:top w:val="single" w:color="auto" w:sz="4" w:space="0"/>
                    <w:left w:val="nil"/>
                    <w:bottom w:val="single" w:color="auto" w:sz="8" w:space="0"/>
                    <w:right w:val="single" w:color="auto" w:sz="4" w:space="0"/>
                  </w:tcBorders>
                  <w:tcMar>
                    <w:top w:w="57" w:type="dxa"/>
                    <w:left w:w="85" w:type="dxa"/>
                    <w:bottom w:w="57" w:type="dxa"/>
                    <w:right w:w="85" w:type="dxa"/>
                  </w:tcMar>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O</w:t>
                  </w:r>
                  <w:r>
                    <w:rPr>
                      <w:rFonts w:ascii="Times New Roman" w:hAnsi="Times New Roman" w:eastAsia="宋体"/>
                      <w:color w:val="000000" w:themeColor="text1"/>
                      <w:szCs w:val="21"/>
                      <w:vertAlign w:val="subscript"/>
                    </w:rPr>
                    <w:t>3</w:t>
                  </w:r>
                </w:p>
              </w:tc>
              <w:tc>
                <w:tcPr>
                  <w:tcW w:w="1879" w:type="dxa"/>
                  <w:tcBorders>
                    <w:top w:val="single" w:color="auto" w:sz="4" w:space="0"/>
                    <w:left w:val="single" w:color="auto" w:sz="4" w:space="0"/>
                    <w:bottom w:val="single" w:color="auto" w:sz="8" w:space="0"/>
                    <w:right w:val="single" w:color="auto" w:sz="4" w:space="0"/>
                  </w:tcBorders>
                  <w:tcMar>
                    <w:top w:w="57" w:type="dxa"/>
                    <w:left w:w="85" w:type="dxa"/>
                    <w:bottom w:w="57" w:type="dxa"/>
                    <w:right w:w="85" w:type="dxa"/>
                  </w:tcMar>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第90百分位浓度</w:t>
                  </w:r>
                </w:p>
              </w:tc>
              <w:tc>
                <w:tcPr>
                  <w:tcW w:w="1558" w:type="dxa"/>
                  <w:tcBorders>
                    <w:top w:val="single" w:color="auto" w:sz="4" w:space="0"/>
                    <w:left w:val="single" w:color="auto" w:sz="4" w:space="0"/>
                    <w:bottom w:val="single" w:color="auto" w:sz="8" w:space="0"/>
                    <w:right w:val="single" w:color="auto" w:sz="4" w:space="0"/>
                  </w:tcBorders>
                  <w:tcMar>
                    <w:top w:w="57" w:type="dxa"/>
                    <w:left w:w="85" w:type="dxa"/>
                    <w:bottom w:w="57" w:type="dxa"/>
                    <w:right w:w="85" w:type="dxa"/>
                  </w:tcMar>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178</w:t>
                  </w:r>
                </w:p>
              </w:tc>
              <w:tc>
                <w:tcPr>
                  <w:tcW w:w="1693" w:type="dxa"/>
                  <w:tcBorders>
                    <w:top w:val="single" w:color="auto" w:sz="4" w:space="0"/>
                    <w:left w:val="single" w:color="auto" w:sz="4" w:space="0"/>
                    <w:bottom w:val="single" w:color="auto" w:sz="8" w:space="0"/>
                    <w:right w:val="single" w:color="auto" w:sz="4" w:space="0"/>
                  </w:tcBorders>
                  <w:tcMar>
                    <w:top w:w="57" w:type="dxa"/>
                    <w:left w:w="85" w:type="dxa"/>
                    <w:bottom w:w="57" w:type="dxa"/>
                    <w:right w:w="85" w:type="dxa"/>
                  </w:tcMar>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160</w:t>
                  </w:r>
                </w:p>
              </w:tc>
              <w:tc>
                <w:tcPr>
                  <w:tcW w:w="1273" w:type="dxa"/>
                  <w:tcBorders>
                    <w:top w:val="single" w:color="auto" w:sz="4" w:space="0"/>
                    <w:left w:val="single" w:color="auto" w:sz="4" w:space="0"/>
                    <w:bottom w:val="single" w:color="auto" w:sz="8" w:space="0"/>
                    <w:right w:val="single" w:color="auto" w:sz="4" w:space="0"/>
                  </w:tcBorders>
                  <w:tcMar>
                    <w:top w:w="57" w:type="dxa"/>
                    <w:left w:w="85" w:type="dxa"/>
                    <w:bottom w:w="57" w:type="dxa"/>
                    <w:right w:w="85" w:type="dxa"/>
                  </w:tcMar>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111.3</w:t>
                  </w:r>
                </w:p>
              </w:tc>
              <w:tc>
                <w:tcPr>
                  <w:tcW w:w="1273" w:type="dxa"/>
                  <w:tcBorders>
                    <w:top w:val="single" w:color="auto" w:sz="4" w:space="0"/>
                    <w:left w:val="single" w:color="auto" w:sz="4" w:space="0"/>
                    <w:bottom w:val="single" w:color="auto" w:sz="8" w:space="0"/>
                    <w:right w:val="nil"/>
                  </w:tcBorders>
                  <w:tcMar>
                    <w:top w:w="57" w:type="dxa"/>
                    <w:left w:w="85" w:type="dxa"/>
                    <w:bottom w:w="57" w:type="dxa"/>
                    <w:right w:w="85" w:type="dxa"/>
                  </w:tcMar>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超标</w:t>
                  </w:r>
                </w:p>
              </w:tc>
            </w:tr>
          </w:tbl>
          <w:p>
            <w:pPr>
              <w:pStyle w:val="62"/>
              <w:spacing w:line="440" w:lineRule="exact"/>
              <w:rPr>
                <w:rFonts w:ascii="Times New Roman" w:hAnsi="Times New Roman" w:eastAsia="宋体"/>
                <w:color w:val="000000" w:themeColor="text1"/>
                <w:kern w:val="2"/>
                <w:szCs w:val="24"/>
              </w:rPr>
            </w:pPr>
            <w:r>
              <w:rPr>
                <w:rFonts w:ascii="Times New Roman" w:hAnsi="Times New Roman" w:eastAsia="宋体"/>
                <w:color w:val="000000" w:themeColor="text1"/>
                <w:kern w:val="2"/>
                <w:szCs w:val="24"/>
              </w:rPr>
              <w:t>由上表可知，其中PM</w:t>
            </w:r>
            <w:r>
              <w:rPr>
                <w:rFonts w:ascii="Times New Roman" w:hAnsi="Times New Roman" w:eastAsia="宋体"/>
                <w:color w:val="000000" w:themeColor="text1"/>
                <w:kern w:val="2"/>
                <w:szCs w:val="24"/>
                <w:vertAlign w:val="subscript"/>
              </w:rPr>
              <w:t>10</w:t>
            </w:r>
            <w:r>
              <w:rPr>
                <w:rFonts w:ascii="Times New Roman" w:hAnsi="Times New Roman" w:eastAsia="宋体"/>
                <w:color w:val="000000" w:themeColor="text1"/>
                <w:kern w:val="2"/>
                <w:szCs w:val="24"/>
              </w:rPr>
              <w:t>、PM</w:t>
            </w:r>
            <w:r>
              <w:rPr>
                <w:rFonts w:ascii="Times New Roman" w:hAnsi="Times New Roman" w:eastAsia="宋体"/>
                <w:color w:val="000000" w:themeColor="text1"/>
                <w:kern w:val="2"/>
                <w:szCs w:val="24"/>
                <w:vertAlign w:val="subscript"/>
              </w:rPr>
              <w:t>2.5</w:t>
            </w:r>
            <w:r>
              <w:rPr>
                <w:rFonts w:ascii="Times New Roman" w:hAnsi="Times New Roman" w:eastAsia="宋体"/>
                <w:color w:val="000000" w:themeColor="text1"/>
                <w:kern w:val="2"/>
                <w:szCs w:val="24"/>
              </w:rPr>
              <w:t>、NO</w:t>
            </w:r>
            <w:r>
              <w:rPr>
                <w:rFonts w:ascii="Times New Roman" w:hAnsi="Times New Roman" w:eastAsia="宋体"/>
                <w:color w:val="000000" w:themeColor="text1"/>
                <w:kern w:val="2"/>
                <w:szCs w:val="24"/>
                <w:vertAlign w:val="subscript"/>
              </w:rPr>
              <w:t>2</w:t>
            </w:r>
            <w:r>
              <w:rPr>
                <w:rFonts w:ascii="Times New Roman" w:hAnsi="Times New Roman" w:eastAsia="宋体"/>
                <w:color w:val="000000" w:themeColor="text1"/>
                <w:kern w:val="2"/>
                <w:szCs w:val="24"/>
              </w:rPr>
              <w:t>、O</w:t>
            </w:r>
            <w:r>
              <w:rPr>
                <w:rFonts w:ascii="Times New Roman" w:hAnsi="Times New Roman" w:eastAsia="宋体"/>
                <w:color w:val="000000" w:themeColor="text1"/>
                <w:kern w:val="2"/>
                <w:szCs w:val="24"/>
                <w:vertAlign w:val="subscript"/>
              </w:rPr>
              <w:t>3</w:t>
            </w:r>
            <w:r>
              <w:rPr>
                <w:rFonts w:ascii="Times New Roman" w:hAnsi="Times New Roman" w:eastAsia="宋体"/>
                <w:color w:val="000000" w:themeColor="text1"/>
                <w:kern w:val="2"/>
                <w:szCs w:val="24"/>
              </w:rPr>
              <w:t>均不能够满足《环境空气质量标准》（GB3095-2012）</w:t>
            </w:r>
            <w:r>
              <w:rPr>
                <w:rFonts w:hint="eastAsia" w:ascii="Times New Roman" w:hAnsi="Times New Roman" w:eastAsia="宋体"/>
                <w:bCs/>
                <w:color w:val="000000" w:themeColor="text1"/>
                <w:szCs w:val="24"/>
              </w:rPr>
              <w:t>及其2018年修改单</w:t>
            </w:r>
            <w:r>
              <w:rPr>
                <w:rFonts w:ascii="Times New Roman" w:hAnsi="Times New Roman" w:eastAsia="宋体"/>
                <w:color w:val="000000" w:themeColor="text1"/>
                <w:kern w:val="2"/>
                <w:szCs w:val="24"/>
              </w:rPr>
              <w:t>二级标准要求。根据《环境影响评价技术导则  大气环境》(HJ2.2-2018)，本项目所在区域属于未达标区。</w:t>
            </w:r>
          </w:p>
          <w:p>
            <w:pPr>
              <w:pStyle w:val="62"/>
              <w:spacing w:line="440" w:lineRule="exact"/>
              <w:rPr>
                <w:rFonts w:ascii="Times New Roman" w:hAnsi="Times New Roman" w:eastAsia="宋体"/>
                <w:color w:val="000000" w:themeColor="text1"/>
                <w:kern w:val="2"/>
                <w:szCs w:val="24"/>
              </w:rPr>
            </w:pPr>
            <w:r>
              <w:rPr>
                <w:rFonts w:ascii="Times New Roman" w:hAnsi="Times New Roman" w:eastAsia="宋体"/>
                <w:color w:val="000000" w:themeColor="text1"/>
                <w:kern w:val="2"/>
                <w:szCs w:val="24"/>
              </w:rPr>
              <w:t>目前，新乡市正在实施《新乡市蓝天工程行动计划》、《新乡市2018年大气污染防治攻坚战实施方案》、《“十三五”挥发性有机物污染防治工作方案》、《新乡市环境污染防治攻坚战三年行动实施方案（2018-2020年）》等一系列措施，将不断改善区域大气环境质量。预计2020年可以达到《新乡市环境污染防治攻坚战三年行动实施方案（2018-2020年）》中：“全市PM</w:t>
            </w:r>
            <w:r>
              <w:rPr>
                <w:rFonts w:ascii="Times New Roman" w:hAnsi="Times New Roman" w:eastAsia="宋体"/>
                <w:color w:val="000000" w:themeColor="text1"/>
                <w:kern w:val="2"/>
                <w:szCs w:val="24"/>
                <w:vertAlign w:val="subscript"/>
              </w:rPr>
              <w:t>2.5</w:t>
            </w:r>
            <w:r>
              <w:rPr>
                <w:rFonts w:ascii="Times New Roman" w:hAnsi="Times New Roman" w:eastAsia="宋体"/>
                <w:color w:val="000000" w:themeColor="text1"/>
                <w:kern w:val="2"/>
                <w:szCs w:val="24"/>
              </w:rPr>
              <w:t>年均浓度达到55微克/立方米以下，PM</w:t>
            </w:r>
            <w:r>
              <w:rPr>
                <w:rFonts w:ascii="Times New Roman" w:hAnsi="Times New Roman" w:eastAsia="宋体"/>
                <w:color w:val="000000" w:themeColor="text1"/>
                <w:kern w:val="2"/>
                <w:szCs w:val="24"/>
                <w:vertAlign w:val="subscript"/>
              </w:rPr>
              <w:t>10</w:t>
            </w:r>
            <w:r>
              <w:rPr>
                <w:rFonts w:ascii="Times New Roman" w:hAnsi="Times New Roman" w:eastAsia="宋体"/>
                <w:color w:val="000000" w:themeColor="text1"/>
                <w:kern w:val="2"/>
                <w:szCs w:val="24"/>
              </w:rPr>
              <w:t>年均浓度达到101微克/立方米以下，全年优良天数比例达到66%以上”的目标要求。</w:t>
            </w:r>
          </w:p>
          <w:p>
            <w:pPr>
              <w:pStyle w:val="62"/>
              <w:spacing w:line="440" w:lineRule="exact"/>
              <w:rPr>
                <w:rFonts w:ascii="Times New Roman" w:eastAsia="宋体"/>
                <w:color w:val="000000" w:themeColor="text1"/>
                <w:szCs w:val="21"/>
              </w:rPr>
            </w:pPr>
            <w:r>
              <w:rPr>
                <w:rFonts w:hint="eastAsia" w:ascii="Times New Roman" w:eastAsia="宋体"/>
                <w:color w:val="000000" w:themeColor="text1"/>
                <w:szCs w:val="21"/>
              </w:rPr>
              <w:t>本项目压合</w:t>
            </w:r>
            <w:r>
              <w:rPr>
                <w:rFonts w:ascii="Times New Roman" w:eastAsia="宋体"/>
                <w:color w:val="000000" w:themeColor="text1"/>
                <w:szCs w:val="21"/>
              </w:rPr>
              <w:t>工序</w:t>
            </w:r>
            <w:r>
              <w:rPr>
                <w:rFonts w:hint="eastAsia" w:ascii="Times New Roman" w:eastAsia="宋体"/>
                <w:color w:val="000000" w:themeColor="text1"/>
                <w:szCs w:val="21"/>
              </w:rPr>
              <w:t>会产生有机废气，</w:t>
            </w:r>
            <w:r>
              <w:rPr>
                <w:rFonts w:hint="eastAsia" w:ascii="Times New Roman" w:eastAsia="宋体"/>
                <w:bCs/>
                <w:color w:val="000000" w:themeColor="text1"/>
                <w:kern w:val="21"/>
                <w:szCs w:val="21"/>
              </w:rPr>
              <w:t>压合工序位于封闭的生产车间内，</w:t>
            </w:r>
            <w:r>
              <w:rPr>
                <w:rFonts w:hint="eastAsia" w:ascii="Times New Roman" w:hAnsi="宋体" w:eastAsia="宋体"/>
                <w:bCs/>
                <w:color w:val="000000" w:themeColor="text1"/>
                <w:szCs w:val="21"/>
              </w:rPr>
              <w:t>高周波塑熔机</w:t>
            </w:r>
            <w:r>
              <w:rPr>
                <w:rFonts w:hint="eastAsia" w:ascii="Times New Roman" w:eastAsia="宋体"/>
                <w:color w:val="000000" w:themeColor="text1"/>
                <w:szCs w:val="21"/>
              </w:rPr>
              <w:t>工作平台顶部安装封闭罩，集气装置的进风口和设备顶部封闭罩连接，有机废气经封闭集气罩（6个，新建）+“UV光催化氧化（原有）+活性炭吸附（原有）+油烟净化器（原有）+水喷淋（整改新建）”装置（1套）+15m高排气筒排放</w:t>
            </w:r>
            <w:r>
              <w:rPr>
                <w:rFonts w:hint="eastAsia" w:ascii="Times New Roman" w:hAnsi="Times New Roman" w:eastAsia="宋体"/>
                <w:color w:val="000000" w:themeColor="text1"/>
                <w:szCs w:val="21"/>
              </w:rPr>
              <w:t>，非甲烷总烃的排放浓度</w:t>
            </w:r>
            <w:r>
              <w:rPr>
                <w:rFonts w:hint="eastAsia" w:ascii="Times New Roman" w:eastAsia="宋体"/>
                <w:color w:val="000000" w:themeColor="text1"/>
              </w:rPr>
              <w:t>能够满足</w:t>
            </w:r>
            <w:r>
              <w:rPr>
                <w:rFonts w:hint="eastAsia" w:ascii="Times New Roman" w:eastAsia="宋体"/>
                <w:b/>
                <w:color w:val="000000" w:themeColor="text1"/>
                <w:u w:val="single"/>
              </w:rPr>
              <w:t>《关于全省开展工业企业挥发性有机物专项治理工作中排放建议值的通知》（豫环攻坚办</w:t>
            </w:r>
            <w:r>
              <w:rPr>
                <w:rFonts w:hint="eastAsia" w:ascii="Times New Roman" w:hAnsi="Times New Roman" w:eastAsia="宋体"/>
                <w:b/>
                <w:color w:val="000000" w:themeColor="text1"/>
                <w:u w:val="single"/>
              </w:rPr>
              <w:t>[2017]162</w:t>
            </w:r>
            <w:r>
              <w:rPr>
                <w:rFonts w:hint="eastAsia" w:ascii="Times New Roman" w:eastAsia="宋体"/>
                <w:b/>
                <w:color w:val="000000" w:themeColor="text1"/>
                <w:u w:val="single"/>
              </w:rPr>
              <w:t>号文）中工业企业挥发性有机物排放口非甲烷总烃排放建议值（有机废气排放口</w:t>
            </w:r>
            <w:r>
              <w:rPr>
                <w:rFonts w:hint="eastAsia" w:ascii="Times New Roman" w:hAnsi="Times New Roman" w:eastAsia="宋体"/>
                <w:b/>
                <w:color w:val="000000" w:themeColor="text1"/>
                <w:u w:val="single"/>
              </w:rPr>
              <w:t>80mg/m</w:t>
            </w:r>
            <w:r>
              <w:rPr>
                <w:rFonts w:hint="eastAsia" w:ascii="Times New Roman" w:hAnsi="Times New Roman" w:eastAsia="宋体"/>
                <w:b/>
                <w:color w:val="000000" w:themeColor="text1"/>
                <w:u w:val="single"/>
                <w:vertAlign w:val="superscript"/>
              </w:rPr>
              <w:t>3</w:t>
            </w:r>
            <w:r>
              <w:rPr>
                <w:rFonts w:hint="eastAsia" w:ascii="Times New Roman" w:eastAsia="宋体"/>
                <w:b/>
                <w:color w:val="000000" w:themeColor="text1"/>
                <w:u w:val="single"/>
              </w:rPr>
              <w:t>）和《烧碱、聚氯乙烯工业污染物排放标准》</w:t>
            </w:r>
            <w:r>
              <w:rPr>
                <w:rFonts w:ascii="Times New Roman" w:eastAsia="宋体"/>
                <w:b/>
                <w:color w:val="000000" w:themeColor="text1"/>
                <w:u w:val="single"/>
              </w:rPr>
              <w:t>（</w:t>
            </w:r>
            <w:r>
              <w:rPr>
                <w:rFonts w:ascii="Times New Roman" w:hAnsi="Times New Roman" w:eastAsia="宋体"/>
                <w:b/>
                <w:color w:val="000000" w:themeColor="text1"/>
                <w:u w:val="single"/>
              </w:rPr>
              <w:t>GB</w:t>
            </w:r>
            <w:r>
              <w:rPr>
                <w:rFonts w:hint="eastAsia" w:ascii="Times New Roman" w:hAnsi="Times New Roman" w:eastAsia="宋体"/>
                <w:b/>
                <w:color w:val="000000" w:themeColor="text1"/>
                <w:u w:val="single"/>
              </w:rPr>
              <w:t>15581</w:t>
            </w:r>
            <w:r>
              <w:rPr>
                <w:rFonts w:ascii="Times New Roman" w:hAnsi="Times New Roman" w:eastAsia="宋体"/>
                <w:b/>
                <w:color w:val="000000" w:themeColor="text1"/>
                <w:u w:val="single"/>
              </w:rPr>
              <w:t>-</w:t>
            </w:r>
            <w:r>
              <w:rPr>
                <w:rFonts w:hint="eastAsia" w:ascii="Times New Roman" w:hAnsi="Times New Roman" w:eastAsia="宋体"/>
                <w:b/>
                <w:color w:val="000000" w:themeColor="text1"/>
                <w:u w:val="single"/>
              </w:rPr>
              <w:t>2016</w:t>
            </w:r>
            <w:r>
              <w:rPr>
                <w:rFonts w:ascii="Times New Roman" w:eastAsia="宋体"/>
                <w:b/>
                <w:color w:val="000000" w:themeColor="text1"/>
                <w:u w:val="single"/>
              </w:rPr>
              <w:t>）表</w:t>
            </w:r>
            <w:r>
              <w:rPr>
                <w:rFonts w:hint="eastAsia" w:ascii="Times New Roman" w:hAnsi="Times New Roman" w:eastAsia="宋体"/>
                <w:b/>
                <w:color w:val="000000" w:themeColor="text1"/>
                <w:u w:val="single"/>
              </w:rPr>
              <w:t>4</w:t>
            </w:r>
            <w:r>
              <w:rPr>
                <w:rFonts w:hint="eastAsia" w:ascii="Times New Roman" w:eastAsia="宋体"/>
                <w:b/>
                <w:color w:val="000000" w:themeColor="text1"/>
                <w:u w:val="single"/>
              </w:rPr>
              <w:t>标准（非甲烷总烃</w:t>
            </w:r>
            <w:r>
              <w:rPr>
                <w:rFonts w:hint="eastAsia" w:ascii="Times New Roman" w:eastAsia="宋体"/>
                <w:b/>
                <w:bCs/>
                <w:color w:val="000000" w:themeColor="text1"/>
                <w:u w:val="single"/>
              </w:rPr>
              <w:t>排放限值</w:t>
            </w:r>
            <w:r>
              <w:rPr>
                <w:rFonts w:hint="eastAsia" w:ascii="Times New Roman" w:hAnsi="Times New Roman" w:eastAsia="宋体"/>
                <w:b/>
                <w:bCs/>
                <w:color w:val="000000" w:themeColor="text1"/>
                <w:u w:val="single"/>
              </w:rPr>
              <w:t>20</w:t>
            </w:r>
            <w:r>
              <w:rPr>
                <w:rFonts w:ascii="Times New Roman" w:hAnsi="Times New Roman" w:eastAsia="宋体"/>
                <w:b/>
                <w:bCs/>
                <w:color w:val="000000" w:themeColor="text1"/>
                <w:u w:val="single"/>
              </w:rPr>
              <w:t>mg/m</w:t>
            </w:r>
            <w:r>
              <w:rPr>
                <w:rFonts w:ascii="Times New Roman" w:hAnsi="Times New Roman" w:eastAsia="宋体"/>
                <w:b/>
                <w:bCs/>
                <w:color w:val="000000" w:themeColor="text1"/>
                <w:u w:val="single"/>
                <w:vertAlign w:val="superscript"/>
              </w:rPr>
              <w:t>3</w:t>
            </w:r>
            <w:r>
              <w:rPr>
                <w:rFonts w:hint="eastAsia" w:ascii="Times New Roman" w:eastAsia="宋体"/>
                <w:b/>
                <w:color w:val="000000" w:themeColor="text1"/>
                <w:u w:val="single"/>
              </w:rPr>
              <w:t>）的要求。</w:t>
            </w:r>
            <w:r>
              <w:rPr>
                <w:rFonts w:hint="eastAsia" w:ascii="Times New Roman" w:eastAsia="宋体"/>
                <w:b/>
                <w:color w:val="000000" w:themeColor="text1"/>
                <w:szCs w:val="21"/>
                <w:u w:val="single"/>
              </w:rPr>
              <w:t>压合</w:t>
            </w:r>
            <w:r>
              <w:rPr>
                <w:rFonts w:ascii="Times New Roman" w:eastAsia="宋体"/>
                <w:b/>
                <w:color w:val="000000" w:themeColor="text1"/>
                <w:szCs w:val="21"/>
                <w:u w:val="single"/>
              </w:rPr>
              <w:t>工序</w:t>
            </w:r>
            <w:r>
              <w:rPr>
                <w:rFonts w:hint="eastAsia" w:ascii="Times New Roman" w:eastAsia="宋体"/>
                <w:b/>
                <w:color w:val="000000" w:themeColor="text1"/>
                <w:szCs w:val="21"/>
                <w:u w:val="single"/>
              </w:rPr>
              <w:t>有机废气的处理效率为80%，可以</w:t>
            </w:r>
            <w:r>
              <w:rPr>
                <w:rFonts w:hint="eastAsia" w:ascii="Times New Roman" w:hAnsi="Times New Roman" w:eastAsia="宋体"/>
                <w:b/>
                <w:color w:val="000000" w:themeColor="text1"/>
                <w:u w:val="single"/>
              </w:rPr>
              <w:t>满足</w:t>
            </w:r>
            <w:r>
              <w:rPr>
                <w:rFonts w:ascii="Times New Roman" w:hAnsi="Times New Roman" w:eastAsia="宋体"/>
                <w:b/>
                <w:color w:val="000000" w:themeColor="text1"/>
                <w:u w:val="single"/>
                <w:lang w:val="pt-BR"/>
              </w:rPr>
              <w:t>《</w:t>
            </w:r>
            <w:r>
              <w:rPr>
                <w:rFonts w:ascii="Times New Roman" w:hAnsi="Times New Roman" w:eastAsia="宋体"/>
                <w:b/>
                <w:color w:val="000000" w:themeColor="text1"/>
                <w:u w:val="single"/>
              </w:rPr>
              <w:t>新乡市2020年大气污染防治攻坚战实施方案</w:t>
            </w:r>
            <w:r>
              <w:rPr>
                <w:rFonts w:ascii="Times New Roman" w:hAnsi="Times New Roman" w:eastAsia="宋体"/>
                <w:b/>
                <w:color w:val="000000" w:themeColor="text1"/>
                <w:u w:val="single"/>
                <w:lang w:val="pt-BR"/>
              </w:rPr>
              <w:t>》</w:t>
            </w:r>
            <w:r>
              <w:rPr>
                <w:rFonts w:ascii="Times New Roman" w:hAnsi="Times New Roman" w:eastAsia="宋体"/>
                <w:b/>
                <w:color w:val="000000" w:themeColor="text1"/>
                <w:u w:val="single"/>
              </w:rPr>
              <w:t>（新环攻坚办〔2020〕10号）</w:t>
            </w:r>
            <w:r>
              <w:rPr>
                <w:rFonts w:hint="eastAsia" w:ascii="Times New Roman" w:hAnsi="Times New Roman" w:eastAsia="宋体"/>
                <w:b/>
                <w:color w:val="000000" w:themeColor="text1"/>
                <w:u w:val="single"/>
              </w:rPr>
              <w:t>（七）深化挥发性有机物污染治理要求（36.加强废气收集和处理：</w:t>
            </w:r>
            <w:r>
              <w:rPr>
                <w:rFonts w:ascii="Times New Roman" w:hAnsi="Times New Roman" w:eastAsia="宋体"/>
                <w:b/>
                <w:color w:val="000000" w:themeColor="text1"/>
                <w:u w:val="single"/>
              </w:rPr>
              <w:t>VOCs</w:t>
            </w:r>
            <w:r>
              <w:rPr>
                <w:rFonts w:ascii="Times New Roman" w:eastAsia="宋体"/>
                <w:b/>
                <w:color w:val="000000" w:themeColor="text1"/>
                <w:u w:val="single"/>
                <w:shd w:val="clear" w:color="auto" w:fill="FFFFFF"/>
              </w:rPr>
              <w:t>去除效率不低于</w:t>
            </w:r>
            <w:r>
              <w:rPr>
                <w:rFonts w:ascii="Times New Roman" w:hAnsi="Times New Roman" w:eastAsia="宋体"/>
                <w:b/>
                <w:color w:val="000000" w:themeColor="text1"/>
                <w:u w:val="single"/>
                <w:shd w:val="clear" w:color="auto" w:fill="FFFFFF"/>
              </w:rPr>
              <w:t>80%</w:t>
            </w:r>
            <w:r>
              <w:rPr>
                <w:rFonts w:hint="eastAsia" w:ascii="Times New Roman" w:hAnsi="Times New Roman" w:eastAsia="宋体"/>
                <w:b/>
                <w:color w:val="000000" w:themeColor="text1"/>
                <w:u w:val="single"/>
              </w:rPr>
              <w:t>）。</w:t>
            </w:r>
          </w:p>
          <w:p>
            <w:pPr>
              <w:adjustRightInd w:val="0"/>
              <w:snapToGrid w:val="0"/>
              <w:spacing w:line="440" w:lineRule="exact"/>
              <w:ind w:firstLine="482" w:firstLineChars="200"/>
              <w:jc w:val="left"/>
              <w:rPr>
                <w:rFonts w:ascii="Times New Roman" w:hAnsi="Times New Roman" w:eastAsia="宋体"/>
                <w:b/>
                <w:color w:val="000000" w:themeColor="text1"/>
                <w:sz w:val="24"/>
              </w:rPr>
            </w:pPr>
            <w:r>
              <w:rPr>
                <w:rFonts w:ascii="Times New Roman" w:hAnsi="Times New Roman" w:eastAsia="宋体"/>
                <w:b/>
                <w:color w:val="000000" w:themeColor="text1"/>
                <w:sz w:val="24"/>
              </w:rPr>
              <w:t>2、地表水环境质量现状</w:t>
            </w:r>
          </w:p>
          <w:p>
            <w:pPr>
              <w:spacing w:line="440" w:lineRule="exact"/>
              <w:ind w:firstLine="480" w:firstLineChars="200"/>
              <w:rPr>
                <w:rFonts w:ascii="Times New Roman" w:eastAsia="宋体"/>
                <w:color w:val="000000" w:themeColor="text1"/>
                <w:sz w:val="24"/>
              </w:rPr>
            </w:pPr>
            <w:r>
              <w:rPr>
                <w:rFonts w:hint="eastAsia" w:ascii="Times New Roman" w:eastAsia="宋体"/>
                <w:color w:val="000000" w:themeColor="text1"/>
                <w:sz w:val="24"/>
              </w:rPr>
              <w:t>本项目废水通过污水管网排入贾屯</w:t>
            </w:r>
            <w:r>
              <w:rPr>
                <w:rFonts w:ascii="Times New Roman" w:hAnsi="Times New Roman" w:eastAsia="宋体"/>
                <w:color w:val="000000" w:themeColor="text1"/>
                <w:sz w:val="24"/>
              </w:rPr>
              <w:t>污水处理厂</w:t>
            </w:r>
            <w:r>
              <w:rPr>
                <w:rFonts w:hint="eastAsia" w:ascii="Times New Roman" w:eastAsia="宋体"/>
                <w:color w:val="000000" w:themeColor="text1"/>
                <w:sz w:val="24"/>
              </w:rPr>
              <w:t>进行处理，处理达标后排入东孟姜女河。</w:t>
            </w:r>
            <w:r>
              <w:rPr>
                <w:rFonts w:ascii="Times New Roman" w:eastAsia="宋体"/>
                <w:color w:val="000000" w:themeColor="text1"/>
                <w:sz w:val="24"/>
              </w:rPr>
              <w:t>据新乡市地表水功能区划，</w:t>
            </w:r>
            <w:r>
              <w:rPr>
                <w:rFonts w:hint="eastAsia" w:ascii="Times New Roman" w:eastAsia="宋体"/>
                <w:color w:val="000000" w:themeColor="text1"/>
                <w:sz w:val="24"/>
              </w:rPr>
              <w:t>东孟姜女河水质执行《地表水环境质量标准》（</w:t>
            </w:r>
            <w:r>
              <w:rPr>
                <w:rFonts w:ascii="Times New Roman" w:hAnsi="Times New Roman" w:eastAsia="宋体"/>
                <w:color w:val="000000" w:themeColor="text1"/>
                <w:sz w:val="24"/>
              </w:rPr>
              <w:t>GB3838-2002</w:t>
            </w:r>
            <w:r>
              <w:rPr>
                <w:rFonts w:hint="eastAsia" w:ascii="Times New Roman" w:eastAsia="宋体"/>
                <w:color w:val="000000" w:themeColor="text1"/>
                <w:sz w:val="24"/>
              </w:rPr>
              <w:t>）</w:t>
            </w:r>
            <w:r>
              <w:rPr>
                <w:rFonts w:ascii="Times New Roman" w:hAnsi="Times New Roman" w:eastAsia="宋体"/>
                <w:color w:val="000000" w:themeColor="text1"/>
                <w:sz w:val="24"/>
              </w:rPr>
              <w:t>V</w:t>
            </w:r>
            <w:r>
              <w:rPr>
                <w:rFonts w:hint="eastAsia" w:ascii="Times New Roman" w:eastAsia="宋体"/>
                <w:bCs/>
                <w:color w:val="000000" w:themeColor="text1"/>
                <w:sz w:val="24"/>
              </w:rPr>
              <w:t>类</w:t>
            </w:r>
            <w:r>
              <w:rPr>
                <w:rFonts w:hint="eastAsia" w:ascii="Times New Roman" w:eastAsia="宋体"/>
                <w:color w:val="000000" w:themeColor="text1"/>
                <w:sz w:val="24"/>
              </w:rPr>
              <w:t>标准</w:t>
            </w:r>
            <w:r>
              <w:rPr>
                <w:rFonts w:hint="eastAsia" w:ascii="Times New Roman" w:eastAsia="宋体"/>
                <w:bCs/>
                <w:iCs/>
                <w:color w:val="000000" w:themeColor="text1"/>
                <w:sz w:val="24"/>
              </w:rPr>
              <w:t>。本项目引用新乡市环境监测站对</w:t>
            </w:r>
            <w:r>
              <w:rPr>
                <w:rFonts w:hint="eastAsia" w:ascii="Times New Roman" w:eastAsia="宋体"/>
                <w:color w:val="000000" w:themeColor="text1"/>
                <w:sz w:val="24"/>
              </w:rPr>
              <w:t>东孟姜女河青龙路化肥厂东断面2020年7月的监测数据，东孟姜女河青龙路化肥厂东断面监测结果见表</w:t>
            </w:r>
            <w:r>
              <w:rPr>
                <w:rFonts w:hint="eastAsia" w:ascii="Times New Roman" w:hAnsi="Times New Roman" w:eastAsia="宋体"/>
                <w:color w:val="000000" w:themeColor="text1"/>
                <w:sz w:val="24"/>
              </w:rPr>
              <w:t>20</w:t>
            </w:r>
            <w:r>
              <w:rPr>
                <w:rFonts w:hint="eastAsia" w:ascii="Times New Roman" w:eastAsia="宋体"/>
                <w:color w:val="000000" w:themeColor="text1"/>
                <w:sz w:val="24"/>
              </w:rPr>
              <w:t>。</w:t>
            </w:r>
          </w:p>
          <w:p>
            <w:pPr>
              <w:spacing w:line="440" w:lineRule="exact"/>
              <w:jc w:val="center"/>
              <w:rPr>
                <w:rFonts w:ascii="Times New Roman" w:hAnsi="Times New Roman" w:eastAsia="宋体"/>
                <w:b/>
                <w:bCs/>
                <w:color w:val="000000" w:themeColor="text1"/>
                <w:sz w:val="24"/>
              </w:rPr>
            </w:pPr>
            <w:r>
              <w:rPr>
                <w:rFonts w:hint="eastAsia" w:ascii="Times New Roman" w:eastAsia="宋体"/>
                <w:b/>
                <w:bCs/>
                <w:color w:val="000000" w:themeColor="text1"/>
                <w:sz w:val="24"/>
              </w:rPr>
              <w:t>表</w:t>
            </w:r>
            <w:r>
              <w:rPr>
                <w:rFonts w:hint="eastAsia" w:ascii="Times New Roman" w:hAnsi="Times New Roman" w:eastAsia="宋体"/>
                <w:b/>
                <w:bCs/>
                <w:color w:val="000000" w:themeColor="text1"/>
                <w:sz w:val="24"/>
              </w:rPr>
              <w:t xml:space="preserve">20    </w:t>
            </w:r>
            <w:r>
              <w:rPr>
                <w:rFonts w:hint="eastAsia" w:ascii="Times New Roman" w:eastAsia="宋体"/>
                <w:b/>
                <w:bCs/>
                <w:color w:val="000000" w:themeColor="text1"/>
                <w:sz w:val="24"/>
              </w:rPr>
              <w:t>东孟姜女河青龙路化肥厂东断面水质监测结果一览表（</w:t>
            </w:r>
            <w:r>
              <w:rPr>
                <w:rFonts w:hint="eastAsia" w:ascii="Times New Roman" w:hAnsi="Times New Roman" w:eastAsia="宋体"/>
                <w:b/>
                <w:bCs/>
                <w:color w:val="000000" w:themeColor="text1"/>
                <w:sz w:val="24"/>
              </w:rPr>
              <w:t>2020</w:t>
            </w:r>
            <w:r>
              <w:rPr>
                <w:rFonts w:hint="eastAsia" w:ascii="Times New Roman" w:eastAsia="宋体"/>
                <w:b/>
                <w:bCs/>
                <w:color w:val="000000" w:themeColor="text1"/>
                <w:sz w:val="24"/>
              </w:rPr>
              <w:t>年7月）</w:t>
            </w:r>
          </w:p>
          <w:tbl>
            <w:tblPr>
              <w:tblStyle w:val="24"/>
              <w:tblW w:w="9072"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72"/>
              <w:gridCol w:w="2269"/>
              <w:gridCol w:w="2265"/>
              <w:gridCol w:w="226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72" w:type="dxa"/>
                  <w:tcBorders>
                    <w:top w:val="single" w:color="auto" w:sz="8" w:space="0"/>
                    <w:bottom w:val="single" w:color="auto" w:sz="8" w:space="0"/>
                  </w:tcBorders>
                  <w:vAlign w:val="center"/>
                </w:tcPr>
                <w:p>
                  <w:pPr>
                    <w:snapToGrid w:val="0"/>
                    <w:jc w:val="center"/>
                    <w:rPr>
                      <w:rFonts w:ascii="Times New Roman" w:hAnsi="Times New Roman" w:eastAsia="宋体"/>
                      <w:b/>
                      <w:color w:val="000000" w:themeColor="text1"/>
                      <w:szCs w:val="21"/>
                    </w:rPr>
                  </w:pPr>
                  <w:r>
                    <w:rPr>
                      <w:rFonts w:ascii="Times New Roman" w:hAnsi="Times New Roman" w:eastAsia="宋体"/>
                      <w:b/>
                      <w:color w:val="000000" w:themeColor="text1"/>
                      <w:szCs w:val="21"/>
                    </w:rPr>
                    <w:t>监测因子</w:t>
                  </w:r>
                </w:p>
              </w:tc>
              <w:tc>
                <w:tcPr>
                  <w:tcW w:w="2269" w:type="dxa"/>
                  <w:tcBorders>
                    <w:top w:val="single" w:color="auto" w:sz="8" w:space="0"/>
                    <w:bottom w:val="single" w:color="auto" w:sz="8" w:space="0"/>
                  </w:tcBorders>
                  <w:vAlign w:val="center"/>
                </w:tcPr>
                <w:p>
                  <w:pPr>
                    <w:snapToGrid w:val="0"/>
                    <w:jc w:val="center"/>
                    <w:rPr>
                      <w:rFonts w:ascii="Times New Roman" w:hAnsi="Times New Roman" w:eastAsia="宋体"/>
                      <w:b/>
                      <w:color w:val="000000" w:themeColor="text1"/>
                      <w:szCs w:val="21"/>
                    </w:rPr>
                  </w:pPr>
                  <w:r>
                    <w:rPr>
                      <w:rFonts w:ascii="Times New Roman" w:hAnsi="Times New Roman" w:eastAsia="宋体"/>
                      <w:b/>
                      <w:color w:val="000000" w:themeColor="text1"/>
                      <w:szCs w:val="21"/>
                    </w:rPr>
                    <w:t>COD</w:t>
                  </w:r>
                </w:p>
              </w:tc>
              <w:tc>
                <w:tcPr>
                  <w:tcW w:w="2265" w:type="dxa"/>
                  <w:tcBorders>
                    <w:top w:val="single" w:color="auto" w:sz="8" w:space="0"/>
                    <w:bottom w:val="single" w:color="auto" w:sz="8" w:space="0"/>
                  </w:tcBorders>
                  <w:vAlign w:val="center"/>
                </w:tcPr>
                <w:p>
                  <w:pPr>
                    <w:snapToGrid w:val="0"/>
                    <w:jc w:val="center"/>
                    <w:rPr>
                      <w:rFonts w:ascii="Times New Roman" w:hAnsi="Times New Roman" w:eastAsia="宋体"/>
                      <w:b/>
                      <w:color w:val="000000" w:themeColor="text1"/>
                      <w:szCs w:val="21"/>
                    </w:rPr>
                  </w:pPr>
                  <w:r>
                    <w:rPr>
                      <w:rFonts w:ascii="Times New Roman" w:hAnsi="Times New Roman" w:eastAsia="宋体"/>
                      <w:b/>
                      <w:color w:val="000000" w:themeColor="text1"/>
                      <w:szCs w:val="21"/>
                    </w:rPr>
                    <w:t>NH</w:t>
                  </w:r>
                  <w:r>
                    <w:rPr>
                      <w:rFonts w:ascii="Times New Roman" w:hAnsi="Times New Roman" w:eastAsia="宋体"/>
                      <w:b/>
                      <w:color w:val="000000" w:themeColor="text1"/>
                      <w:szCs w:val="21"/>
                      <w:vertAlign w:val="subscript"/>
                    </w:rPr>
                    <w:t>3</w:t>
                  </w:r>
                  <w:r>
                    <w:rPr>
                      <w:rFonts w:ascii="Times New Roman" w:hAnsi="Times New Roman" w:eastAsia="宋体"/>
                      <w:b/>
                      <w:color w:val="000000" w:themeColor="text1"/>
                      <w:szCs w:val="21"/>
                    </w:rPr>
                    <w:t>-N</w:t>
                  </w:r>
                </w:p>
              </w:tc>
              <w:tc>
                <w:tcPr>
                  <w:tcW w:w="2266" w:type="dxa"/>
                  <w:tcBorders>
                    <w:top w:val="single" w:color="auto" w:sz="8" w:space="0"/>
                    <w:bottom w:val="single" w:color="auto" w:sz="8" w:space="0"/>
                  </w:tcBorders>
                  <w:vAlign w:val="center"/>
                </w:tcPr>
                <w:p>
                  <w:pPr>
                    <w:snapToGrid w:val="0"/>
                    <w:jc w:val="center"/>
                    <w:rPr>
                      <w:rFonts w:ascii="Times New Roman" w:hAnsi="Times New Roman" w:eastAsia="宋体"/>
                      <w:b/>
                      <w:color w:val="000000" w:themeColor="text1"/>
                      <w:szCs w:val="21"/>
                    </w:rPr>
                  </w:pPr>
                  <w:r>
                    <w:rPr>
                      <w:rFonts w:ascii="Times New Roman" w:hAnsi="Times New Roman" w:eastAsia="宋体"/>
                      <w:b/>
                      <w:color w:val="000000" w:themeColor="text1"/>
                      <w:szCs w:val="21"/>
                    </w:rPr>
                    <w:t>TP</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72" w:type="dxa"/>
                  <w:tcBorders>
                    <w:top w:val="single" w:color="auto" w:sz="8" w:space="0"/>
                  </w:tcBorders>
                  <w:vAlign w:val="center"/>
                </w:tcPr>
                <w:p>
                  <w:pPr>
                    <w:adjustRightInd w:val="0"/>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7</w:t>
                  </w:r>
                  <w:r>
                    <w:rPr>
                      <w:rFonts w:hint="eastAsia" w:ascii="Times New Roman" w:eastAsia="宋体"/>
                      <w:color w:val="000000" w:themeColor="text1"/>
                      <w:szCs w:val="21"/>
                    </w:rPr>
                    <w:t>月份监测数据</w:t>
                  </w:r>
                </w:p>
              </w:tc>
              <w:tc>
                <w:tcPr>
                  <w:tcW w:w="2269" w:type="dxa"/>
                  <w:tcBorders>
                    <w:top w:val="single" w:color="auto" w:sz="8" w:space="0"/>
                  </w:tcBorders>
                  <w:vAlign w:val="center"/>
                </w:tcPr>
                <w:p>
                  <w:pPr>
                    <w:adjustRightInd w:val="0"/>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35.1</w:t>
                  </w:r>
                </w:p>
              </w:tc>
              <w:tc>
                <w:tcPr>
                  <w:tcW w:w="2265" w:type="dxa"/>
                  <w:tcBorders>
                    <w:top w:val="single" w:color="auto" w:sz="8" w:space="0"/>
                  </w:tcBorders>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1.37</w:t>
                  </w:r>
                </w:p>
              </w:tc>
              <w:tc>
                <w:tcPr>
                  <w:tcW w:w="2266" w:type="dxa"/>
                  <w:tcBorders>
                    <w:top w:val="single" w:color="auto" w:sz="8" w:space="0"/>
                  </w:tcBorders>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0.</w:t>
                  </w:r>
                  <w:r>
                    <w:rPr>
                      <w:rFonts w:hint="eastAsia" w:ascii="Times New Roman" w:hAnsi="Times New Roman" w:eastAsia="宋体"/>
                      <w:color w:val="000000" w:themeColor="text1"/>
                      <w:szCs w:val="21"/>
                    </w:rPr>
                    <w:t>14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72" w:type="dxa"/>
                  <w:vAlign w:val="center"/>
                </w:tcPr>
                <w:p>
                  <w:pPr>
                    <w:adjustRightInd w:val="0"/>
                    <w:snapToGrid w:val="0"/>
                    <w:jc w:val="center"/>
                    <w:rPr>
                      <w:rFonts w:ascii="Times New Roman" w:hAnsi="Times New Roman" w:eastAsia="宋体"/>
                      <w:color w:val="000000" w:themeColor="text1"/>
                      <w:szCs w:val="21"/>
                    </w:rPr>
                  </w:pPr>
                  <w:r>
                    <w:rPr>
                      <w:rFonts w:hint="eastAsia" w:ascii="Times New Roman" w:eastAsia="宋体"/>
                      <w:color w:val="000000" w:themeColor="text1"/>
                      <w:szCs w:val="21"/>
                    </w:rPr>
                    <w:t>执行标准</w:t>
                  </w:r>
                </w:p>
              </w:tc>
              <w:tc>
                <w:tcPr>
                  <w:tcW w:w="2269" w:type="dxa"/>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40</w:t>
                  </w:r>
                </w:p>
              </w:tc>
              <w:tc>
                <w:tcPr>
                  <w:tcW w:w="2265" w:type="dxa"/>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2.0</w:t>
                  </w:r>
                </w:p>
              </w:tc>
              <w:tc>
                <w:tcPr>
                  <w:tcW w:w="2266" w:type="dxa"/>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0.4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72" w:type="dxa"/>
                  <w:tcBorders>
                    <w:bottom w:val="single" w:color="auto" w:sz="8" w:space="0"/>
                  </w:tcBorders>
                  <w:vAlign w:val="center"/>
                </w:tcPr>
                <w:p>
                  <w:pPr>
                    <w:jc w:val="center"/>
                    <w:rPr>
                      <w:rFonts w:ascii="Times New Roman" w:hAnsi="Times New Roman" w:eastAsia="宋体"/>
                      <w:color w:val="000000" w:themeColor="text1"/>
                      <w:szCs w:val="21"/>
                    </w:rPr>
                  </w:pPr>
                  <w:r>
                    <w:rPr>
                      <w:rFonts w:hint="eastAsia" w:ascii="Times New Roman" w:eastAsia="宋体"/>
                      <w:color w:val="000000" w:themeColor="text1"/>
                      <w:szCs w:val="21"/>
                    </w:rPr>
                    <w:t>达标情况</w:t>
                  </w:r>
                </w:p>
              </w:tc>
              <w:tc>
                <w:tcPr>
                  <w:tcW w:w="2269" w:type="dxa"/>
                  <w:tcBorders>
                    <w:bottom w:val="single" w:color="auto" w:sz="8" w:space="0"/>
                  </w:tcBorders>
                  <w:vAlign w:val="center"/>
                </w:tcPr>
                <w:p>
                  <w:pPr>
                    <w:jc w:val="center"/>
                    <w:rPr>
                      <w:rFonts w:ascii="Times New Roman" w:hAnsi="Times New Roman" w:eastAsia="宋体"/>
                      <w:color w:val="000000" w:themeColor="text1"/>
                      <w:szCs w:val="21"/>
                    </w:rPr>
                  </w:pPr>
                  <w:r>
                    <w:rPr>
                      <w:rFonts w:hint="eastAsia" w:ascii="Times New Roman" w:eastAsia="宋体"/>
                      <w:color w:val="000000" w:themeColor="text1"/>
                      <w:szCs w:val="21"/>
                    </w:rPr>
                    <w:t>达标</w:t>
                  </w:r>
                </w:p>
              </w:tc>
              <w:tc>
                <w:tcPr>
                  <w:tcW w:w="2265" w:type="dxa"/>
                  <w:tcBorders>
                    <w:bottom w:val="single" w:color="auto" w:sz="8" w:space="0"/>
                  </w:tcBorders>
                  <w:vAlign w:val="center"/>
                </w:tcPr>
                <w:p>
                  <w:pPr>
                    <w:jc w:val="center"/>
                    <w:rPr>
                      <w:rFonts w:ascii="Times New Roman" w:hAnsi="Times New Roman" w:eastAsia="宋体"/>
                      <w:color w:val="000000" w:themeColor="text1"/>
                      <w:szCs w:val="21"/>
                    </w:rPr>
                  </w:pPr>
                  <w:r>
                    <w:rPr>
                      <w:rFonts w:hint="eastAsia" w:ascii="Times New Roman" w:eastAsia="宋体"/>
                      <w:color w:val="000000" w:themeColor="text1"/>
                      <w:szCs w:val="21"/>
                    </w:rPr>
                    <w:t>达标</w:t>
                  </w:r>
                </w:p>
              </w:tc>
              <w:tc>
                <w:tcPr>
                  <w:tcW w:w="2266" w:type="dxa"/>
                  <w:tcBorders>
                    <w:bottom w:val="single" w:color="auto" w:sz="8" w:space="0"/>
                  </w:tcBorders>
                  <w:vAlign w:val="center"/>
                </w:tcPr>
                <w:p>
                  <w:pPr>
                    <w:jc w:val="center"/>
                    <w:rPr>
                      <w:rFonts w:ascii="Times New Roman" w:hAnsi="Times New Roman" w:eastAsia="宋体"/>
                      <w:color w:val="000000" w:themeColor="text1"/>
                      <w:szCs w:val="21"/>
                    </w:rPr>
                  </w:pPr>
                  <w:r>
                    <w:rPr>
                      <w:rFonts w:hint="eastAsia" w:ascii="Times New Roman" w:eastAsia="宋体"/>
                      <w:color w:val="000000" w:themeColor="text1"/>
                      <w:szCs w:val="21"/>
                    </w:rPr>
                    <w:t>达标</w:t>
                  </w:r>
                </w:p>
              </w:tc>
            </w:tr>
          </w:tbl>
          <w:p>
            <w:pPr>
              <w:spacing w:line="440" w:lineRule="exact"/>
              <w:ind w:firstLine="480" w:firstLineChars="200"/>
              <w:textAlignment w:val="baseline"/>
              <w:rPr>
                <w:rFonts w:ascii="Times New Roman" w:eastAsia="宋体"/>
                <w:color w:val="000000" w:themeColor="text1"/>
                <w:sz w:val="24"/>
              </w:rPr>
            </w:pPr>
            <w:r>
              <w:rPr>
                <w:rFonts w:ascii="Times New Roman" w:hAnsi="Times New Roman" w:eastAsia="宋体"/>
                <w:color w:val="000000" w:themeColor="text1"/>
                <w:sz w:val="24"/>
              </w:rPr>
              <w:t>由上表可知，</w:t>
            </w:r>
            <w:r>
              <w:rPr>
                <w:rFonts w:hint="eastAsia" w:ascii="Times New Roman" w:hAnsi="Times New Roman" w:eastAsia="宋体"/>
                <w:color w:val="000000" w:themeColor="text1"/>
                <w:sz w:val="24"/>
              </w:rPr>
              <w:t>2020年7月</w:t>
            </w:r>
            <w:r>
              <w:rPr>
                <w:rFonts w:hint="eastAsia" w:ascii="Times New Roman" w:eastAsia="宋体"/>
                <w:color w:val="000000" w:themeColor="text1"/>
                <w:sz w:val="24"/>
              </w:rPr>
              <w:t>东孟姜女河青龙路化肥厂东断面</w:t>
            </w:r>
            <w:r>
              <w:rPr>
                <w:rFonts w:ascii="Times New Roman" w:hAnsi="Times New Roman" w:eastAsia="宋体"/>
                <w:color w:val="000000" w:themeColor="text1"/>
                <w:sz w:val="24"/>
              </w:rPr>
              <w:t>COD</w:t>
            </w:r>
            <w:r>
              <w:rPr>
                <w:rFonts w:hint="eastAsia" w:ascii="Times New Roman" w:hAnsi="Times New Roman" w:eastAsia="宋体"/>
                <w:color w:val="000000" w:themeColor="text1"/>
                <w:sz w:val="24"/>
              </w:rPr>
              <w:t>、</w:t>
            </w:r>
            <w:r>
              <w:rPr>
                <w:rFonts w:ascii="Times New Roman" w:hAnsi="Times New Roman" w:eastAsia="宋体"/>
                <w:color w:val="000000" w:themeColor="text1"/>
                <w:sz w:val="24"/>
              </w:rPr>
              <w:t>NH</w:t>
            </w:r>
            <w:r>
              <w:rPr>
                <w:rFonts w:ascii="Times New Roman" w:hAnsi="Times New Roman" w:eastAsia="宋体"/>
                <w:color w:val="000000" w:themeColor="text1"/>
                <w:sz w:val="24"/>
                <w:vertAlign w:val="subscript"/>
              </w:rPr>
              <w:t>3</w:t>
            </w:r>
            <w:r>
              <w:rPr>
                <w:rFonts w:ascii="Times New Roman" w:hAnsi="Times New Roman" w:eastAsia="宋体"/>
                <w:color w:val="000000" w:themeColor="text1"/>
                <w:sz w:val="24"/>
              </w:rPr>
              <w:t>-N和</w:t>
            </w:r>
            <w:r>
              <w:rPr>
                <w:rFonts w:hint="eastAsia" w:ascii="Times New Roman" w:hAnsi="Times New Roman" w:eastAsia="宋体"/>
                <w:color w:val="000000" w:themeColor="text1"/>
                <w:sz w:val="24"/>
              </w:rPr>
              <w:t>TP</w:t>
            </w:r>
            <w:r>
              <w:rPr>
                <w:rFonts w:ascii="Times New Roman" w:hAnsi="Times New Roman" w:eastAsia="宋体"/>
                <w:color w:val="000000" w:themeColor="text1"/>
                <w:sz w:val="24"/>
              </w:rPr>
              <w:t>均达标</w:t>
            </w:r>
            <w:r>
              <w:rPr>
                <w:rFonts w:hint="eastAsia" w:ascii="Times New Roman" w:hAnsi="Times New Roman" w:eastAsia="宋体"/>
                <w:color w:val="000000" w:themeColor="text1"/>
                <w:sz w:val="24"/>
              </w:rPr>
              <w:t>。</w:t>
            </w:r>
            <w:r>
              <w:rPr>
                <w:rFonts w:ascii="Times New Roman" w:eastAsia="宋体"/>
                <w:color w:val="000000" w:themeColor="text1"/>
                <w:sz w:val="24"/>
              </w:rPr>
              <w:t>目前新乡市正在推进实施《新乡市环境污染防治攻坚战三年行动实施方案（</w:t>
            </w:r>
            <w:r>
              <w:rPr>
                <w:rFonts w:ascii="Times New Roman" w:hAnsi="Times New Roman" w:eastAsia="宋体"/>
                <w:color w:val="000000" w:themeColor="text1"/>
                <w:sz w:val="24"/>
              </w:rPr>
              <w:t>2018-2020</w:t>
            </w:r>
            <w:r>
              <w:rPr>
                <w:rFonts w:ascii="Times New Roman" w:eastAsia="宋体"/>
                <w:color w:val="000000" w:themeColor="text1"/>
                <w:sz w:val="24"/>
              </w:rPr>
              <w:t>年）》、</w:t>
            </w:r>
            <w:r>
              <w:rPr>
                <w:rFonts w:ascii="Times New Roman" w:eastAsia="宋体"/>
                <w:color w:val="000000" w:themeColor="text1"/>
                <w:sz w:val="24"/>
                <w:lang w:val="pt-BR"/>
              </w:rPr>
              <w:t>《</w:t>
            </w:r>
            <w:r>
              <w:rPr>
                <w:rFonts w:ascii="Times New Roman" w:eastAsia="宋体"/>
                <w:color w:val="000000" w:themeColor="text1"/>
                <w:sz w:val="24"/>
              </w:rPr>
              <w:t>新乡市</w:t>
            </w:r>
            <w:r>
              <w:rPr>
                <w:rFonts w:ascii="Times New Roman" w:hAnsi="Times New Roman" w:eastAsia="宋体"/>
                <w:color w:val="000000" w:themeColor="text1"/>
                <w:sz w:val="24"/>
              </w:rPr>
              <w:t>2020</w:t>
            </w:r>
            <w:r>
              <w:rPr>
                <w:rFonts w:ascii="Times New Roman" w:eastAsia="宋体"/>
                <w:color w:val="000000" w:themeColor="text1"/>
                <w:sz w:val="24"/>
              </w:rPr>
              <w:t>年水污染防治攻坚战实施方案</w:t>
            </w:r>
            <w:r>
              <w:rPr>
                <w:rFonts w:ascii="Times New Roman" w:eastAsia="宋体"/>
                <w:color w:val="000000" w:themeColor="text1"/>
                <w:sz w:val="24"/>
                <w:lang w:val="pt-BR"/>
              </w:rPr>
              <w:t>》</w:t>
            </w:r>
            <w:r>
              <w:rPr>
                <w:rFonts w:ascii="Times New Roman" w:eastAsia="宋体"/>
                <w:color w:val="000000" w:themeColor="text1"/>
                <w:sz w:val="24"/>
              </w:rPr>
              <w:t>（新环攻坚办〔</w:t>
            </w:r>
            <w:r>
              <w:rPr>
                <w:rFonts w:ascii="Times New Roman" w:hAnsi="Times New Roman" w:eastAsia="宋体"/>
                <w:color w:val="000000" w:themeColor="text1"/>
                <w:sz w:val="24"/>
              </w:rPr>
              <w:t>2020</w:t>
            </w:r>
            <w:r>
              <w:rPr>
                <w:rFonts w:ascii="Times New Roman" w:eastAsia="宋体"/>
                <w:color w:val="000000" w:themeColor="text1"/>
                <w:sz w:val="24"/>
              </w:rPr>
              <w:t>〕</w:t>
            </w:r>
            <w:r>
              <w:rPr>
                <w:rFonts w:ascii="Times New Roman" w:hAnsi="Times New Roman" w:eastAsia="宋体"/>
                <w:color w:val="000000" w:themeColor="text1"/>
                <w:sz w:val="24"/>
              </w:rPr>
              <w:t>10</w:t>
            </w:r>
            <w:r>
              <w:rPr>
                <w:rFonts w:ascii="Times New Roman" w:eastAsia="宋体"/>
                <w:color w:val="000000" w:themeColor="text1"/>
                <w:sz w:val="24"/>
              </w:rPr>
              <w:t>号）、《新乡市污水处理厂及配套管网建设与城市黑臭水体整治实施方案》（新环攻坚办（</w:t>
            </w:r>
            <w:r>
              <w:rPr>
                <w:rFonts w:ascii="Times New Roman" w:hAnsi="Times New Roman" w:eastAsia="宋体"/>
                <w:color w:val="000000" w:themeColor="text1"/>
                <w:sz w:val="24"/>
              </w:rPr>
              <w:t>2017</w:t>
            </w:r>
            <w:r>
              <w:rPr>
                <w:rFonts w:ascii="Times New Roman" w:eastAsia="宋体"/>
                <w:color w:val="000000" w:themeColor="text1"/>
                <w:sz w:val="24"/>
              </w:rPr>
              <w:t>）</w:t>
            </w:r>
            <w:r>
              <w:rPr>
                <w:rFonts w:ascii="Times New Roman" w:hAnsi="Times New Roman" w:eastAsia="宋体"/>
                <w:color w:val="000000" w:themeColor="text1"/>
                <w:sz w:val="24"/>
              </w:rPr>
              <w:t>13</w:t>
            </w:r>
            <w:r>
              <w:rPr>
                <w:rFonts w:ascii="Times New Roman" w:eastAsia="宋体"/>
                <w:color w:val="000000" w:themeColor="text1"/>
                <w:sz w:val="24"/>
              </w:rPr>
              <w:t>号）和</w:t>
            </w:r>
            <w:r>
              <w:rPr>
                <w:rFonts w:hint="eastAsia" w:ascii="Times New Roman" w:eastAsia="宋体"/>
                <w:color w:val="000000" w:themeColor="text1"/>
                <w:sz w:val="24"/>
              </w:rPr>
              <w:t>《</w:t>
            </w:r>
            <w:r>
              <w:rPr>
                <w:rFonts w:ascii="Times New Roman" w:eastAsia="宋体"/>
                <w:color w:val="000000" w:themeColor="text1"/>
                <w:sz w:val="24"/>
              </w:rPr>
              <w:t>新乡市人民政府办公室关于印发新乡市</w:t>
            </w:r>
            <w:r>
              <w:rPr>
                <w:rFonts w:ascii="Times New Roman" w:hAnsi="Times New Roman" w:eastAsia="宋体"/>
                <w:color w:val="000000" w:themeColor="text1"/>
                <w:sz w:val="24"/>
              </w:rPr>
              <w:t>2018</w:t>
            </w:r>
            <w:r>
              <w:rPr>
                <w:rFonts w:ascii="Times New Roman" w:eastAsia="宋体"/>
                <w:color w:val="000000" w:themeColor="text1"/>
                <w:sz w:val="24"/>
              </w:rPr>
              <w:t>年持续打好打赢水污染防治攻坚战工作方案的通知</w:t>
            </w:r>
            <w:r>
              <w:rPr>
                <w:rFonts w:hint="eastAsia" w:ascii="Times New Roman" w:eastAsia="宋体"/>
                <w:color w:val="000000" w:themeColor="text1"/>
                <w:sz w:val="24"/>
              </w:rPr>
              <w:t>》</w:t>
            </w:r>
            <w:r>
              <w:rPr>
                <w:rFonts w:ascii="Times New Roman" w:eastAsia="宋体"/>
                <w:color w:val="000000" w:themeColor="text1"/>
                <w:sz w:val="24"/>
              </w:rPr>
              <w:t>（新政办（</w:t>
            </w:r>
            <w:r>
              <w:rPr>
                <w:rFonts w:ascii="Times New Roman" w:hAnsi="Times New Roman" w:eastAsia="宋体"/>
                <w:color w:val="000000" w:themeColor="text1"/>
                <w:sz w:val="24"/>
              </w:rPr>
              <w:t>2018</w:t>
            </w:r>
            <w:r>
              <w:rPr>
                <w:rFonts w:ascii="Times New Roman" w:eastAsia="宋体"/>
                <w:color w:val="000000" w:themeColor="text1"/>
                <w:sz w:val="24"/>
              </w:rPr>
              <w:t>）</w:t>
            </w:r>
            <w:r>
              <w:rPr>
                <w:rFonts w:ascii="Times New Roman" w:hAnsi="Times New Roman" w:eastAsia="宋体"/>
                <w:color w:val="000000" w:themeColor="text1"/>
                <w:sz w:val="24"/>
              </w:rPr>
              <w:t>28</w:t>
            </w:r>
            <w:r>
              <w:rPr>
                <w:rFonts w:ascii="Times New Roman" w:eastAsia="宋体"/>
                <w:color w:val="000000" w:themeColor="text1"/>
                <w:sz w:val="24"/>
              </w:rPr>
              <w:t>号），将继续改善新乡市水环境质量。</w:t>
            </w:r>
          </w:p>
          <w:p>
            <w:pPr>
              <w:spacing w:line="440" w:lineRule="exact"/>
              <w:ind w:firstLine="480" w:firstLineChars="200"/>
              <w:textAlignment w:val="baseline"/>
              <w:rPr>
                <w:rFonts w:ascii="Times New Roman" w:hAnsi="Times New Roman" w:eastAsia="宋体"/>
                <w:color w:val="000000" w:themeColor="text1"/>
                <w:sz w:val="24"/>
              </w:rPr>
            </w:pPr>
            <w:r>
              <w:rPr>
                <w:rFonts w:hint="eastAsia" w:ascii="Times New Roman" w:eastAsia="宋体"/>
                <w:color w:val="000000" w:themeColor="text1"/>
                <w:sz w:val="24"/>
              </w:rPr>
              <w:t>本项目压合工序冷却水循环使用，不外排；项目建成后依托原有项目职工，不新增生活污水。原有工程生活污水经防渗漏化粪池处理后，</w:t>
            </w:r>
            <w:r>
              <w:rPr>
                <w:rFonts w:hint="eastAsia" w:ascii="Times New Roman" w:hAnsi="Times New Roman" w:eastAsia="宋体"/>
                <w:color w:val="000000" w:themeColor="text1"/>
                <w:sz w:val="24"/>
              </w:rPr>
              <w:t>生活污水</w:t>
            </w:r>
            <w:r>
              <w:rPr>
                <w:rFonts w:ascii="Times New Roman" w:hAnsi="Times New Roman" w:eastAsia="宋体"/>
                <w:color w:val="000000" w:themeColor="text1"/>
                <w:sz w:val="24"/>
              </w:rPr>
              <w:t>经防渗漏化粪池处理后，排放至</w:t>
            </w:r>
            <w:r>
              <w:rPr>
                <w:rFonts w:hint="eastAsia" w:ascii="Times New Roman" w:eastAsia="宋体"/>
                <w:color w:val="000000" w:themeColor="text1"/>
                <w:sz w:val="24"/>
              </w:rPr>
              <w:t>贾屯污水处理厂</w:t>
            </w:r>
            <w:r>
              <w:rPr>
                <w:rFonts w:ascii="Times New Roman" w:hAnsi="Times New Roman" w:eastAsia="宋体"/>
                <w:color w:val="000000" w:themeColor="text1"/>
                <w:sz w:val="24"/>
              </w:rPr>
              <w:t>处理</w:t>
            </w:r>
            <w:r>
              <w:rPr>
                <w:rFonts w:hint="eastAsia" w:ascii="Times New Roman" w:hAnsi="Times New Roman" w:eastAsia="宋体"/>
                <w:color w:val="000000" w:themeColor="text1"/>
                <w:sz w:val="24"/>
              </w:rPr>
              <w:t>。</w:t>
            </w:r>
            <w:r>
              <w:rPr>
                <w:rFonts w:hint="eastAsia" w:ascii="Times New Roman" w:eastAsia="宋体"/>
                <w:color w:val="000000" w:themeColor="text1"/>
                <w:sz w:val="24"/>
              </w:rPr>
              <w:t>项目建设对地表水环境影响很小。</w:t>
            </w:r>
          </w:p>
          <w:p>
            <w:pPr>
              <w:adjustRightInd w:val="0"/>
              <w:snapToGrid w:val="0"/>
              <w:spacing w:line="440" w:lineRule="exact"/>
              <w:ind w:firstLine="482" w:firstLineChars="200"/>
              <w:rPr>
                <w:rFonts w:ascii="Times New Roman" w:hAnsi="Times New Roman" w:eastAsia="宋体"/>
                <w:b/>
                <w:color w:val="000000" w:themeColor="text1"/>
                <w:sz w:val="24"/>
              </w:rPr>
            </w:pPr>
            <w:r>
              <w:rPr>
                <w:rFonts w:hint="eastAsia" w:ascii="Times New Roman" w:hAnsi="Times New Roman" w:eastAsia="宋体"/>
                <w:b/>
                <w:color w:val="000000" w:themeColor="text1"/>
                <w:sz w:val="24"/>
              </w:rPr>
              <w:t>3</w:t>
            </w:r>
            <w:r>
              <w:rPr>
                <w:rFonts w:ascii="Times New Roman" w:hAnsi="Times New Roman" w:eastAsia="宋体"/>
                <w:b/>
                <w:color w:val="000000" w:themeColor="text1"/>
                <w:sz w:val="24"/>
              </w:rPr>
              <w:t>、声环境质量现状</w:t>
            </w:r>
          </w:p>
          <w:p>
            <w:pPr>
              <w:spacing w:line="440" w:lineRule="exact"/>
              <w:ind w:firstLine="480" w:firstLineChars="200"/>
              <w:rPr>
                <w:rFonts w:ascii="Times New Roman" w:eastAsia="宋体"/>
                <w:bCs/>
                <w:color w:val="000000" w:themeColor="text1"/>
                <w:sz w:val="24"/>
              </w:rPr>
            </w:pPr>
            <w:r>
              <w:rPr>
                <w:rFonts w:hint="eastAsia" w:ascii="Times New Roman" w:eastAsia="宋体"/>
                <w:color w:val="000000" w:themeColor="text1"/>
                <w:sz w:val="24"/>
              </w:rPr>
              <w:t>建设项目所在区域为</w:t>
            </w:r>
            <w:r>
              <w:rPr>
                <w:rFonts w:hint="eastAsia" w:ascii="Times New Roman" w:hAnsi="Times New Roman" w:eastAsia="宋体"/>
                <w:color w:val="000000" w:themeColor="text1"/>
                <w:sz w:val="24"/>
              </w:rPr>
              <w:t>3</w:t>
            </w:r>
            <w:r>
              <w:rPr>
                <w:rFonts w:hint="eastAsia" w:ascii="Times New Roman" w:eastAsia="宋体"/>
                <w:color w:val="000000" w:themeColor="text1"/>
                <w:sz w:val="24"/>
              </w:rPr>
              <w:t>类声环境功能区，各厂界应执行《声环境质量标准》（</w:t>
            </w:r>
            <w:r>
              <w:rPr>
                <w:rFonts w:ascii="Times New Roman" w:hAnsi="Times New Roman" w:eastAsia="宋体"/>
                <w:color w:val="000000" w:themeColor="text1"/>
                <w:sz w:val="24"/>
              </w:rPr>
              <w:t>GB3096-2008</w:t>
            </w:r>
            <w:r>
              <w:rPr>
                <w:rFonts w:hint="eastAsia" w:ascii="Times New Roman" w:eastAsia="宋体"/>
                <w:color w:val="000000" w:themeColor="text1"/>
                <w:sz w:val="24"/>
              </w:rPr>
              <w:t>）</w:t>
            </w:r>
            <w:r>
              <w:rPr>
                <w:rFonts w:hint="eastAsia" w:ascii="Times New Roman" w:hAnsi="Times New Roman" w:eastAsia="宋体"/>
                <w:color w:val="000000" w:themeColor="text1"/>
                <w:sz w:val="24"/>
              </w:rPr>
              <w:t>3</w:t>
            </w:r>
            <w:r>
              <w:rPr>
                <w:rFonts w:hint="eastAsia" w:ascii="Times New Roman" w:eastAsia="宋体"/>
                <w:color w:val="000000" w:themeColor="text1"/>
                <w:sz w:val="24"/>
              </w:rPr>
              <w:t>类标准（昼间</w:t>
            </w:r>
            <w:r>
              <w:rPr>
                <w:rFonts w:hint="eastAsia" w:ascii="Times New Roman" w:hAnsi="Times New Roman" w:eastAsia="宋体"/>
                <w:color w:val="000000" w:themeColor="text1"/>
                <w:sz w:val="24"/>
              </w:rPr>
              <w:t>≤</w:t>
            </w:r>
            <w:r>
              <w:rPr>
                <w:rFonts w:ascii="Times New Roman" w:hAnsi="Times New Roman" w:eastAsia="宋体"/>
                <w:color w:val="000000" w:themeColor="text1"/>
                <w:sz w:val="24"/>
              </w:rPr>
              <w:t>6</w:t>
            </w:r>
            <w:r>
              <w:rPr>
                <w:rFonts w:hint="eastAsia" w:ascii="Times New Roman" w:hAnsi="Times New Roman" w:eastAsia="宋体"/>
                <w:color w:val="000000" w:themeColor="text1"/>
                <w:sz w:val="24"/>
              </w:rPr>
              <w:t>5</w:t>
            </w:r>
            <w:r>
              <w:rPr>
                <w:rFonts w:ascii="Times New Roman" w:hAnsi="Times New Roman" w:eastAsia="宋体"/>
                <w:color w:val="000000" w:themeColor="text1"/>
                <w:sz w:val="24"/>
              </w:rPr>
              <w:t>dB</w:t>
            </w:r>
            <w:r>
              <w:rPr>
                <w:rFonts w:hint="eastAsia" w:ascii="Times New Roman" w:eastAsia="宋体"/>
                <w:color w:val="000000" w:themeColor="text1"/>
                <w:sz w:val="24"/>
              </w:rPr>
              <w:t>（</w:t>
            </w:r>
            <w:r>
              <w:rPr>
                <w:rFonts w:ascii="Times New Roman" w:hAnsi="Times New Roman" w:eastAsia="宋体"/>
                <w:color w:val="000000" w:themeColor="text1"/>
                <w:sz w:val="24"/>
              </w:rPr>
              <w:t>A</w:t>
            </w:r>
            <w:r>
              <w:rPr>
                <w:rFonts w:hint="eastAsia" w:ascii="Times New Roman" w:eastAsia="宋体"/>
                <w:color w:val="000000" w:themeColor="text1"/>
                <w:sz w:val="24"/>
              </w:rPr>
              <w:t>）夜间</w:t>
            </w:r>
            <w:r>
              <w:rPr>
                <w:rFonts w:hint="eastAsia" w:ascii="Times New Roman" w:hAnsi="Times New Roman" w:eastAsia="宋体"/>
                <w:color w:val="000000" w:themeColor="text1"/>
                <w:sz w:val="24"/>
              </w:rPr>
              <w:t>≤</w:t>
            </w:r>
            <w:r>
              <w:rPr>
                <w:rFonts w:ascii="Times New Roman" w:hAnsi="Times New Roman" w:eastAsia="宋体"/>
                <w:color w:val="000000" w:themeColor="text1"/>
                <w:sz w:val="24"/>
              </w:rPr>
              <w:t>5</w:t>
            </w:r>
            <w:r>
              <w:rPr>
                <w:rFonts w:hint="eastAsia" w:ascii="Times New Roman" w:hAnsi="Times New Roman" w:eastAsia="宋体"/>
                <w:color w:val="000000" w:themeColor="text1"/>
                <w:sz w:val="24"/>
              </w:rPr>
              <w:t>5</w:t>
            </w:r>
            <w:r>
              <w:rPr>
                <w:rFonts w:ascii="Times New Roman" w:hAnsi="Times New Roman" w:eastAsia="宋体"/>
                <w:color w:val="000000" w:themeColor="text1"/>
                <w:sz w:val="24"/>
              </w:rPr>
              <w:t>B</w:t>
            </w:r>
            <w:r>
              <w:rPr>
                <w:rFonts w:hint="eastAsia" w:ascii="Times New Roman" w:eastAsia="宋体"/>
                <w:color w:val="000000" w:themeColor="text1"/>
                <w:sz w:val="24"/>
              </w:rPr>
              <w:t>（</w:t>
            </w:r>
            <w:r>
              <w:rPr>
                <w:rFonts w:ascii="Times New Roman" w:hAnsi="Times New Roman" w:eastAsia="宋体"/>
                <w:color w:val="000000" w:themeColor="text1"/>
                <w:sz w:val="24"/>
              </w:rPr>
              <w:t>A</w:t>
            </w:r>
            <w:r>
              <w:rPr>
                <w:rFonts w:hint="eastAsia" w:ascii="Times New Roman" w:eastAsia="宋体"/>
                <w:color w:val="000000" w:themeColor="text1"/>
                <w:sz w:val="24"/>
              </w:rPr>
              <w:t>））。</w:t>
            </w:r>
            <w:r>
              <w:rPr>
                <w:rFonts w:hint="eastAsia" w:ascii="Times New Roman" w:eastAsia="宋体"/>
                <w:bCs/>
                <w:color w:val="000000" w:themeColor="text1"/>
                <w:sz w:val="24"/>
              </w:rPr>
              <w:t>通过对本项目声环境质量现场实测，现场实测结果见表</w:t>
            </w:r>
            <w:r>
              <w:rPr>
                <w:rFonts w:hint="eastAsia" w:ascii="Times New Roman" w:hAnsi="Times New Roman" w:eastAsia="宋体"/>
                <w:bCs/>
                <w:color w:val="000000" w:themeColor="text1"/>
                <w:sz w:val="24"/>
              </w:rPr>
              <w:t>21</w:t>
            </w:r>
            <w:r>
              <w:rPr>
                <w:rFonts w:hint="eastAsia" w:ascii="Times New Roman" w:eastAsia="宋体"/>
                <w:bCs/>
                <w:color w:val="000000" w:themeColor="text1"/>
                <w:sz w:val="24"/>
              </w:rPr>
              <w:t>。</w:t>
            </w:r>
          </w:p>
          <w:p>
            <w:pPr>
              <w:spacing w:line="440" w:lineRule="exact"/>
              <w:jc w:val="center"/>
              <w:rPr>
                <w:rFonts w:ascii="Times New Roman" w:hAnsi="Times New Roman" w:eastAsia="宋体"/>
                <w:b/>
                <w:bCs/>
                <w:color w:val="000000" w:themeColor="text1"/>
                <w:sz w:val="24"/>
              </w:rPr>
            </w:pPr>
            <w:r>
              <w:rPr>
                <w:rFonts w:hint="eastAsia" w:ascii="Times New Roman" w:eastAsia="宋体"/>
                <w:b/>
                <w:bCs/>
                <w:color w:val="000000" w:themeColor="text1"/>
                <w:sz w:val="24"/>
              </w:rPr>
              <w:t>表</w:t>
            </w:r>
            <w:r>
              <w:rPr>
                <w:rFonts w:hint="eastAsia" w:ascii="Times New Roman" w:hAnsi="Times New Roman" w:eastAsia="宋体"/>
                <w:b/>
                <w:bCs/>
                <w:color w:val="000000" w:themeColor="text1"/>
                <w:sz w:val="24"/>
              </w:rPr>
              <w:t xml:space="preserve">21    </w:t>
            </w:r>
            <w:r>
              <w:rPr>
                <w:rFonts w:hint="eastAsia" w:ascii="Times New Roman" w:eastAsia="宋体"/>
                <w:b/>
                <w:bCs/>
                <w:color w:val="000000" w:themeColor="text1"/>
                <w:sz w:val="24"/>
              </w:rPr>
              <w:t>项目声环境现状实测结果一览表</w:t>
            </w:r>
          </w:p>
          <w:tbl>
            <w:tblPr>
              <w:tblStyle w:val="24"/>
              <w:tblW w:w="9072"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47"/>
              <w:gridCol w:w="1767"/>
              <w:gridCol w:w="1326"/>
              <w:gridCol w:w="1473"/>
              <w:gridCol w:w="155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24" w:type="pct"/>
                  <w:vMerge w:val="restart"/>
                  <w:tcBorders>
                    <w:top w:val="single" w:color="auto" w:sz="8" w:space="0"/>
                    <w:bottom w:val="single" w:color="auto" w:sz="4" w:space="0"/>
                  </w:tcBorders>
                  <w:vAlign w:val="center"/>
                </w:tcPr>
                <w:p>
                  <w:pPr>
                    <w:jc w:val="center"/>
                    <w:rPr>
                      <w:rFonts w:ascii="Times New Roman" w:hAnsi="Times New Roman" w:eastAsia="宋体"/>
                      <w:b/>
                      <w:bCs/>
                      <w:color w:val="000000" w:themeColor="text1"/>
                      <w:szCs w:val="21"/>
                    </w:rPr>
                  </w:pPr>
                  <w:r>
                    <w:rPr>
                      <w:rFonts w:hint="eastAsia" w:ascii="Times New Roman" w:eastAsia="宋体"/>
                      <w:b/>
                      <w:bCs/>
                      <w:color w:val="000000" w:themeColor="text1"/>
                      <w:szCs w:val="21"/>
                    </w:rPr>
                    <w:t>方位</w:t>
                  </w:r>
                </w:p>
              </w:tc>
              <w:tc>
                <w:tcPr>
                  <w:tcW w:w="1705" w:type="pct"/>
                  <w:gridSpan w:val="2"/>
                  <w:tcBorders>
                    <w:top w:val="single" w:color="auto" w:sz="8" w:space="0"/>
                    <w:bottom w:val="single" w:color="auto" w:sz="4" w:space="0"/>
                  </w:tcBorders>
                  <w:vAlign w:val="center"/>
                </w:tcPr>
                <w:p>
                  <w:pPr>
                    <w:jc w:val="center"/>
                    <w:rPr>
                      <w:rFonts w:ascii="Times New Roman" w:hAnsi="Times New Roman" w:eastAsia="宋体"/>
                      <w:b/>
                      <w:bCs/>
                      <w:color w:val="000000" w:themeColor="text1"/>
                      <w:szCs w:val="21"/>
                    </w:rPr>
                  </w:pPr>
                  <w:r>
                    <w:rPr>
                      <w:rFonts w:hint="eastAsia" w:ascii="Times New Roman" w:eastAsia="宋体"/>
                      <w:b/>
                      <w:bCs/>
                      <w:color w:val="000000" w:themeColor="text1"/>
                      <w:szCs w:val="21"/>
                    </w:rPr>
                    <w:t>昼间</w:t>
                  </w:r>
                  <w:r>
                    <w:rPr>
                      <w:rFonts w:hint="eastAsia" w:ascii="Times New Roman" w:hAnsi="Times New Roman" w:eastAsia="宋体"/>
                      <w:b/>
                      <w:bCs/>
                      <w:color w:val="000000" w:themeColor="text1"/>
                      <w:szCs w:val="21"/>
                    </w:rPr>
                    <w:t>dB</w:t>
                  </w:r>
                  <w:r>
                    <w:rPr>
                      <w:rFonts w:hint="eastAsia" w:ascii="Times New Roman" w:eastAsia="宋体"/>
                      <w:b/>
                      <w:bCs/>
                      <w:color w:val="000000" w:themeColor="text1"/>
                      <w:szCs w:val="21"/>
                    </w:rPr>
                    <w:t>（</w:t>
                  </w:r>
                  <w:r>
                    <w:rPr>
                      <w:rFonts w:hint="eastAsia" w:ascii="Times New Roman" w:hAnsi="Times New Roman" w:eastAsia="宋体"/>
                      <w:b/>
                      <w:bCs/>
                      <w:color w:val="000000" w:themeColor="text1"/>
                      <w:szCs w:val="21"/>
                    </w:rPr>
                    <w:t>A</w:t>
                  </w:r>
                  <w:r>
                    <w:rPr>
                      <w:rFonts w:hint="eastAsia" w:ascii="Times New Roman" w:eastAsia="宋体"/>
                      <w:b/>
                      <w:bCs/>
                      <w:color w:val="000000" w:themeColor="text1"/>
                      <w:szCs w:val="21"/>
                    </w:rPr>
                    <w:t>）</w:t>
                  </w:r>
                </w:p>
              </w:tc>
              <w:tc>
                <w:tcPr>
                  <w:tcW w:w="1671" w:type="pct"/>
                  <w:gridSpan w:val="2"/>
                  <w:tcBorders>
                    <w:top w:val="single" w:color="auto" w:sz="8" w:space="0"/>
                    <w:bottom w:val="single" w:color="auto" w:sz="4" w:space="0"/>
                  </w:tcBorders>
                  <w:vAlign w:val="center"/>
                </w:tcPr>
                <w:p>
                  <w:pPr>
                    <w:jc w:val="center"/>
                    <w:rPr>
                      <w:rFonts w:ascii="Times New Roman" w:hAnsi="Times New Roman" w:eastAsia="宋体"/>
                      <w:b/>
                      <w:bCs/>
                      <w:color w:val="000000" w:themeColor="text1"/>
                      <w:szCs w:val="21"/>
                    </w:rPr>
                  </w:pPr>
                  <w:r>
                    <w:rPr>
                      <w:rFonts w:hint="eastAsia" w:ascii="Times New Roman" w:eastAsia="宋体"/>
                      <w:b/>
                      <w:bCs/>
                      <w:color w:val="000000" w:themeColor="text1"/>
                      <w:szCs w:val="21"/>
                    </w:rPr>
                    <w:t>夜间</w:t>
                  </w:r>
                  <w:r>
                    <w:rPr>
                      <w:rFonts w:hint="eastAsia" w:ascii="Times New Roman" w:hAnsi="Times New Roman" w:eastAsia="宋体"/>
                      <w:b/>
                      <w:bCs/>
                      <w:color w:val="000000" w:themeColor="text1"/>
                      <w:szCs w:val="21"/>
                    </w:rPr>
                    <w:t>dB</w:t>
                  </w:r>
                  <w:r>
                    <w:rPr>
                      <w:rFonts w:hint="eastAsia" w:ascii="Times New Roman" w:eastAsia="宋体"/>
                      <w:b/>
                      <w:bCs/>
                      <w:color w:val="000000" w:themeColor="text1"/>
                      <w:szCs w:val="21"/>
                    </w:rPr>
                    <w:t>（</w:t>
                  </w:r>
                  <w:r>
                    <w:rPr>
                      <w:rFonts w:hint="eastAsia" w:ascii="Times New Roman" w:hAnsi="Times New Roman" w:eastAsia="宋体"/>
                      <w:b/>
                      <w:bCs/>
                      <w:color w:val="000000" w:themeColor="text1"/>
                      <w:szCs w:val="21"/>
                    </w:rPr>
                    <w:t>A</w:t>
                  </w:r>
                  <w:r>
                    <w:rPr>
                      <w:rFonts w:hint="eastAsia" w:ascii="Times New Roman" w:eastAsia="宋体"/>
                      <w:b/>
                      <w:bCs/>
                      <w:color w:val="000000" w:themeColor="text1"/>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24" w:type="pct"/>
                  <w:vMerge w:val="continue"/>
                  <w:tcBorders>
                    <w:top w:val="single" w:color="auto" w:sz="4" w:space="0"/>
                    <w:bottom w:val="single" w:color="auto" w:sz="8" w:space="0"/>
                  </w:tcBorders>
                  <w:vAlign w:val="center"/>
                </w:tcPr>
                <w:p>
                  <w:pPr>
                    <w:jc w:val="center"/>
                    <w:rPr>
                      <w:rFonts w:ascii="Times New Roman" w:hAnsi="Times New Roman" w:eastAsia="宋体"/>
                      <w:b/>
                      <w:bCs/>
                      <w:color w:val="000000" w:themeColor="text1"/>
                      <w:szCs w:val="21"/>
                    </w:rPr>
                  </w:pPr>
                </w:p>
              </w:tc>
              <w:tc>
                <w:tcPr>
                  <w:tcW w:w="974" w:type="pct"/>
                  <w:tcBorders>
                    <w:top w:val="single" w:color="auto" w:sz="4" w:space="0"/>
                    <w:bottom w:val="single" w:color="auto" w:sz="8" w:space="0"/>
                  </w:tcBorders>
                  <w:vAlign w:val="center"/>
                </w:tcPr>
                <w:p>
                  <w:pPr>
                    <w:jc w:val="center"/>
                    <w:rPr>
                      <w:rFonts w:ascii="Times New Roman" w:hAnsi="Times New Roman" w:eastAsia="宋体"/>
                      <w:b/>
                      <w:bCs/>
                      <w:color w:val="000000" w:themeColor="text1"/>
                      <w:szCs w:val="21"/>
                    </w:rPr>
                  </w:pPr>
                  <w:r>
                    <w:rPr>
                      <w:rFonts w:hint="eastAsia" w:ascii="Times New Roman" w:eastAsia="宋体"/>
                      <w:b/>
                      <w:bCs/>
                      <w:color w:val="000000" w:themeColor="text1"/>
                      <w:szCs w:val="21"/>
                    </w:rPr>
                    <w:t>测量值</w:t>
                  </w:r>
                </w:p>
              </w:tc>
              <w:tc>
                <w:tcPr>
                  <w:tcW w:w="731" w:type="pct"/>
                  <w:tcBorders>
                    <w:top w:val="single" w:color="auto" w:sz="4" w:space="0"/>
                    <w:bottom w:val="single" w:color="auto" w:sz="8" w:space="0"/>
                  </w:tcBorders>
                  <w:vAlign w:val="center"/>
                </w:tcPr>
                <w:p>
                  <w:pPr>
                    <w:jc w:val="center"/>
                    <w:rPr>
                      <w:rFonts w:ascii="Times New Roman" w:hAnsi="Times New Roman" w:eastAsia="宋体"/>
                      <w:b/>
                      <w:bCs/>
                      <w:color w:val="000000" w:themeColor="text1"/>
                      <w:szCs w:val="21"/>
                    </w:rPr>
                  </w:pPr>
                  <w:r>
                    <w:rPr>
                      <w:rFonts w:hint="eastAsia" w:ascii="Times New Roman" w:eastAsia="宋体"/>
                      <w:b/>
                      <w:bCs/>
                      <w:color w:val="000000" w:themeColor="text1"/>
                      <w:szCs w:val="21"/>
                    </w:rPr>
                    <w:t>标准值</w:t>
                  </w:r>
                </w:p>
              </w:tc>
              <w:tc>
                <w:tcPr>
                  <w:tcW w:w="812" w:type="pct"/>
                  <w:tcBorders>
                    <w:top w:val="single" w:color="auto" w:sz="4" w:space="0"/>
                    <w:bottom w:val="single" w:color="auto" w:sz="8" w:space="0"/>
                  </w:tcBorders>
                  <w:vAlign w:val="center"/>
                </w:tcPr>
                <w:p>
                  <w:pPr>
                    <w:jc w:val="center"/>
                    <w:rPr>
                      <w:rFonts w:ascii="Times New Roman" w:hAnsi="Times New Roman" w:eastAsia="宋体"/>
                      <w:b/>
                      <w:bCs/>
                      <w:color w:val="000000" w:themeColor="text1"/>
                      <w:szCs w:val="21"/>
                    </w:rPr>
                  </w:pPr>
                  <w:r>
                    <w:rPr>
                      <w:rFonts w:hint="eastAsia" w:ascii="Times New Roman" w:eastAsia="宋体"/>
                      <w:b/>
                      <w:bCs/>
                      <w:color w:val="000000" w:themeColor="text1"/>
                      <w:szCs w:val="21"/>
                    </w:rPr>
                    <w:t>测量值</w:t>
                  </w:r>
                </w:p>
              </w:tc>
              <w:tc>
                <w:tcPr>
                  <w:tcW w:w="859" w:type="pct"/>
                  <w:tcBorders>
                    <w:top w:val="single" w:color="auto" w:sz="4" w:space="0"/>
                    <w:bottom w:val="single" w:color="auto" w:sz="8" w:space="0"/>
                  </w:tcBorders>
                  <w:vAlign w:val="center"/>
                </w:tcPr>
                <w:p>
                  <w:pPr>
                    <w:jc w:val="center"/>
                    <w:rPr>
                      <w:rFonts w:ascii="Times New Roman" w:hAnsi="Times New Roman" w:eastAsia="宋体"/>
                      <w:b/>
                      <w:bCs/>
                      <w:color w:val="000000" w:themeColor="text1"/>
                      <w:szCs w:val="21"/>
                    </w:rPr>
                  </w:pPr>
                  <w:r>
                    <w:rPr>
                      <w:rFonts w:hint="eastAsia" w:ascii="Times New Roman" w:eastAsia="宋体"/>
                      <w:b/>
                      <w:bCs/>
                      <w:color w:val="000000" w:themeColor="text1"/>
                      <w:szCs w:val="21"/>
                    </w:rPr>
                    <w:t>标准值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24" w:type="pct"/>
                  <w:tcBorders>
                    <w:top w:val="single" w:color="auto" w:sz="8" w:space="0"/>
                  </w:tcBorders>
                  <w:vAlign w:val="center"/>
                </w:tcPr>
                <w:p>
                  <w:pPr>
                    <w:jc w:val="center"/>
                    <w:rPr>
                      <w:rFonts w:ascii="Times New Roman" w:hAnsi="Times New Roman" w:eastAsia="宋体"/>
                      <w:bCs/>
                      <w:color w:val="000000" w:themeColor="text1"/>
                      <w:szCs w:val="21"/>
                    </w:rPr>
                  </w:pPr>
                  <w:r>
                    <w:rPr>
                      <w:rFonts w:hint="eastAsia" w:ascii="Times New Roman" w:eastAsia="宋体"/>
                      <w:bCs/>
                      <w:color w:val="000000" w:themeColor="text1"/>
                      <w:szCs w:val="21"/>
                    </w:rPr>
                    <w:t>东厂界</w:t>
                  </w:r>
                </w:p>
              </w:tc>
              <w:tc>
                <w:tcPr>
                  <w:tcW w:w="974" w:type="pct"/>
                  <w:tcBorders>
                    <w:top w:val="single" w:color="auto" w:sz="8" w:space="0"/>
                  </w:tcBorders>
                  <w:vAlign w:val="center"/>
                </w:tcPr>
                <w:p>
                  <w:pPr>
                    <w:jc w:val="center"/>
                    <w:rPr>
                      <w:rFonts w:ascii="Times New Roman" w:hAnsi="Times New Roman" w:eastAsia="宋体"/>
                      <w:bCs/>
                      <w:color w:val="000000" w:themeColor="text1"/>
                      <w:szCs w:val="21"/>
                    </w:rPr>
                  </w:pPr>
                  <w:r>
                    <w:rPr>
                      <w:rFonts w:hint="eastAsia" w:ascii="Times New Roman" w:hAnsi="Times New Roman" w:eastAsia="宋体"/>
                      <w:bCs/>
                      <w:color w:val="000000" w:themeColor="text1"/>
                      <w:szCs w:val="21"/>
                    </w:rPr>
                    <w:t>57.4</w:t>
                  </w:r>
                </w:p>
              </w:tc>
              <w:tc>
                <w:tcPr>
                  <w:tcW w:w="731" w:type="pct"/>
                  <w:vMerge w:val="restart"/>
                  <w:tcBorders>
                    <w:top w:val="single" w:color="auto" w:sz="8" w:space="0"/>
                  </w:tcBorders>
                  <w:shd w:val="clear" w:color="auto" w:fill="auto"/>
                  <w:vAlign w:val="center"/>
                </w:tcPr>
                <w:p>
                  <w:pPr>
                    <w:jc w:val="center"/>
                    <w:rPr>
                      <w:rFonts w:ascii="Times New Roman" w:hAnsi="Times New Roman" w:eastAsia="宋体"/>
                      <w:bCs/>
                      <w:color w:val="000000" w:themeColor="text1"/>
                      <w:szCs w:val="21"/>
                    </w:rPr>
                  </w:pPr>
                  <w:r>
                    <w:rPr>
                      <w:rFonts w:hint="eastAsia" w:ascii="Times New Roman" w:hAnsi="Times New Roman" w:eastAsia="宋体"/>
                      <w:bCs/>
                      <w:color w:val="000000" w:themeColor="text1"/>
                      <w:szCs w:val="21"/>
                    </w:rPr>
                    <w:t>65</w:t>
                  </w:r>
                </w:p>
              </w:tc>
              <w:tc>
                <w:tcPr>
                  <w:tcW w:w="812" w:type="pct"/>
                  <w:tcBorders>
                    <w:top w:val="single" w:color="auto" w:sz="8" w:space="0"/>
                  </w:tcBorders>
                  <w:vAlign w:val="center"/>
                </w:tcPr>
                <w:p>
                  <w:pPr>
                    <w:jc w:val="center"/>
                    <w:rPr>
                      <w:rFonts w:ascii="Times New Roman" w:hAnsi="Times New Roman" w:eastAsia="宋体"/>
                      <w:bCs/>
                      <w:color w:val="000000" w:themeColor="text1"/>
                      <w:szCs w:val="21"/>
                    </w:rPr>
                  </w:pPr>
                  <w:r>
                    <w:rPr>
                      <w:rFonts w:hint="eastAsia" w:ascii="Times New Roman" w:hAnsi="Times New Roman" w:eastAsia="宋体"/>
                      <w:bCs/>
                      <w:color w:val="000000" w:themeColor="text1"/>
                      <w:szCs w:val="21"/>
                    </w:rPr>
                    <w:t>45.1</w:t>
                  </w:r>
                </w:p>
              </w:tc>
              <w:tc>
                <w:tcPr>
                  <w:tcW w:w="859" w:type="pct"/>
                  <w:vMerge w:val="restart"/>
                  <w:tcBorders>
                    <w:top w:val="single" w:color="auto" w:sz="8" w:space="0"/>
                  </w:tcBorders>
                  <w:shd w:val="clear" w:color="auto" w:fill="auto"/>
                  <w:vAlign w:val="center"/>
                </w:tcPr>
                <w:p>
                  <w:pPr>
                    <w:jc w:val="center"/>
                    <w:rPr>
                      <w:rFonts w:ascii="Times New Roman" w:hAnsi="Times New Roman" w:eastAsia="宋体"/>
                      <w:bCs/>
                      <w:color w:val="000000" w:themeColor="text1"/>
                      <w:szCs w:val="21"/>
                    </w:rPr>
                  </w:pPr>
                  <w:r>
                    <w:rPr>
                      <w:rFonts w:hint="eastAsia" w:ascii="Times New Roman" w:hAnsi="Times New Roman" w:eastAsia="宋体"/>
                      <w:bCs/>
                      <w:color w:val="000000" w:themeColor="text1"/>
                      <w:szCs w:val="21"/>
                    </w:rPr>
                    <w:t>55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24" w:type="pct"/>
                  <w:vAlign w:val="center"/>
                </w:tcPr>
                <w:p>
                  <w:pPr>
                    <w:jc w:val="center"/>
                    <w:rPr>
                      <w:rFonts w:ascii="Times New Roman" w:hAnsi="Times New Roman" w:eastAsia="宋体"/>
                      <w:bCs/>
                      <w:color w:val="000000" w:themeColor="text1"/>
                      <w:szCs w:val="21"/>
                    </w:rPr>
                  </w:pPr>
                  <w:r>
                    <w:rPr>
                      <w:rFonts w:hint="eastAsia" w:ascii="Times New Roman" w:eastAsia="宋体"/>
                      <w:bCs/>
                      <w:color w:val="000000" w:themeColor="text1"/>
                      <w:szCs w:val="21"/>
                    </w:rPr>
                    <w:t>南厂界</w:t>
                  </w:r>
                </w:p>
              </w:tc>
              <w:tc>
                <w:tcPr>
                  <w:tcW w:w="974" w:type="pct"/>
                  <w:vAlign w:val="center"/>
                </w:tcPr>
                <w:p>
                  <w:pPr>
                    <w:jc w:val="center"/>
                    <w:rPr>
                      <w:rFonts w:ascii="Times New Roman" w:hAnsi="Times New Roman" w:eastAsia="宋体"/>
                      <w:bCs/>
                      <w:color w:val="000000" w:themeColor="text1"/>
                      <w:szCs w:val="21"/>
                    </w:rPr>
                  </w:pPr>
                  <w:r>
                    <w:rPr>
                      <w:rFonts w:hint="eastAsia" w:ascii="Times New Roman" w:hAnsi="Times New Roman" w:eastAsia="宋体"/>
                      <w:bCs/>
                      <w:color w:val="000000" w:themeColor="text1"/>
                      <w:szCs w:val="21"/>
                    </w:rPr>
                    <w:t>57.4</w:t>
                  </w:r>
                </w:p>
              </w:tc>
              <w:tc>
                <w:tcPr>
                  <w:tcW w:w="731" w:type="pct"/>
                  <w:vMerge w:val="continue"/>
                  <w:shd w:val="clear" w:color="auto" w:fill="auto"/>
                  <w:vAlign w:val="center"/>
                </w:tcPr>
                <w:p>
                  <w:pPr>
                    <w:jc w:val="center"/>
                    <w:rPr>
                      <w:rFonts w:ascii="Times New Roman" w:hAnsi="Times New Roman" w:eastAsia="宋体"/>
                      <w:bCs/>
                      <w:color w:val="000000" w:themeColor="text1"/>
                      <w:szCs w:val="21"/>
                    </w:rPr>
                  </w:pPr>
                </w:p>
              </w:tc>
              <w:tc>
                <w:tcPr>
                  <w:tcW w:w="812" w:type="pct"/>
                  <w:vAlign w:val="center"/>
                </w:tcPr>
                <w:p>
                  <w:pPr>
                    <w:jc w:val="center"/>
                    <w:rPr>
                      <w:rFonts w:ascii="Times New Roman" w:hAnsi="Times New Roman" w:eastAsia="宋体"/>
                      <w:bCs/>
                      <w:color w:val="000000" w:themeColor="text1"/>
                      <w:szCs w:val="21"/>
                    </w:rPr>
                  </w:pPr>
                  <w:r>
                    <w:rPr>
                      <w:rFonts w:hint="eastAsia" w:ascii="Times New Roman" w:hAnsi="Times New Roman" w:eastAsia="宋体"/>
                      <w:bCs/>
                      <w:color w:val="000000" w:themeColor="text1"/>
                      <w:szCs w:val="21"/>
                    </w:rPr>
                    <w:t>46.4</w:t>
                  </w:r>
                </w:p>
              </w:tc>
              <w:tc>
                <w:tcPr>
                  <w:tcW w:w="859" w:type="pct"/>
                  <w:vMerge w:val="continue"/>
                  <w:shd w:val="clear" w:color="auto" w:fill="auto"/>
                  <w:vAlign w:val="center"/>
                </w:tcPr>
                <w:p>
                  <w:pPr>
                    <w:jc w:val="center"/>
                    <w:rPr>
                      <w:rFonts w:ascii="Times New Roman" w:hAnsi="Times New Roman" w:eastAsia="宋体"/>
                      <w:bCs/>
                      <w:color w:val="000000" w:themeColor="text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24" w:type="pct"/>
                  <w:vAlign w:val="center"/>
                </w:tcPr>
                <w:p>
                  <w:pPr>
                    <w:jc w:val="center"/>
                    <w:rPr>
                      <w:rFonts w:ascii="Times New Roman" w:hAnsi="Times New Roman" w:eastAsia="宋体"/>
                      <w:bCs/>
                      <w:color w:val="000000" w:themeColor="text1"/>
                      <w:szCs w:val="21"/>
                    </w:rPr>
                  </w:pPr>
                  <w:r>
                    <w:rPr>
                      <w:rFonts w:hint="eastAsia" w:ascii="Times New Roman" w:eastAsia="宋体"/>
                      <w:bCs/>
                      <w:color w:val="000000" w:themeColor="text1"/>
                      <w:szCs w:val="21"/>
                    </w:rPr>
                    <w:t>西厂界</w:t>
                  </w:r>
                </w:p>
              </w:tc>
              <w:tc>
                <w:tcPr>
                  <w:tcW w:w="974" w:type="pct"/>
                  <w:vAlign w:val="center"/>
                </w:tcPr>
                <w:p>
                  <w:pPr>
                    <w:jc w:val="center"/>
                    <w:rPr>
                      <w:rFonts w:ascii="Times New Roman" w:hAnsi="Times New Roman" w:eastAsia="宋体"/>
                      <w:bCs/>
                      <w:color w:val="000000" w:themeColor="text1"/>
                      <w:szCs w:val="21"/>
                    </w:rPr>
                  </w:pPr>
                  <w:r>
                    <w:rPr>
                      <w:rFonts w:hint="eastAsia" w:ascii="Times New Roman" w:hAnsi="Times New Roman" w:eastAsia="宋体"/>
                      <w:bCs/>
                      <w:color w:val="000000" w:themeColor="text1"/>
                      <w:szCs w:val="21"/>
                    </w:rPr>
                    <w:t>58.3</w:t>
                  </w:r>
                </w:p>
              </w:tc>
              <w:tc>
                <w:tcPr>
                  <w:tcW w:w="731" w:type="pct"/>
                  <w:vMerge w:val="continue"/>
                  <w:shd w:val="clear" w:color="auto" w:fill="auto"/>
                  <w:vAlign w:val="center"/>
                </w:tcPr>
                <w:p>
                  <w:pPr>
                    <w:jc w:val="center"/>
                    <w:rPr>
                      <w:rFonts w:ascii="Times New Roman" w:hAnsi="Times New Roman" w:eastAsia="宋体"/>
                      <w:bCs/>
                      <w:color w:val="000000" w:themeColor="text1"/>
                      <w:szCs w:val="21"/>
                    </w:rPr>
                  </w:pPr>
                </w:p>
              </w:tc>
              <w:tc>
                <w:tcPr>
                  <w:tcW w:w="812" w:type="pct"/>
                  <w:vAlign w:val="center"/>
                </w:tcPr>
                <w:p>
                  <w:pPr>
                    <w:jc w:val="center"/>
                    <w:rPr>
                      <w:rFonts w:ascii="Times New Roman" w:hAnsi="Times New Roman" w:eastAsia="宋体"/>
                      <w:bCs/>
                      <w:color w:val="000000" w:themeColor="text1"/>
                      <w:szCs w:val="21"/>
                    </w:rPr>
                  </w:pPr>
                  <w:r>
                    <w:rPr>
                      <w:rFonts w:hint="eastAsia" w:ascii="Times New Roman" w:hAnsi="Times New Roman" w:eastAsia="宋体"/>
                      <w:bCs/>
                      <w:color w:val="000000" w:themeColor="text1"/>
                      <w:szCs w:val="21"/>
                    </w:rPr>
                    <w:t>46.1</w:t>
                  </w:r>
                </w:p>
              </w:tc>
              <w:tc>
                <w:tcPr>
                  <w:tcW w:w="859" w:type="pct"/>
                  <w:vMerge w:val="continue"/>
                  <w:shd w:val="clear" w:color="auto" w:fill="auto"/>
                  <w:vAlign w:val="center"/>
                </w:tcPr>
                <w:p>
                  <w:pPr>
                    <w:jc w:val="center"/>
                    <w:rPr>
                      <w:rFonts w:ascii="Times New Roman" w:hAnsi="Times New Roman" w:eastAsia="宋体"/>
                      <w:bCs/>
                      <w:color w:val="000000" w:themeColor="text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24" w:type="pct"/>
                  <w:vAlign w:val="center"/>
                </w:tcPr>
                <w:p>
                  <w:pPr>
                    <w:jc w:val="center"/>
                    <w:rPr>
                      <w:rFonts w:ascii="Times New Roman" w:hAnsi="Times New Roman" w:eastAsia="宋体"/>
                      <w:bCs/>
                      <w:color w:val="000000" w:themeColor="text1"/>
                      <w:szCs w:val="21"/>
                    </w:rPr>
                  </w:pPr>
                  <w:r>
                    <w:rPr>
                      <w:rFonts w:hint="eastAsia" w:ascii="Times New Roman" w:eastAsia="宋体"/>
                      <w:bCs/>
                      <w:color w:val="000000" w:themeColor="text1"/>
                      <w:szCs w:val="21"/>
                    </w:rPr>
                    <w:t>北厂界</w:t>
                  </w:r>
                </w:p>
              </w:tc>
              <w:tc>
                <w:tcPr>
                  <w:tcW w:w="974" w:type="pct"/>
                  <w:vAlign w:val="center"/>
                </w:tcPr>
                <w:p>
                  <w:pPr>
                    <w:jc w:val="center"/>
                    <w:rPr>
                      <w:rFonts w:ascii="Times New Roman" w:hAnsi="Times New Roman" w:eastAsia="宋体"/>
                      <w:bCs/>
                      <w:color w:val="000000" w:themeColor="text1"/>
                      <w:szCs w:val="21"/>
                    </w:rPr>
                  </w:pPr>
                  <w:r>
                    <w:rPr>
                      <w:rFonts w:hint="eastAsia" w:ascii="Times New Roman" w:hAnsi="Times New Roman" w:eastAsia="宋体"/>
                      <w:bCs/>
                      <w:color w:val="000000" w:themeColor="text1"/>
                      <w:szCs w:val="21"/>
                    </w:rPr>
                    <w:t>59.2</w:t>
                  </w:r>
                </w:p>
              </w:tc>
              <w:tc>
                <w:tcPr>
                  <w:tcW w:w="731" w:type="pct"/>
                  <w:vMerge w:val="continue"/>
                  <w:shd w:val="clear" w:color="auto" w:fill="auto"/>
                  <w:vAlign w:val="center"/>
                </w:tcPr>
                <w:p>
                  <w:pPr>
                    <w:jc w:val="center"/>
                    <w:rPr>
                      <w:rFonts w:ascii="Times New Roman" w:hAnsi="Times New Roman" w:eastAsia="宋体"/>
                      <w:bCs/>
                      <w:color w:val="000000" w:themeColor="text1"/>
                      <w:szCs w:val="21"/>
                    </w:rPr>
                  </w:pPr>
                </w:p>
              </w:tc>
              <w:tc>
                <w:tcPr>
                  <w:tcW w:w="812" w:type="pct"/>
                  <w:vAlign w:val="center"/>
                </w:tcPr>
                <w:p>
                  <w:pPr>
                    <w:jc w:val="center"/>
                    <w:rPr>
                      <w:rFonts w:ascii="Times New Roman" w:hAnsi="Times New Roman" w:eastAsia="宋体"/>
                      <w:bCs/>
                      <w:color w:val="000000" w:themeColor="text1"/>
                      <w:szCs w:val="21"/>
                    </w:rPr>
                  </w:pPr>
                  <w:r>
                    <w:rPr>
                      <w:rFonts w:hint="eastAsia" w:ascii="Times New Roman" w:hAnsi="Times New Roman" w:eastAsia="宋体"/>
                      <w:bCs/>
                      <w:color w:val="000000" w:themeColor="text1"/>
                      <w:szCs w:val="21"/>
                    </w:rPr>
                    <w:t>46.6</w:t>
                  </w:r>
                </w:p>
              </w:tc>
              <w:tc>
                <w:tcPr>
                  <w:tcW w:w="859" w:type="pct"/>
                  <w:vMerge w:val="continue"/>
                  <w:shd w:val="clear" w:color="auto" w:fill="auto"/>
                  <w:vAlign w:val="center"/>
                </w:tcPr>
                <w:p>
                  <w:pPr>
                    <w:jc w:val="center"/>
                    <w:rPr>
                      <w:rFonts w:ascii="Times New Roman" w:hAnsi="Times New Roman" w:eastAsia="宋体"/>
                      <w:bCs/>
                      <w:color w:val="000000" w:themeColor="text1"/>
                      <w:szCs w:val="21"/>
                    </w:rPr>
                  </w:pPr>
                </w:p>
              </w:tc>
            </w:tr>
          </w:tbl>
          <w:p>
            <w:pPr>
              <w:spacing w:line="440" w:lineRule="exact"/>
              <w:ind w:firstLine="480" w:firstLineChars="200"/>
              <w:rPr>
                <w:rFonts w:ascii="Times New Roman" w:eastAsia="宋体"/>
                <w:color w:val="000000" w:themeColor="text1"/>
                <w:sz w:val="24"/>
              </w:rPr>
            </w:pPr>
            <w:r>
              <w:rPr>
                <w:rFonts w:hint="eastAsia" w:ascii="Times New Roman" w:eastAsia="宋体"/>
                <w:color w:val="000000" w:themeColor="text1"/>
                <w:sz w:val="24"/>
              </w:rPr>
              <w:t>从表</w:t>
            </w:r>
            <w:r>
              <w:rPr>
                <w:rFonts w:hint="eastAsia" w:ascii="Times New Roman" w:hAnsi="Times New Roman" w:eastAsia="宋体"/>
                <w:color w:val="000000" w:themeColor="text1"/>
                <w:sz w:val="24"/>
              </w:rPr>
              <w:t>21</w:t>
            </w:r>
            <w:r>
              <w:rPr>
                <w:rFonts w:hint="eastAsia" w:ascii="Times New Roman" w:eastAsia="宋体"/>
                <w:color w:val="000000" w:themeColor="text1"/>
                <w:sz w:val="24"/>
              </w:rPr>
              <w:t>实测结果表明，项目东、南、西、北边界噪声值均能满足《声环境质量标准》（</w:t>
            </w:r>
            <w:r>
              <w:rPr>
                <w:rFonts w:hint="eastAsia" w:ascii="Times New Roman" w:hAnsi="Times New Roman" w:eastAsia="宋体"/>
                <w:color w:val="000000" w:themeColor="text1"/>
                <w:sz w:val="24"/>
              </w:rPr>
              <w:t>GB3096-2008</w:t>
            </w:r>
            <w:r>
              <w:rPr>
                <w:rFonts w:hint="eastAsia" w:ascii="Times New Roman" w:eastAsia="宋体"/>
                <w:color w:val="000000" w:themeColor="text1"/>
                <w:sz w:val="24"/>
              </w:rPr>
              <w:t>）</w:t>
            </w:r>
            <w:r>
              <w:rPr>
                <w:rFonts w:hint="eastAsia" w:ascii="Times New Roman" w:hAnsi="Times New Roman" w:eastAsia="宋体"/>
                <w:color w:val="000000" w:themeColor="text1"/>
                <w:sz w:val="24"/>
              </w:rPr>
              <w:t>3</w:t>
            </w:r>
            <w:r>
              <w:rPr>
                <w:rFonts w:hint="eastAsia" w:ascii="Times New Roman" w:eastAsia="宋体"/>
                <w:color w:val="000000" w:themeColor="text1"/>
                <w:sz w:val="24"/>
              </w:rPr>
              <w:t>类标准要求，评价区域内声环境质量较好。</w:t>
            </w:r>
          </w:p>
          <w:p>
            <w:pPr>
              <w:pStyle w:val="2"/>
              <w:spacing w:line="440" w:lineRule="exact"/>
              <w:ind w:firstLine="480" w:firstLineChars="200"/>
              <w:jc w:val="both"/>
              <w:rPr>
                <w:color w:val="000000" w:themeColor="text1"/>
              </w:rPr>
            </w:pPr>
            <w:r>
              <w:rPr>
                <w:rFonts w:ascii="Times New Roman" w:hAnsi="Times New Roman" w:eastAsia="宋体"/>
                <w:color w:val="000000" w:themeColor="text1"/>
                <w:sz w:val="24"/>
              </w:rPr>
              <w:t>项目噪声源主要为</w:t>
            </w:r>
            <w:r>
              <w:rPr>
                <w:rFonts w:hint="eastAsia" w:ascii="Times New Roman" w:hAnsi="宋体" w:eastAsia="宋体"/>
                <w:bCs/>
                <w:color w:val="000000" w:themeColor="text1"/>
                <w:sz w:val="24"/>
              </w:rPr>
              <w:t>高周波塑熔机</w:t>
            </w:r>
            <w:r>
              <w:rPr>
                <w:rFonts w:hint="eastAsia" w:ascii="Times New Roman" w:hAnsi="Times New Roman" w:eastAsia="宋体"/>
                <w:color w:val="000000" w:themeColor="text1"/>
                <w:sz w:val="24"/>
              </w:rPr>
              <w:t>和空压机</w:t>
            </w:r>
            <w:r>
              <w:rPr>
                <w:rFonts w:ascii="Times New Roman" w:hAnsi="Times New Roman" w:eastAsia="宋体"/>
                <w:color w:val="000000" w:themeColor="text1"/>
                <w:sz w:val="24"/>
              </w:rPr>
              <w:t>设备生产</w:t>
            </w:r>
            <w:r>
              <w:rPr>
                <w:rFonts w:ascii="Times New Roman" w:hAnsi="Times New Roman" w:eastAsia="宋体"/>
                <w:color w:val="000000" w:themeColor="text1"/>
                <w:kern w:val="0"/>
                <w:sz w:val="24"/>
              </w:rPr>
              <w:t>运行时产生的机械噪声</w:t>
            </w:r>
            <w:r>
              <w:rPr>
                <w:rFonts w:hint="eastAsia" w:ascii="Times New Roman" w:hAnsi="Times New Roman" w:eastAsia="宋体"/>
                <w:color w:val="000000" w:themeColor="text1"/>
                <w:kern w:val="0"/>
                <w:sz w:val="24"/>
              </w:rPr>
              <w:t>，</w:t>
            </w:r>
            <w:r>
              <w:rPr>
                <w:rFonts w:ascii="Times New Roman" w:hAnsi="Times New Roman" w:eastAsia="宋体"/>
                <w:color w:val="000000" w:themeColor="text1"/>
                <w:sz w:val="24"/>
              </w:rPr>
              <w:t>通过合理布局、消声及厂房隔音后，项目建设各厂界噪声预测值能满足《工业企业厂界环境噪声排放标准》（GB12348-2008）</w:t>
            </w:r>
            <w:r>
              <w:rPr>
                <w:rFonts w:hint="eastAsia" w:ascii="Times New Roman" w:hAnsi="Times New Roman" w:eastAsia="宋体"/>
                <w:color w:val="000000" w:themeColor="text1"/>
                <w:sz w:val="24"/>
              </w:rPr>
              <w:t>3</w:t>
            </w:r>
            <w:r>
              <w:rPr>
                <w:rFonts w:ascii="Times New Roman" w:hAnsi="Times New Roman" w:eastAsia="宋体"/>
                <w:color w:val="000000" w:themeColor="text1"/>
                <w:sz w:val="24"/>
              </w:rPr>
              <w:t>类标准［昼间≤6</w:t>
            </w:r>
            <w:r>
              <w:rPr>
                <w:rFonts w:hint="eastAsia" w:ascii="Times New Roman" w:hAnsi="Times New Roman" w:eastAsia="宋体"/>
                <w:color w:val="000000" w:themeColor="text1"/>
                <w:sz w:val="24"/>
              </w:rPr>
              <w:t>5</w:t>
            </w:r>
            <w:r>
              <w:rPr>
                <w:rFonts w:ascii="Times New Roman" w:hAnsi="Times New Roman" w:eastAsia="宋体"/>
                <w:color w:val="000000" w:themeColor="text1"/>
                <w:sz w:val="24"/>
              </w:rPr>
              <w:t>dB(A)，夜间≤5</w:t>
            </w:r>
            <w:r>
              <w:rPr>
                <w:rFonts w:hint="eastAsia" w:ascii="Times New Roman" w:hAnsi="Times New Roman" w:eastAsia="宋体"/>
                <w:color w:val="000000" w:themeColor="text1"/>
                <w:sz w:val="24"/>
              </w:rPr>
              <w:t>5</w:t>
            </w:r>
            <w:r>
              <w:rPr>
                <w:rFonts w:ascii="Times New Roman" w:hAnsi="Times New Roman" w:eastAsia="宋体"/>
                <w:color w:val="000000" w:themeColor="text1"/>
                <w:sz w:val="24"/>
              </w:rPr>
              <w:t>dB(A)]要求</w:t>
            </w:r>
            <w:r>
              <w:rPr>
                <w:rFonts w:hint="eastAsia" w:ascii="Times New Roman" w:hAnsi="Times New Roman" w:eastAsia="宋体"/>
                <w:color w:val="000000" w:themeColor="text1"/>
                <w:sz w:val="24"/>
              </w:rPr>
              <w:t>。</w:t>
            </w:r>
            <w:r>
              <w:rPr>
                <w:rFonts w:hint="eastAsia" w:ascii="Times New Roman" w:eastAsia="宋体"/>
                <w:color w:val="000000" w:themeColor="text1"/>
                <w:sz w:val="24"/>
              </w:rPr>
              <w:t>项目建设对声环境影响很小。</w:t>
            </w:r>
          </w:p>
          <w:p>
            <w:pPr>
              <w:spacing w:line="440" w:lineRule="exact"/>
              <w:ind w:firstLine="482" w:firstLineChars="200"/>
              <w:rPr>
                <w:rFonts w:ascii="Times New Roman" w:hAnsi="Times New Roman" w:eastAsia="宋体"/>
                <w:color w:val="000000" w:themeColor="text1"/>
                <w:spacing w:val="-2"/>
                <w:sz w:val="24"/>
              </w:rPr>
            </w:pPr>
            <w:r>
              <w:rPr>
                <w:rFonts w:hint="eastAsia" w:ascii="Times New Roman" w:hAnsi="Times New Roman" w:eastAsia="宋体"/>
                <w:b/>
                <w:color w:val="000000" w:themeColor="text1"/>
                <w:sz w:val="24"/>
              </w:rPr>
              <w:t>4</w:t>
            </w:r>
            <w:r>
              <w:rPr>
                <w:rFonts w:ascii="Times New Roman" w:hAnsi="Times New Roman" w:eastAsia="宋体"/>
                <w:b/>
                <w:color w:val="000000" w:themeColor="text1"/>
                <w:sz w:val="24"/>
              </w:rPr>
              <w:t>、生态环境</w:t>
            </w:r>
          </w:p>
          <w:p>
            <w:pPr>
              <w:adjustRightInd w:val="0"/>
              <w:spacing w:line="440" w:lineRule="exact"/>
              <w:ind w:firstLine="480" w:firstLineChars="200"/>
              <w:rPr>
                <w:rFonts w:ascii="Times New Roman" w:hAnsi="Times New Roman" w:eastAsia="宋体"/>
                <w:color w:val="000000" w:themeColor="text1"/>
                <w:sz w:val="24"/>
              </w:rPr>
            </w:pPr>
            <w:r>
              <w:rPr>
                <w:rFonts w:ascii="Times New Roman" w:eastAsia="宋体"/>
                <w:color w:val="000000" w:themeColor="text1"/>
                <w:sz w:val="24"/>
              </w:rPr>
              <w:t>根据现场调查，本项目位于</w:t>
            </w:r>
            <w:r>
              <w:rPr>
                <w:rFonts w:ascii="Times New Roman" w:hAnsi="Times New Roman" w:eastAsia="宋体"/>
                <w:bCs/>
                <w:color w:val="000000" w:themeColor="text1"/>
                <w:sz w:val="24"/>
              </w:rPr>
              <w:t>新乡市新乡县七里营镇</w:t>
            </w:r>
            <w:r>
              <w:rPr>
                <w:rFonts w:hint="eastAsia" w:ascii="Times New Roman" w:hAnsi="Times New Roman" w:eastAsia="宋体"/>
                <w:bCs/>
                <w:color w:val="000000" w:themeColor="text1"/>
                <w:sz w:val="24"/>
              </w:rPr>
              <w:t>107国道与胡韦线交叉口中原兴业产业园</w:t>
            </w:r>
            <w:r>
              <w:rPr>
                <w:rFonts w:ascii="Times New Roman" w:eastAsia="宋体"/>
                <w:color w:val="000000" w:themeColor="text1"/>
                <w:sz w:val="24"/>
              </w:rPr>
              <w:t>，</w:t>
            </w:r>
            <w:r>
              <w:rPr>
                <w:rFonts w:ascii="Times New Roman" w:eastAsia="宋体"/>
                <w:bCs/>
                <w:color w:val="000000" w:themeColor="text1"/>
                <w:sz w:val="24"/>
              </w:rPr>
              <w:t>项目</w:t>
            </w:r>
            <w:r>
              <w:rPr>
                <w:rFonts w:ascii="Times New Roman" w:eastAsia="宋体"/>
                <w:color w:val="000000" w:themeColor="text1"/>
                <w:sz w:val="24"/>
              </w:rPr>
              <w:t>周围主要为</w:t>
            </w:r>
            <w:r>
              <w:rPr>
                <w:rFonts w:hint="eastAsia" w:ascii="Times New Roman" w:eastAsia="宋体"/>
                <w:color w:val="000000" w:themeColor="text1"/>
                <w:sz w:val="24"/>
              </w:rPr>
              <w:t>工业企业、空地和农田</w:t>
            </w:r>
            <w:r>
              <w:rPr>
                <w:rFonts w:hint="eastAsia" w:ascii="Times New Roman" w:eastAsia="宋体"/>
                <w:iCs/>
                <w:color w:val="000000" w:themeColor="text1"/>
                <w:sz w:val="24"/>
              </w:rPr>
              <w:t>，</w:t>
            </w:r>
            <w:r>
              <w:rPr>
                <w:rFonts w:ascii="Times New Roman" w:hAnsi="Times New Roman" w:eastAsia="宋体"/>
                <w:color w:val="000000" w:themeColor="text1"/>
                <w:sz w:val="24"/>
              </w:rPr>
              <w:t>本项目区域主要为人工植被，生物量较小，以农村生态系统为主。项目周围500m范围内无重点保护的野生动植物、风景名胜区、自然保护区及文化遗产等特殊保护目标。</w:t>
            </w:r>
          </w:p>
          <w:p>
            <w:pPr>
              <w:pStyle w:val="2"/>
            </w:pPr>
          </w:p>
          <w:p/>
          <w:p>
            <w:pPr>
              <w:pStyle w:val="2"/>
            </w:pPr>
          </w:p>
          <w:p/>
          <w:p>
            <w:pPr>
              <w:pStyle w:val="2"/>
            </w:pPr>
          </w:p>
          <w:p/>
          <w:p>
            <w:pPr>
              <w:pStyle w:val="2"/>
            </w:pPr>
          </w:p>
          <w:p>
            <w:pPr>
              <w:pStyle w:val="2"/>
              <w:jc w:val="both"/>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88" w:hRule="atLeast"/>
          <w:jc w:val="center"/>
        </w:trPr>
        <w:tc>
          <w:tcPr>
            <w:tcW w:w="9242" w:type="dxa"/>
          </w:tcPr>
          <w:p>
            <w:pPr>
              <w:pStyle w:val="19"/>
              <w:spacing w:line="440" w:lineRule="exact"/>
              <w:rPr>
                <w:rFonts w:ascii="Times New Roman" w:hAnsi="Times New Roman" w:eastAsia="宋体"/>
                <w:b/>
                <w:bCs/>
                <w:color w:val="000000" w:themeColor="text1"/>
              </w:rPr>
            </w:pPr>
            <w:r>
              <w:rPr>
                <w:rFonts w:ascii="Times New Roman" w:hAnsi="Times New Roman" w:eastAsia="宋体"/>
                <w:b/>
                <w:bCs/>
                <w:color w:val="000000" w:themeColor="text1"/>
              </w:rPr>
              <w:t>主要环境保护目标（列出名单及保护级别）：</w:t>
            </w:r>
          </w:p>
          <w:p>
            <w:pPr>
              <w:spacing w:line="440" w:lineRule="exact"/>
              <w:jc w:val="center"/>
              <w:rPr>
                <w:rFonts w:ascii="Times New Roman" w:hAnsi="Times New Roman" w:eastAsia="宋体"/>
                <w:b/>
                <w:bCs/>
                <w:color w:val="000000" w:themeColor="text1"/>
                <w:sz w:val="24"/>
              </w:rPr>
            </w:pPr>
            <w:r>
              <w:rPr>
                <w:rFonts w:ascii="Times New Roman" w:hAnsi="Times New Roman" w:eastAsia="宋体"/>
                <w:b/>
                <w:bCs/>
                <w:color w:val="000000" w:themeColor="text1"/>
                <w:sz w:val="24"/>
              </w:rPr>
              <w:t>表</w:t>
            </w:r>
            <w:r>
              <w:rPr>
                <w:rFonts w:hint="eastAsia" w:ascii="Times New Roman" w:hAnsi="Times New Roman" w:eastAsia="宋体"/>
                <w:b/>
                <w:bCs/>
                <w:color w:val="000000" w:themeColor="text1"/>
                <w:sz w:val="24"/>
              </w:rPr>
              <w:t xml:space="preserve">22    </w:t>
            </w:r>
            <w:r>
              <w:rPr>
                <w:rFonts w:ascii="Times New Roman" w:hAnsi="Times New Roman" w:eastAsia="宋体"/>
                <w:b/>
                <w:bCs/>
                <w:color w:val="000000" w:themeColor="text1"/>
                <w:sz w:val="24"/>
              </w:rPr>
              <w:t>区域主要环境保护目标</w:t>
            </w:r>
          </w:p>
          <w:tbl>
            <w:tblPr>
              <w:tblStyle w:val="24"/>
              <w:tblW w:w="9071"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57" w:type="dxa"/>
                <w:left w:w="108" w:type="dxa"/>
                <w:bottom w:w="57" w:type="dxa"/>
                <w:right w:w="108" w:type="dxa"/>
              </w:tblCellMar>
            </w:tblPr>
            <w:tblGrid>
              <w:gridCol w:w="1167"/>
              <w:gridCol w:w="2011"/>
              <w:gridCol w:w="931"/>
              <w:gridCol w:w="1296"/>
              <w:gridCol w:w="366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1167" w:type="dxa"/>
                  <w:tcBorders>
                    <w:top w:val="single" w:color="auto" w:sz="8" w:space="0"/>
                    <w:bottom w:val="single" w:color="auto" w:sz="8" w:space="0"/>
                  </w:tcBorders>
                  <w:vAlign w:val="center"/>
                </w:tcPr>
                <w:p>
                  <w:pPr>
                    <w:pStyle w:val="9"/>
                    <w:snapToGrid w:val="0"/>
                    <w:spacing w:line="240" w:lineRule="auto"/>
                    <w:jc w:val="center"/>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环境要素</w:t>
                  </w:r>
                </w:p>
              </w:tc>
              <w:tc>
                <w:tcPr>
                  <w:tcW w:w="2011" w:type="dxa"/>
                  <w:tcBorders>
                    <w:top w:val="single" w:color="auto" w:sz="8" w:space="0"/>
                    <w:bottom w:val="single" w:color="auto" w:sz="8" w:space="0"/>
                  </w:tcBorders>
                  <w:vAlign w:val="center"/>
                </w:tcPr>
                <w:p>
                  <w:pPr>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保护目标</w:t>
                  </w:r>
                </w:p>
              </w:tc>
              <w:tc>
                <w:tcPr>
                  <w:tcW w:w="931" w:type="dxa"/>
                  <w:tcBorders>
                    <w:top w:val="single" w:color="auto" w:sz="8" w:space="0"/>
                    <w:bottom w:val="single" w:color="auto" w:sz="8" w:space="0"/>
                  </w:tcBorders>
                  <w:vAlign w:val="center"/>
                </w:tcPr>
                <w:p>
                  <w:pPr>
                    <w:pStyle w:val="9"/>
                    <w:snapToGrid w:val="0"/>
                    <w:spacing w:line="240" w:lineRule="auto"/>
                    <w:jc w:val="center"/>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方位</w:t>
                  </w:r>
                </w:p>
              </w:tc>
              <w:tc>
                <w:tcPr>
                  <w:tcW w:w="1296" w:type="dxa"/>
                  <w:tcBorders>
                    <w:top w:val="single" w:color="auto" w:sz="8" w:space="0"/>
                    <w:bottom w:val="single" w:color="auto" w:sz="8" w:space="0"/>
                  </w:tcBorders>
                  <w:vAlign w:val="center"/>
                </w:tcPr>
                <w:p>
                  <w:pPr>
                    <w:pStyle w:val="9"/>
                    <w:snapToGrid w:val="0"/>
                    <w:spacing w:line="240" w:lineRule="auto"/>
                    <w:jc w:val="center"/>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距离（m）</w:t>
                  </w:r>
                </w:p>
              </w:tc>
              <w:tc>
                <w:tcPr>
                  <w:tcW w:w="3666" w:type="dxa"/>
                  <w:tcBorders>
                    <w:top w:val="single" w:color="auto" w:sz="8" w:space="0"/>
                    <w:bottom w:val="single" w:color="auto" w:sz="8" w:space="0"/>
                  </w:tcBorders>
                  <w:vAlign w:val="center"/>
                </w:tcPr>
                <w:p>
                  <w:pPr>
                    <w:pStyle w:val="9"/>
                    <w:snapToGrid w:val="0"/>
                    <w:spacing w:line="240" w:lineRule="auto"/>
                    <w:jc w:val="center"/>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保护级别</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1167" w:type="dxa"/>
                  <w:vMerge w:val="restart"/>
                  <w:tcBorders>
                    <w:top w:val="single" w:color="auto" w:sz="8" w:space="0"/>
                  </w:tcBorders>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大气</w:t>
                  </w:r>
                </w:p>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环境</w:t>
                  </w:r>
                </w:p>
              </w:tc>
              <w:tc>
                <w:tcPr>
                  <w:tcW w:w="2011" w:type="dxa"/>
                  <w:tcBorders>
                    <w:top w:val="single" w:color="auto" w:sz="8" w:space="0"/>
                  </w:tcBorders>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东高村</w:t>
                  </w:r>
                </w:p>
              </w:tc>
              <w:tc>
                <w:tcPr>
                  <w:tcW w:w="931" w:type="dxa"/>
                  <w:tcBorders>
                    <w:top w:val="single" w:color="auto" w:sz="8" w:space="0"/>
                  </w:tcBorders>
                  <w:vAlign w:val="center"/>
                </w:tcPr>
                <w:p>
                  <w:pPr>
                    <w:pStyle w:val="9"/>
                    <w:snapToGrid w:val="0"/>
                    <w:spacing w:line="240" w:lineRule="auto"/>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南</w:t>
                  </w:r>
                </w:p>
              </w:tc>
              <w:tc>
                <w:tcPr>
                  <w:tcW w:w="1296" w:type="dxa"/>
                  <w:tcBorders>
                    <w:top w:val="single" w:color="auto" w:sz="8" w:space="0"/>
                  </w:tcBorders>
                  <w:vAlign w:val="center"/>
                </w:tcPr>
                <w:p>
                  <w:pPr>
                    <w:pStyle w:val="9"/>
                    <w:snapToGrid w:val="0"/>
                    <w:spacing w:line="240" w:lineRule="auto"/>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946</w:t>
                  </w:r>
                </w:p>
              </w:tc>
              <w:tc>
                <w:tcPr>
                  <w:tcW w:w="3666" w:type="dxa"/>
                  <w:vMerge w:val="restart"/>
                  <w:tcBorders>
                    <w:top w:val="single" w:color="auto" w:sz="8" w:space="0"/>
                  </w:tcBorders>
                  <w:vAlign w:val="center"/>
                </w:tcPr>
                <w:p>
                  <w:pPr>
                    <w:pStyle w:val="9"/>
                    <w:snapToGrid w:val="0"/>
                    <w:spacing w:line="240" w:lineRule="auto"/>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《环境空气质量标准》</w:t>
                  </w:r>
                </w:p>
                <w:p>
                  <w:pPr>
                    <w:pStyle w:val="9"/>
                    <w:snapToGrid w:val="0"/>
                    <w:spacing w:line="240" w:lineRule="auto"/>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（GB3095-2012）</w:t>
                  </w:r>
                  <w:r>
                    <w:rPr>
                      <w:rFonts w:hint="eastAsia" w:ascii="Times New Roman" w:hAnsi="Times New Roman" w:eastAsia="宋体"/>
                      <w:color w:val="000000" w:themeColor="text1"/>
                      <w:sz w:val="21"/>
                      <w:szCs w:val="21"/>
                    </w:rPr>
                    <w:t>及2018年修改单</w:t>
                  </w:r>
                  <w:r>
                    <w:rPr>
                      <w:rFonts w:ascii="Times New Roman" w:hAnsi="Times New Roman" w:eastAsia="宋体"/>
                      <w:color w:val="000000" w:themeColor="text1"/>
                      <w:sz w:val="21"/>
                      <w:szCs w:val="21"/>
                    </w:rPr>
                    <w:t>二级标准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1167" w:type="dxa"/>
                  <w:vMerge w:val="continue"/>
                  <w:vAlign w:val="center"/>
                </w:tcPr>
                <w:p>
                  <w:pPr>
                    <w:jc w:val="center"/>
                    <w:rPr>
                      <w:rFonts w:ascii="Times New Roman" w:hAnsi="Times New Roman" w:eastAsia="宋体"/>
                      <w:color w:val="000000" w:themeColor="text1"/>
                      <w:szCs w:val="21"/>
                    </w:rPr>
                  </w:pPr>
                </w:p>
              </w:tc>
              <w:tc>
                <w:tcPr>
                  <w:tcW w:w="2011" w:type="dxa"/>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大赵庄村</w:t>
                  </w:r>
                </w:p>
              </w:tc>
              <w:tc>
                <w:tcPr>
                  <w:tcW w:w="931" w:type="dxa"/>
                  <w:vAlign w:val="center"/>
                </w:tcPr>
                <w:p>
                  <w:pPr>
                    <w:pStyle w:val="9"/>
                    <w:snapToGrid w:val="0"/>
                    <w:spacing w:line="240" w:lineRule="auto"/>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西北</w:t>
                  </w:r>
                </w:p>
              </w:tc>
              <w:tc>
                <w:tcPr>
                  <w:tcW w:w="1296" w:type="dxa"/>
                  <w:vAlign w:val="center"/>
                </w:tcPr>
                <w:p>
                  <w:pPr>
                    <w:pStyle w:val="9"/>
                    <w:snapToGrid w:val="0"/>
                    <w:spacing w:line="240" w:lineRule="auto"/>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1275</w:t>
                  </w:r>
                </w:p>
              </w:tc>
              <w:tc>
                <w:tcPr>
                  <w:tcW w:w="3666" w:type="dxa"/>
                  <w:vMerge w:val="continue"/>
                  <w:vAlign w:val="center"/>
                </w:tcPr>
                <w:p>
                  <w:pPr>
                    <w:pStyle w:val="9"/>
                    <w:snapToGrid w:val="0"/>
                    <w:spacing w:line="240" w:lineRule="auto"/>
                    <w:jc w:val="center"/>
                    <w:rPr>
                      <w:rFonts w:ascii="Times New Roman" w:hAnsi="Times New Roman" w:eastAsia="宋体"/>
                      <w:color w:val="000000" w:themeColor="text1"/>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1167" w:type="dxa"/>
                  <w:vMerge w:val="continue"/>
                  <w:vAlign w:val="center"/>
                </w:tcPr>
                <w:p>
                  <w:pPr>
                    <w:jc w:val="center"/>
                    <w:rPr>
                      <w:rFonts w:ascii="Times New Roman" w:hAnsi="Times New Roman" w:eastAsia="宋体"/>
                      <w:color w:val="000000" w:themeColor="text1"/>
                      <w:szCs w:val="21"/>
                    </w:rPr>
                  </w:pPr>
                </w:p>
              </w:tc>
              <w:tc>
                <w:tcPr>
                  <w:tcW w:w="2011" w:type="dxa"/>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府庄村</w:t>
                  </w:r>
                </w:p>
              </w:tc>
              <w:tc>
                <w:tcPr>
                  <w:tcW w:w="931" w:type="dxa"/>
                  <w:vAlign w:val="center"/>
                </w:tcPr>
                <w:p>
                  <w:pPr>
                    <w:pStyle w:val="9"/>
                    <w:snapToGrid w:val="0"/>
                    <w:spacing w:line="240" w:lineRule="auto"/>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北</w:t>
                  </w:r>
                </w:p>
              </w:tc>
              <w:tc>
                <w:tcPr>
                  <w:tcW w:w="1296" w:type="dxa"/>
                  <w:vAlign w:val="center"/>
                </w:tcPr>
                <w:p>
                  <w:pPr>
                    <w:pStyle w:val="9"/>
                    <w:snapToGrid w:val="0"/>
                    <w:spacing w:line="240" w:lineRule="auto"/>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1260</w:t>
                  </w:r>
                </w:p>
              </w:tc>
              <w:tc>
                <w:tcPr>
                  <w:tcW w:w="3666" w:type="dxa"/>
                  <w:vMerge w:val="continue"/>
                  <w:vAlign w:val="center"/>
                </w:tcPr>
                <w:p>
                  <w:pPr>
                    <w:pStyle w:val="9"/>
                    <w:snapToGrid w:val="0"/>
                    <w:spacing w:line="240" w:lineRule="auto"/>
                    <w:jc w:val="center"/>
                    <w:rPr>
                      <w:rFonts w:ascii="Times New Roman" w:hAnsi="Times New Roman" w:eastAsia="宋体"/>
                      <w:color w:val="000000" w:themeColor="text1"/>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1167" w:type="dxa"/>
                  <w:vMerge w:val="continue"/>
                  <w:vAlign w:val="center"/>
                </w:tcPr>
                <w:p>
                  <w:pPr>
                    <w:jc w:val="center"/>
                    <w:rPr>
                      <w:rFonts w:ascii="Times New Roman" w:hAnsi="Times New Roman" w:eastAsia="宋体"/>
                      <w:color w:val="000000" w:themeColor="text1"/>
                      <w:szCs w:val="21"/>
                    </w:rPr>
                  </w:pPr>
                </w:p>
              </w:tc>
              <w:tc>
                <w:tcPr>
                  <w:tcW w:w="2011" w:type="dxa"/>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大张庄村</w:t>
                  </w:r>
                </w:p>
              </w:tc>
              <w:tc>
                <w:tcPr>
                  <w:tcW w:w="931" w:type="dxa"/>
                  <w:vAlign w:val="center"/>
                </w:tcPr>
                <w:p>
                  <w:pPr>
                    <w:pStyle w:val="9"/>
                    <w:snapToGrid w:val="0"/>
                    <w:spacing w:line="240" w:lineRule="auto"/>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东北</w:t>
                  </w:r>
                </w:p>
              </w:tc>
              <w:tc>
                <w:tcPr>
                  <w:tcW w:w="1296" w:type="dxa"/>
                  <w:vAlign w:val="center"/>
                </w:tcPr>
                <w:p>
                  <w:pPr>
                    <w:pStyle w:val="9"/>
                    <w:snapToGrid w:val="0"/>
                    <w:spacing w:line="240" w:lineRule="auto"/>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1012</w:t>
                  </w:r>
                </w:p>
              </w:tc>
              <w:tc>
                <w:tcPr>
                  <w:tcW w:w="3666" w:type="dxa"/>
                  <w:vMerge w:val="continue"/>
                  <w:vAlign w:val="center"/>
                </w:tcPr>
                <w:p>
                  <w:pPr>
                    <w:pStyle w:val="9"/>
                    <w:snapToGrid w:val="0"/>
                    <w:spacing w:line="240" w:lineRule="auto"/>
                    <w:jc w:val="center"/>
                    <w:rPr>
                      <w:rFonts w:ascii="Times New Roman" w:hAnsi="Times New Roman" w:eastAsia="宋体"/>
                      <w:color w:val="000000" w:themeColor="text1"/>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1167" w:type="dxa"/>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声环境</w:t>
                  </w:r>
                </w:p>
              </w:tc>
              <w:tc>
                <w:tcPr>
                  <w:tcW w:w="4238" w:type="dxa"/>
                  <w:gridSpan w:val="3"/>
                  <w:vAlign w:val="center"/>
                </w:tcPr>
                <w:p>
                  <w:pPr>
                    <w:pStyle w:val="9"/>
                    <w:snapToGrid w:val="0"/>
                    <w:spacing w:line="240" w:lineRule="auto"/>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项目周围</w:t>
                  </w:r>
                  <w:r>
                    <w:rPr>
                      <w:rFonts w:hint="eastAsia" w:ascii="Times New Roman" w:hAnsi="Times New Roman" w:eastAsia="宋体"/>
                      <w:color w:val="000000" w:themeColor="text1"/>
                      <w:sz w:val="21"/>
                      <w:szCs w:val="21"/>
                    </w:rPr>
                    <w:t>200米</w:t>
                  </w:r>
                </w:p>
              </w:tc>
              <w:tc>
                <w:tcPr>
                  <w:tcW w:w="3666" w:type="dxa"/>
                  <w:vAlign w:val="center"/>
                </w:tcPr>
                <w:p>
                  <w:pPr>
                    <w:pStyle w:val="9"/>
                    <w:snapToGrid w:val="0"/>
                    <w:spacing w:line="240" w:lineRule="auto"/>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《声环境质量标准》</w:t>
                  </w:r>
                </w:p>
                <w:p>
                  <w:pPr>
                    <w:pStyle w:val="9"/>
                    <w:snapToGrid w:val="0"/>
                    <w:spacing w:line="240" w:lineRule="auto"/>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（GB3096-2008）</w:t>
                  </w:r>
                  <w:r>
                    <w:rPr>
                      <w:rFonts w:hint="eastAsia" w:ascii="Times New Roman" w:hAnsi="Times New Roman" w:eastAsia="宋体"/>
                      <w:color w:val="000000" w:themeColor="text1"/>
                      <w:sz w:val="21"/>
                      <w:szCs w:val="21"/>
                    </w:rPr>
                    <w:t>3</w:t>
                  </w:r>
                  <w:r>
                    <w:rPr>
                      <w:rFonts w:ascii="Times New Roman" w:hAnsi="Times New Roman" w:eastAsia="宋体"/>
                      <w:color w:val="000000" w:themeColor="text1"/>
                      <w:sz w:val="21"/>
                      <w:szCs w:val="21"/>
                    </w:rPr>
                    <w:t xml:space="preserve"> 类标准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1167" w:type="dxa"/>
                  <w:tcBorders>
                    <w:bottom w:val="single" w:color="auto" w:sz="8" w:space="0"/>
                  </w:tcBorders>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水环境</w:t>
                  </w:r>
                </w:p>
              </w:tc>
              <w:tc>
                <w:tcPr>
                  <w:tcW w:w="2011" w:type="dxa"/>
                  <w:tcBorders>
                    <w:bottom w:val="single" w:color="auto" w:sz="8" w:space="0"/>
                  </w:tcBorders>
                  <w:vAlign w:val="center"/>
                </w:tcPr>
                <w:p>
                  <w:pPr>
                    <w:pStyle w:val="106"/>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东孟姜女河</w:t>
                  </w:r>
                </w:p>
              </w:tc>
              <w:tc>
                <w:tcPr>
                  <w:tcW w:w="931" w:type="dxa"/>
                  <w:tcBorders>
                    <w:bottom w:val="single" w:color="auto" w:sz="8" w:space="0"/>
                  </w:tcBorders>
                  <w:vAlign w:val="center"/>
                </w:tcPr>
                <w:p>
                  <w:pPr>
                    <w:pStyle w:val="106"/>
                    <w:jc w:val="center"/>
                    <w:rPr>
                      <w:rFonts w:ascii="宋体" w:hAnsi="宋体" w:eastAsia="宋体"/>
                      <w:color w:val="000000" w:themeColor="text1"/>
                      <w:sz w:val="21"/>
                      <w:szCs w:val="21"/>
                    </w:rPr>
                  </w:pPr>
                  <w:r>
                    <w:rPr>
                      <w:rFonts w:ascii="Times New Roman" w:hAnsi="Times New Roman" w:eastAsia="宋体"/>
                      <w:color w:val="000000" w:themeColor="text1"/>
                      <w:sz w:val="21"/>
                      <w:szCs w:val="21"/>
                    </w:rPr>
                    <w:t>北</w:t>
                  </w:r>
                </w:p>
              </w:tc>
              <w:tc>
                <w:tcPr>
                  <w:tcW w:w="1296" w:type="dxa"/>
                  <w:tcBorders>
                    <w:bottom w:val="single" w:color="auto" w:sz="8" w:space="0"/>
                  </w:tcBorders>
                  <w:vAlign w:val="center"/>
                </w:tcPr>
                <w:p>
                  <w:pPr>
                    <w:pStyle w:val="106"/>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2061</w:t>
                  </w:r>
                </w:p>
              </w:tc>
              <w:tc>
                <w:tcPr>
                  <w:tcW w:w="3666" w:type="dxa"/>
                  <w:tcBorders>
                    <w:bottom w:val="single" w:color="auto" w:sz="8" w:space="0"/>
                  </w:tcBorders>
                  <w:vAlign w:val="center"/>
                </w:tcPr>
                <w:p>
                  <w:pPr>
                    <w:pStyle w:val="106"/>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《地表水环境质量标准</w:t>
                  </w:r>
                  <w:r>
                    <w:rPr>
                      <w:rFonts w:ascii="Times New Roman" w:hAnsi="Times New Roman" w:eastAsia="宋体"/>
                      <w:color w:val="000000" w:themeColor="text1"/>
                      <w:spacing w:val="-1"/>
                      <w:w w:val="95"/>
                      <w:sz w:val="21"/>
                      <w:szCs w:val="21"/>
                    </w:rPr>
                    <w:t>》</w:t>
                  </w:r>
                  <w:r>
                    <w:rPr>
                      <w:rFonts w:ascii="Times New Roman" w:hAnsi="Times New Roman" w:eastAsia="宋体"/>
                      <w:color w:val="000000" w:themeColor="text1"/>
                      <w:kern w:val="2"/>
                      <w:sz w:val="21"/>
                      <w:szCs w:val="21"/>
                    </w:rPr>
                    <w:t>（GB3838-2002）V</w:t>
                  </w:r>
                  <w:r>
                    <w:rPr>
                      <w:rFonts w:ascii="Times New Roman" w:hAnsi="Times New Roman" w:eastAsia="宋体"/>
                      <w:color w:val="000000" w:themeColor="text1"/>
                      <w:sz w:val="21"/>
                      <w:szCs w:val="21"/>
                    </w:rPr>
                    <w:t>类标准</w:t>
                  </w:r>
                </w:p>
              </w:tc>
            </w:tr>
          </w:tbl>
          <w:p>
            <w:pPr>
              <w:pStyle w:val="9"/>
              <w:rPr>
                <w:rFonts w:ascii="Times New Roman" w:hAnsi="Times New Roman" w:eastAsia="宋体"/>
                <w:color w:val="000000" w:themeColor="text1"/>
              </w:rPr>
            </w:pPr>
          </w:p>
          <w:p>
            <w:pPr>
              <w:pStyle w:val="9"/>
              <w:rPr>
                <w:rFonts w:ascii="Times New Roman" w:hAnsi="Times New Roman" w:eastAsia="宋体"/>
                <w:color w:val="000000" w:themeColor="text1"/>
              </w:rPr>
            </w:pPr>
          </w:p>
          <w:p>
            <w:pPr>
              <w:pStyle w:val="9"/>
              <w:rPr>
                <w:rFonts w:ascii="Times New Roman" w:hAnsi="Times New Roman" w:eastAsia="宋体"/>
                <w:color w:val="000000" w:themeColor="text1"/>
              </w:rPr>
            </w:pPr>
          </w:p>
          <w:p>
            <w:pPr>
              <w:pStyle w:val="9"/>
              <w:rPr>
                <w:rFonts w:ascii="Times New Roman" w:hAnsi="Times New Roman" w:eastAsia="宋体"/>
                <w:color w:val="000000" w:themeColor="text1"/>
              </w:rPr>
            </w:pPr>
          </w:p>
          <w:p>
            <w:pPr>
              <w:pStyle w:val="9"/>
              <w:rPr>
                <w:rFonts w:ascii="Times New Roman" w:hAnsi="Times New Roman" w:eastAsia="宋体"/>
                <w:color w:val="000000" w:themeColor="text1"/>
              </w:rPr>
            </w:pPr>
          </w:p>
          <w:p>
            <w:pPr>
              <w:pStyle w:val="9"/>
              <w:rPr>
                <w:rFonts w:ascii="Times New Roman" w:hAnsi="Times New Roman" w:eastAsia="宋体"/>
                <w:color w:val="000000" w:themeColor="text1"/>
              </w:rPr>
            </w:pPr>
          </w:p>
          <w:p>
            <w:pPr>
              <w:pStyle w:val="9"/>
              <w:rPr>
                <w:rFonts w:ascii="Times New Roman" w:hAnsi="Times New Roman" w:eastAsia="宋体"/>
                <w:color w:val="000000" w:themeColor="text1"/>
              </w:rPr>
            </w:pPr>
          </w:p>
          <w:p>
            <w:pPr>
              <w:pStyle w:val="9"/>
              <w:rPr>
                <w:rFonts w:ascii="Times New Roman" w:hAnsi="Times New Roman" w:eastAsia="宋体"/>
                <w:color w:val="000000" w:themeColor="text1"/>
              </w:rPr>
            </w:pPr>
          </w:p>
          <w:p>
            <w:pPr>
              <w:pStyle w:val="9"/>
              <w:rPr>
                <w:rFonts w:ascii="Times New Roman" w:hAnsi="Times New Roman" w:eastAsia="宋体"/>
                <w:color w:val="000000" w:themeColor="text1"/>
              </w:rPr>
            </w:pPr>
          </w:p>
          <w:p>
            <w:pPr>
              <w:pStyle w:val="9"/>
              <w:rPr>
                <w:rFonts w:ascii="Times New Roman" w:hAnsi="Times New Roman" w:eastAsia="宋体"/>
                <w:color w:val="000000" w:themeColor="text1"/>
              </w:rPr>
            </w:pPr>
          </w:p>
          <w:p>
            <w:pPr>
              <w:pStyle w:val="9"/>
              <w:rPr>
                <w:rFonts w:ascii="Times New Roman" w:hAnsi="Times New Roman" w:eastAsia="宋体"/>
                <w:color w:val="000000" w:themeColor="text1"/>
              </w:rPr>
            </w:pPr>
          </w:p>
          <w:p>
            <w:pPr>
              <w:pStyle w:val="9"/>
              <w:rPr>
                <w:rFonts w:ascii="Times New Roman" w:hAnsi="Times New Roman" w:eastAsia="宋体"/>
                <w:color w:val="000000" w:themeColor="text1"/>
              </w:rPr>
            </w:pPr>
          </w:p>
          <w:p>
            <w:pPr>
              <w:pStyle w:val="9"/>
              <w:rPr>
                <w:rFonts w:ascii="Times New Roman" w:hAnsi="Times New Roman" w:eastAsia="宋体"/>
                <w:color w:val="000000" w:themeColor="text1"/>
              </w:rPr>
            </w:pPr>
          </w:p>
          <w:p>
            <w:pPr>
              <w:pStyle w:val="9"/>
              <w:rPr>
                <w:rFonts w:ascii="Times New Roman" w:hAnsi="Times New Roman" w:eastAsia="宋体"/>
                <w:color w:val="000000" w:themeColor="text1"/>
              </w:rPr>
            </w:pPr>
          </w:p>
          <w:p>
            <w:pPr>
              <w:pStyle w:val="9"/>
              <w:rPr>
                <w:rFonts w:ascii="Times New Roman" w:hAnsi="Times New Roman" w:eastAsia="宋体"/>
                <w:color w:val="000000" w:themeColor="text1"/>
              </w:rPr>
            </w:pPr>
          </w:p>
          <w:p>
            <w:pPr>
              <w:pStyle w:val="9"/>
              <w:rPr>
                <w:rFonts w:ascii="Times New Roman" w:hAnsi="Times New Roman" w:eastAsia="宋体"/>
                <w:color w:val="000000" w:themeColor="text1"/>
              </w:rPr>
            </w:pPr>
          </w:p>
          <w:p>
            <w:pPr>
              <w:pStyle w:val="9"/>
              <w:rPr>
                <w:rFonts w:ascii="Times New Roman" w:hAnsi="Times New Roman" w:eastAsia="宋体"/>
                <w:color w:val="000000" w:themeColor="text1"/>
              </w:rPr>
            </w:pPr>
          </w:p>
          <w:p>
            <w:pPr>
              <w:pStyle w:val="9"/>
              <w:rPr>
                <w:rFonts w:ascii="Times New Roman" w:hAnsi="Times New Roman" w:eastAsia="宋体"/>
                <w:color w:val="000000" w:themeColor="text1"/>
              </w:rPr>
            </w:pPr>
          </w:p>
          <w:p>
            <w:pPr>
              <w:pStyle w:val="9"/>
              <w:rPr>
                <w:rFonts w:ascii="Times New Roman" w:hAnsi="Times New Roman" w:eastAsia="宋体"/>
                <w:color w:val="000000" w:themeColor="text1"/>
              </w:rPr>
            </w:pPr>
          </w:p>
          <w:p>
            <w:pPr>
              <w:pStyle w:val="9"/>
              <w:rPr>
                <w:rFonts w:ascii="Times New Roman" w:hAnsi="Times New Roman" w:eastAsia="宋体"/>
                <w:color w:val="000000" w:themeColor="text1"/>
              </w:rPr>
            </w:pPr>
          </w:p>
          <w:p>
            <w:pPr>
              <w:pStyle w:val="9"/>
              <w:rPr>
                <w:rFonts w:ascii="Times New Roman" w:hAnsi="Times New Roman" w:eastAsia="宋体"/>
                <w:color w:val="000000" w:themeColor="text1"/>
              </w:rPr>
            </w:pPr>
          </w:p>
          <w:p>
            <w:pPr>
              <w:pStyle w:val="9"/>
              <w:rPr>
                <w:rFonts w:ascii="Times New Roman" w:hAnsi="Times New Roman" w:eastAsia="宋体"/>
                <w:color w:val="000000" w:themeColor="text1"/>
              </w:rPr>
            </w:pPr>
          </w:p>
        </w:tc>
      </w:tr>
    </w:tbl>
    <w:p>
      <w:pPr>
        <w:spacing w:line="500" w:lineRule="exact"/>
        <w:outlineLvl w:val="0"/>
        <w:rPr>
          <w:b/>
          <w:color w:val="000000" w:themeColor="text1"/>
          <w:sz w:val="32"/>
          <w:szCs w:val="32"/>
        </w:rPr>
      </w:pPr>
      <w:r>
        <w:rPr>
          <w:rFonts w:hint="eastAsia" w:hAnsi="宋体"/>
          <w:b/>
          <w:color w:val="000000" w:themeColor="text1"/>
          <w:sz w:val="32"/>
          <w:szCs w:val="32"/>
        </w:rPr>
        <w:t>评价适用标准</w:t>
      </w:r>
    </w:p>
    <w:tbl>
      <w:tblPr>
        <w:tblStyle w:val="2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56"/>
        <w:gridCol w:w="87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78" w:hRule="atLeast"/>
          <w:jc w:val="center"/>
        </w:trPr>
        <w:tc>
          <w:tcPr>
            <w:tcW w:w="456" w:type="dxa"/>
            <w:vAlign w:val="center"/>
          </w:tcPr>
          <w:p>
            <w:pPr>
              <w:spacing w:line="480" w:lineRule="exact"/>
              <w:jc w:val="center"/>
              <w:rPr>
                <w:rFonts w:ascii="Times New Roman" w:hAnsi="Times New Roman" w:eastAsia="宋体"/>
                <w:color w:val="000000" w:themeColor="text1"/>
                <w:sz w:val="24"/>
              </w:rPr>
            </w:pPr>
            <w:r>
              <w:rPr>
                <w:rFonts w:ascii="Times New Roman" w:hAnsi="Times New Roman" w:eastAsia="宋体"/>
                <w:color w:val="000000" w:themeColor="text1"/>
                <w:sz w:val="24"/>
              </w:rPr>
              <w:t>环</w:t>
            </w:r>
          </w:p>
          <w:p>
            <w:pPr>
              <w:spacing w:line="480" w:lineRule="exact"/>
              <w:jc w:val="center"/>
              <w:rPr>
                <w:rFonts w:ascii="Times New Roman" w:hAnsi="Times New Roman" w:eastAsia="宋体"/>
                <w:color w:val="000000" w:themeColor="text1"/>
                <w:sz w:val="24"/>
              </w:rPr>
            </w:pPr>
            <w:r>
              <w:rPr>
                <w:rFonts w:ascii="Times New Roman" w:hAnsi="Times New Roman" w:eastAsia="宋体"/>
                <w:color w:val="000000" w:themeColor="text1"/>
                <w:sz w:val="24"/>
              </w:rPr>
              <w:t>境</w:t>
            </w:r>
          </w:p>
          <w:p>
            <w:pPr>
              <w:spacing w:line="480" w:lineRule="exact"/>
              <w:jc w:val="center"/>
              <w:rPr>
                <w:rFonts w:ascii="Times New Roman" w:hAnsi="Times New Roman" w:eastAsia="宋体"/>
                <w:color w:val="000000" w:themeColor="text1"/>
                <w:sz w:val="24"/>
              </w:rPr>
            </w:pPr>
            <w:r>
              <w:rPr>
                <w:rFonts w:ascii="Times New Roman" w:hAnsi="Times New Roman" w:eastAsia="宋体"/>
                <w:color w:val="000000" w:themeColor="text1"/>
                <w:sz w:val="24"/>
              </w:rPr>
              <w:t>质</w:t>
            </w:r>
          </w:p>
          <w:p>
            <w:pPr>
              <w:spacing w:line="480" w:lineRule="exact"/>
              <w:jc w:val="center"/>
              <w:rPr>
                <w:rFonts w:ascii="Times New Roman" w:hAnsi="Times New Roman" w:eastAsia="宋体"/>
                <w:color w:val="000000" w:themeColor="text1"/>
                <w:sz w:val="24"/>
              </w:rPr>
            </w:pPr>
            <w:r>
              <w:rPr>
                <w:rFonts w:ascii="Times New Roman" w:hAnsi="Times New Roman" w:eastAsia="宋体"/>
                <w:color w:val="000000" w:themeColor="text1"/>
                <w:sz w:val="24"/>
              </w:rPr>
              <w:t>量</w:t>
            </w:r>
          </w:p>
          <w:p>
            <w:pPr>
              <w:spacing w:line="480" w:lineRule="exact"/>
              <w:jc w:val="center"/>
              <w:rPr>
                <w:rFonts w:ascii="Times New Roman" w:hAnsi="Times New Roman" w:eastAsia="宋体"/>
                <w:color w:val="000000" w:themeColor="text1"/>
                <w:sz w:val="24"/>
              </w:rPr>
            </w:pPr>
            <w:r>
              <w:rPr>
                <w:rFonts w:ascii="Times New Roman" w:hAnsi="Times New Roman" w:eastAsia="宋体"/>
                <w:color w:val="000000" w:themeColor="text1"/>
                <w:sz w:val="24"/>
              </w:rPr>
              <w:t>标</w:t>
            </w:r>
          </w:p>
          <w:p>
            <w:pPr>
              <w:spacing w:line="480" w:lineRule="exact"/>
              <w:jc w:val="center"/>
              <w:rPr>
                <w:rFonts w:ascii="Times New Roman" w:hAnsi="Times New Roman" w:eastAsia="宋体"/>
                <w:color w:val="000000" w:themeColor="text1"/>
                <w:sz w:val="24"/>
              </w:rPr>
            </w:pPr>
            <w:r>
              <w:rPr>
                <w:rFonts w:ascii="Times New Roman" w:hAnsi="Times New Roman" w:eastAsia="宋体"/>
                <w:color w:val="000000" w:themeColor="text1"/>
                <w:sz w:val="24"/>
              </w:rPr>
              <w:t>准</w:t>
            </w:r>
          </w:p>
        </w:tc>
        <w:tc>
          <w:tcPr>
            <w:tcW w:w="8786" w:type="dxa"/>
            <w:vAlign w:val="center"/>
          </w:tcPr>
          <w:p>
            <w:pPr>
              <w:spacing w:line="440" w:lineRule="exact"/>
              <w:ind w:firstLine="482" w:firstLineChars="200"/>
              <w:textAlignment w:val="baseline"/>
              <w:rPr>
                <w:rFonts w:ascii="Times New Roman" w:hAnsi="Times New Roman" w:eastAsia="宋体"/>
                <w:b/>
                <w:color w:val="000000" w:themeColor="text1"/>
                <w:sz w:val="24"/>
              </w:rPr>
            </w:pPr>
            <w:r>
              <w:rPr>
                <w:rFonts w:ascii="Times New Roman" w:hAnsi="Times New Roman" w:eastAsia="宋体"/>
                <w:b/>
                <w:color w:val="000000" w:themeColor="text1"/>
                <w:sz w:val="24"/>
              </w:rPr>
              <w:t>1、环境空气</w:t>
            </w:r>
          </w:p>
          <w:p>
            <w:pPr>
              <w:spacing w:line="440" w:lineRule="exact"/>
              <w:ind w:firstLine="480" w:firstLineChars="200"/>
              <w:textAlignment w:val="baseline"/>
              <w:rPr>
                <w:rFonts w:ascii="Times New Roman" w:hAnsi="Times New Roman" w:eastAsia="宋体"/>
                <w:color w:val="000000" w:themeColor="text1"/>
                <w:sz w:val="24"/>
              </w:rPr>
            </w:pPr>
            <w:r>
              <w:rPr>
                <w:rFonts w:ascii="Times New Roman" w:hAnsi="Times New Roman" w:eastAsia="宋体"/>
                <w:color w:val="000000" w:themeColor="text1"/>
                <w:sz w:val="24"/>
              </w:rPr>
              <w:t>本项目大气环境质量执行《环境空气质量标准》（GB3095-2012）及</w:t>
            </w:r>
            <w:r>
              <w:rPr>
                <w:rFonts w:hint="eastAsia" w:ascii="Times New Roman" w:hAnsi="Times New Roman" w:eastAsia="宋体"/>
                <w:bCs/>
                <w:color w:val="000000" w:themeColor="text1"/>
                <w:sz w:val="24"/>
              </w:rPr>
              <w:t>其2018年修改单二级标准</w:t>
            </w:r>
            <w:r>
              <w:rPr>
                <w:rFonts w:ascii="Times New Roman" w:hAnsi="Times New Roman" w:eastAsia="宋体"/>
                <w:color w:val="000000" w:themeColor="text1"/>
                <w:sz w:val="24"/>
              </w:rPr>
              <w:t>，相关标准值见下表。</w:t>
            </w:r>
          </w:p>
          <w:p>
            <w:pPr>
              <w:pStyle w:val="6"/>
              <w:keepNext/>
              <w:spacing w:line="440" w:lineRule="exact"/>
              <w:jc w:val="center"/>
              <w:rPr>
                <w:rFonts w:ascii="Times New Roman" w:hAnsi="Times New Roman" w:eastAsia="宋体" w:cs="Times New Roman"/>
                <w:b/>
                <w:bCs/>
                <w:color w:val="000000" w:themeColor="text1"/>
                <w:sz w:val="24"/>
                <w:szCs w:val="24"/>
              </w:rPr>
            </w:pPr>
            <w:bookmarkStart w:id="10" w:name="_Ref306978210"/>
            <w:r>
              <w:rPr>
                <w:rFonts w:ascii="Times New Roman" w:hAnsi="Times New Roman" w:eastAsia="宋体" w:cs="Times New Roman"/>
                <w:b/>
                <w:bCs/>
                <w:color w:val="000000" w:themeColor="text1"/>
                <w:sz w:val="24"/>
                <w:szCs w:val="24"/>
              </w:rPr>
              <w:t>表</w:t>
            </w:r>
            <w:bookmarkEnd w:id="10"/>
            <w:r>
              <w:rPr>
                <w:rFonts w:hint="eastAsia" w:ascii="Times New Roman" w:hAnsi="Times New Roman" w:eastAsia="宋体" w:cs="Times New Roman"/>
                <w:b/>
                <w:bCs/>
                <w:color w:val="000000" w:themeColor="text1"/>
                <w:sz w:val="24"/>
                <w:szCs w:val="24"/>
              </w:rPr>
              <w:t xml:space="preserve">23    </w:t>
            </w:r>
            <w:r>
              <w:rPr>
                <w:rFonts w:ascii="Times New Roman" w:hAnsi="Times New Roman" w:eastAsia="宋体" w:cs="Times New Roman"/>
                <w:b/>
                <w:bCs/>
                <w:color w:val="000000" w:themeColor="text1"/>
                <w:sz w:val="24"/>
                <w:szCs w:val="24"/>
              </w:rPr>
              <w:t>环境空气质量标准</w:t>
            </w:r>
            <w:r>
              <w:rPr>
                <w:rFonts w:hint="eastAsia" w:ascii="Times New Roman" w:hAnsi="Times New Roman" w:eastAsia="宋体" w:cs="Times New Roman"/>
                <w:b/>
                <w:bCs/>
                <w:color w:val="000000" w:themeColor="text1"/>
                <w:sz w:val="24"/>
                <w:szCs w:val="24"/>
              </w:rPr>
              <w:t xml:space="preserve">    </w:t>
            </w:r>
            <w:r>
              <w:rPr>
                <w:rFonts w:ascii="Times New Roman" w:hAnsi="Times New Roman" w:eastAsia="宋体" w:cs="Times New Roman"/>
                <w:b/>
                <w:bCs/>
                <w:color w:val="000000" w:themeColor="text1"/>
                <w:sz w:val="24"/>
                <w:szCs w:val="24"/>
              </w:rPr>
              <w:t>单位：μg /m</w:t>
            </w:r>
            <w:r>
              <w:rPr>
                <w:rFonts w:ascii="Times New Roman" w:hAnsi="Times New Roman" w:eastAsia="宋体" w:cs="Times New Roman"/>
                <w:b/>
                <w:bCs/>
                <w:color w:val="000000" w:themeColor="text1"/>
                <w:sz w:val="24"/>
                <w:szCs w:val="24"/>
                <w:vertAlign w:val="superscript"/>
              </w:rPr>
              <w:t>3</w:t>
            </w:r>
          </w:p>
          <w:tbl>
            <w:tblPr>
              <w:tblStyle w:val="24"/>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68"/>
              <w:gridCol w:w="1932"/>
              <w:gridCol w:w="1517"/>
              <w:gridCol w:w="355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pct"/>
                  <w:tcBorders>
                    <w:top w:val="single" w:color="auto" w:sz="8" w:space="0"/>
                    <w:bottom w:val="single" w:color="auto" w:sz="8" w:space="0"/>
                  </w:tcBorders>
                  <w:vAlign w:val="center"/>
                </w:tcPr>
                <w:p>
                  <w:pPr>
                    <w:adjustRightInd w:val="0"/>
                    <w:snapToGrid w:val="0"/>
                    <w:jc w:val="center"/>
                    <w:textAlignment w:val="baseline"/>
                    <w:rPr>
                      <w:rFonts w:ascii="Times New Roman" w:hAnsi="Times New Roman" w:eastAsia="宋体"/>
                      <w:b/>
                      <w:bCs/>
                      <w:color w:val="000000" w:themeColor="text1"/>
                      <w:spacing w:val="-4"/>
                      <w:szCs w:val="21"/>
                    </w:rPr>
                  </w:pPr>
                  <w:r>
                    <w:rPr>
                      <w:rFonts w:ascii="Times New Roman" w:hAnsi="Times New Roman" w:eastAsia="宋体"/>
                      <w:b/>
                      <w:bCs/>
                      <w:color w:val="000000" w:themeColor="text1"/>
                      <w:spacing w:val="-4"/>
                      <w:szCs w:val="21"/>
                    </w:rPr>
                    <w:t>污染物名称</w:t>
                  </w:r>
                </w:p>
              </w:tc>
              <w:tc>
                <w:tcPr>
                  <w:tcW w:w="1127" w:type="pct"/>
                  <w:tcBorders>
                    <w:top w:val="single" w:color="auto" w:sz="8" w:space="0"/>
                    <w:bottom w:val="single" w:color="auto" w:sz="8" w:space="0"/>
                  </w:tcBorders>
                  <w:vAlign w:val="center"/>
                </w:tcPr>
                <w:p>
                  <w:pPr>
                    <w:adjustRightInd w:val="0"/>
                    <w:snapToGrid w:val="0"/>
                    <w:jc w:val="center"/>
                    <w:textAlignment w:val="baseline"/>
                    <w:rPr>
                      <w:rFonts w:ascii="Times New Roman" w:hAnsi="Times New Roman" w:eastAsia="宋体"/>
                      <w:b/>
                      <w:bCs/>
                      <w:color w:val="000000" w:themeColor="text1"/>
                      <w:spacing w:val="-4"/>
                      <w:szCs w:val="21"/>
                    </w:rPr>
                  </w:pPr>
                  <w:r>
                    <w:rPr>
                      <w:rFonts w:ascii="Times New Roman" w:hAnsi="Times New Roman" w:eastAsia="宋体"/>
                      <w:b/>
                      <w:bCs/>
                      <w:color w:val="000000" w:themeColor="text1"/>
                      <w:spacing w:val="-4"/>
                      <w:szCs w:val="21"/>
                    </w:rPr>
                    <w:t>取值时间</w:t>
                  </w:r>
                </w:p>
              </w:tc>
              <w:tc>
                <w:tcPr>
                  <w:tcW w:w="885" w:type="pct"/>
                  <w:tcBorders>
                    <w:top w:val="single" w:color="auto" w:sz="8" w:space="0"/>
                    <w:bottom w:val="single" w:color="auto" w:sz="8" w:space="0"/>
                  </w:tcBorders>
                  <w:vAlign w:val="center"/>
                </w:tcPr>
                <w:p>
                  <w:pPr>
                    <w:adjustRightInd w:val="0"/>
                    <w:snapToGrid w:val="0"/>
                    <w:jc w:val="center"/>
                    <w:textAlignment w:val="baseline"/>
                    <w:rPr>
                      <w:rFonts w:ascii="Times New Roman" w:hAnsi="Times New Roman" w:eastAsia="宋体"/>
                      <w:b/>
                      <w:bCs/>
                      <w:color w:val="000000" w:themeColor="text1"/>
                      <w:spacing w:val="-4"/>
                      <w:szCs w:val="21"/>
                    </w:rPr>
                  </w:pPr>
                  <w:r>
                    <w:rPr>
                      <w:rFonts w:ascii="Times New Roman" w:hAnsi="Times New Roman" w:eastAsia="宋体"/>
                      <w:b/>
                      <w:bCs/>
                      <w:color w:val="000000" w:themeColor="text1"/>
                      <w:spacing w:val="-4"/>
                      <w:szCs w:val="21"/>
                    </w:rPr>
                    <w:t>浓度限值</w:t>
                  </w:r>
                </w:p>
              </w:tc>
              <w:tc>
                <w:tcPr>
                  <w:tcW w:w="2073" w:type="pct"/>
                  <w:tcBorders>
                    <w:top w:val="single" w:color="auto" w:sz="8" w:space="0"/>
                    <w:bottom w:val="single" w:color="auto" w:sz="8" w:space="0"/>
                  </w:tcBorders>
                  <w:vAlign w:val="center"/>
                </w:tcPr>
                <w:p>
                  <w:pPr>
                    <w:adjustRightInd w:val="0"/>
                    <w:snapToGrid w:val="0"/>
                    <w:jc w:val="center"/>
                    <w:textAlignment w:val="baseline"/>
                    <w:rPr>
                      <w:rFonts w:ascii="Times New Roman" w:hAnsi="Times New Roman" w:eastAsia="宋体"/>
                      <w:b/>
                      <w:bCs/>
                      <w:color w:val="000000" w:themeColor="text1"/>
                      <w:spacing w:val="-4"/>
                      <w:szCs w:val="21"/>
                    </w:rPr>
                  </w:pPr>
                  <w:r>
                    <w:rPr>
                      <w:rFonts w:ascii="Times New Roman" w:hAnsi="Times New Roman" w:eastAsia="宋体"/>
                      <w:b/>
                      <w:bCs/>
                      <w:color w:val="000000" w:themeColor="text1"/>
                      <w:spacing w:val="-4"/>
                      <w:szCs w:val="21"/>
                    </w:rPr>
                    <w:t>标准来源</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pct"/>
                  <w:vMerge w:val="restart"/>
                  <w:tcBorders>
                    <w:top w:val="single" w:color="auto" w:sz="8" w:space="0"/>
                  </w:tcBorders>
                  <w:vAlign w:val="center"/>
                </w:tcPr>
                <w:p>
                  <w:pPr>
                    <w:adjustRightInd w:val="0"/>
                    <w:snapToGrid w:val="0"/>
                    <w:jc w:val="center"/>
                    <w:textAlignment w:val="baseline"/>
                    <w:rPr>
                      <w:rFonts w:ascii="Times New Roman" w:hAnsi="Times New Roman" w:eastAsia="宋体"/>
                      <w:color w:val="000000" w:themeColor="text1"/>
                      <w:spacing w:val="-4"/>
                      <w:szCs w:val="21"/>
                    </w:rPr>
                  </w:pPr>
                  <w:r>
                    <w:rPr>
                      <w:rFonts w:ascii="Times New Roman" w:hAnsi="Times New Roman" w:eastAsia="宋体"/>
                      <w:color w:val="000000" w:themeColor="text1"/>
                      <w:spacing w:val="-4"/>
                      <w:szCs w:val="21"/>
                    </w:rPr>
                    <w:t>SO</w:t>
                  </w:r>
                  <w:r>
                    <w:rPr>
                      <w:rFonts w:ascii="Times New Roman" w:hAnsi="Times New Roman" w:eastAsia="宋体"/>
                      <w:color w:val="000000" w:themeColor="text1"/>
                      <w:spacing w:val="-4"/>
                      <w:szCs w:val="21"/>
                      <w:vertAlign w:val="subscript"/>
                    </w:rPr>
                    <w:t>2</w:t>
                  </w:r>
                </w:p>
              </w:tc>
              <w:tc>
                <w:tcPr>
                  <w:tcW w:w="1127" w:type="pct"/>
                  <w:tcBorders>
                    <w:top w:val="single" w:color="auto" w:sz="8" w:space="0"/>
                  </w:tcBorders>
                  <w:vAlign w:val="center"/>
                </w:tcPr>
                <w:p>
                  <w:pPr>
                    <w:adjustRightInd w:val="0"/>
                    <w:snapToGrid w:val="0"/>
                    <w:jc w:val="center"/>
                    <w:textAlignment w:val="baseline"/>
                    <w:rPr>
                      <w:rFonts w:ascii="Times New Roman" w:hAnsi="Times New Roman" w:eastAsia="宋体"/>
                      <w:color w:val="000000" w:themeColor="text1"/>
                      <w:spacing w:val="-4"/>
                      <w:szCs w:val="21"/>
                    </w:rPr>
                  </w:pPr>
                  <w:r>
                    <w:rPr>
                      <w:rFonts w:ascii="Times New Roman" w:hAnsi="Times New Roman" w:eastAsia="宋体"/>
                      <w:color w:val="000000" w:themeColor="text1"/>
                      <w:spacing w:val="-4"/>
                      <w:szCs w:val="21"/>
                    </w:rPr>
                    <w:t>年平均</w:t>
                  </w:r>
                </w:p>
              </w:tc>
              <w:tc>
                <w:tcPr>
                  <w:tcW w:w="885" w:type="pct"/>
                  <w:tcBorders>
                    <w:top w:val="single" w:color="auto" w:sz="8" w:space="0"/>
                  </w:tcBorders>
                  <w:vAlign w:val="center"/>
                </w:tcPr>
                <w:p>
                  <w:pPr>
                    <w:adjustRightInd w:val="0"/>
                    <w:snapToGrid w:val="0"/>
                    <w:jc w:val="center"/>
                    <w:textAlignment w:val="baseline"/>
                    <w:rPr>
                      <w:rFonts w:ascii="Times New Roman" w:hAnsi="Times New Roman" w:eastAsia="宋体"/>
                      <w:color w:val="000000" w:themeColor="text1"/>
                      <w:spacing w:val="-4"/>
                      <w:szCs w:val="21"/>
                    </w:rPr>
                  </w:pPr>
                  <w:r>
                    <w:rPr>
                      <w:rFonts w:ascii="Times New Roman" w:hAnsi="Times New Roman" w:eastAsia="宋体"/>
                      <w:color w:val="000000" w:themeColor="text1"/>
                      <w:spacing w:val="-4"/>
                      <w:szCs w:val="21"/>
                    </w:rPr>
                    <w:t>60</w:t>
                  </w:r>
                </w:p>
              </w:tc>
              <w:tc>
                <w:tcPr>
                  <w:tcW w:w="2073" w:type="pct"/>
                  <w:vMerge w:val="restart"/>
                  <w:tcBorders>
                    <w:top w:val="single" w:color="auto" w:sz="8" w:space="0"/>
                  </w:tcBorders>
                  <w:vAlign w:val="center"/>
                </w:tcPr>
                <w:p>
                  <w:pPr>
                    <w:adjustRightInd w:val="0"/>
                    <w:snapToGrid w:val="0"/>
                    <w:jc w:val="center"/>
                    <w:textAlignment w:val="baseline"/>
                    <w:rPr>
                      <w:rFonts w:ascii="Times New Roman" w:hAnsi="Times New Roman" w:eastAsia="宋体"/>
                      <w:color w:val="000000" w:themeColor="text1"/>
                      <w:spacing w:val="-4"/>
                      <w:szCs w:val="21"/>
                    </w:rPr>
                  </w:pPr>
                  <w:r>
                    <w:rPr>
                      <w:rFonts w:ascii="Times New Roman" w:hAnsi="Times New Roman" w:eastAsia="宋体"/>
                      <w:color w:val="000000" w:themeColor="text1"/>
                      <w:spacing w:val="-4"/>
                      <w:szCs w:val="21"/>
                    </w:rPr>
                    <w:t>《环境空气质量标准》（GB3095-2012）及201</w:t>
                  </w:r>
                  <w:r>
                    <w:rPr>
                      <w:rFonts w:hint="eastAsia" w:ascii="Times New Roman" w:hAnsi="Times New Roman" w:eastAsia="宋体"/>
                      <w:color w:val="000000" w:themeColor="text1"/>
                      <w:spacing w:val="-4"/>
                      <w:szCs w:val="21"/>
                    </w:rPr>
                    <w:t>8</w:t>
                  </w:r>
                  <w:r>
                    <w:rPr>
                      <w:rFonts w:ascii="Times New Roman" w:hAnsi="Times New Roman" w:eastAsia="宋体"/>
                      <w:color w:val="000000" w:themeColor="text1"/>
                      <w:spacing w:val="-4"/>
                      <w:szCs w:val="21"/>
                    </w:rPr>
                    <w:t>年修改单二级标准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pct"/>
                  <w:vMerge w:val="continue"/>
                  <w:vAlign w:val="center"/>
                </w:tcPr>
                <w:p>
                  <w:pPr>
                    <w:widowControl/>
                    <w:snapToGrid w:val="0"/>
                    <w:jc w:val="left"/>
                    <w:rPr>
                      <w:rFonts w:ascii="Times New Roman" w:hAnsi="Times New Roman" w:eastAsia="宋体"/>
                      <w:color w:val="000000" w:themeColor="text1"/>
                      <w:spacing w:val="-4"/>
                      <w:szCs w:val="21"/>
                    </w:rPr>
                  </w:pPr>
                </w:p>
              </w:tc>
              <w:tc>
                <w:tcPr>
                  <w:tcW w:w="1127" w:type="pct"/>
                  <w:vAlign w:val="center"/>
                </w:tcPr>
                <w:p>
                  <w:pPr>
                    <w:adjustRightInd w:val="0"/>
                    <w:snapToGrid w:val="0"/>
                    <w:jc w:val="center"/>
                    <w:textAlignment w:val="baseline"/>
                    <w:rPr>
                      <w:rFonts w:ascii="Times New Roman" w:hAnsi="Times New Roman" w:eastAsia="宋体"/>
                      <w:color w:val="000000" w:themeColor="text1"/>
                      <w:spacing w:val="-4"/>
                      <w:szCs w:val="21"/>
                    </w:rPr>
                  </w:pPr>
                  <w:r>
                    <w:rPr>
                      <w:rFonts w:ascii="Times New Roman" w:hAnsi="Times New Roman" w:eastAsia="宋体"/>
                      <w:color w:val="000000" w:themeColor="text1"/>
                      <w:spacing w:val="-4"/>
                      <w:szCs w:val="21"/>
                    </w:rPr>
                    <w:t>日平均</w:t>
                  </w:r>
                </w:p>
              </w:tc>
              <w:tc>
                <w:tcPr>
                  <w:tcW w:w="885" w:type="pct"/>
                  <w:vAlign w:val="center"/>
                </w:tcPr>
                <w:p>
                  <w:pPr>
                    <w:adjustRightInd w:val="0"/>
                    <w:snapToGrid w:val="0"/>
                    <w:jc w:val="center"/>
                    <w:textAlignment w:val="baseline"/>
                    <w:rPr>
                      <w:rFonts w:ascii="Times New Roman" w:hAnsi="Times New Roman" w:eastAsia="宋体"/>
                      <w:color w:val="000000" w:themeColor="text1"/>
                      <w:spacing w:val="-4"/>
                      <w:szCs w:val="21"/>
                    </w:rPr>
                  </w:pPr>
                  <w:r>
                    <w:rPr>
                      <w:rFonts w:ascii="Times New Roman" w:hAnsi="Times New Roman" w:eastAsia="宋体"/>
                      <w:color w:val="000000" w:themeColor="text1"/>
                      <w:spacing w:val="-4"/>
                      <w:szCs w:val="21"/>
                    </w:rPr>
                    <w:t>150</w:t>
                  </w:r>
                </w:p>
              </w:tc>
              <w:tc>
                <w:tcPr>
                  <w:tcW w:w="2073" w:type="pct"/>
                  <w:vMerge w:val="continue"/>
                  <w:vAlign w:val="center"/>
                </w:tcPr>
                <w:p>
                  <w:pPr>
                    <w:widowControl/>
                    <w:snapToGrid w:val="0"/>
                    <w:jc w:val="left"/>
                    <w:rPr>
                      <w:rFonts w:ascii="Times New Roman" w:hAnsi="Times New Roman" w:eastAsia="宋体"/>
                      <w:color w:val="000000" w:themeColor="text1"/>
                      <w:spacing w:val="-4"/>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pct"/>
                  <w:vMerge w:val="continue"/>
                  <w:vAlign w:val="center"/>
                </w:tcPr>
                <w:p>
                  <w:pPr>
                    <w:widowControl/>
                    <w:snapToGrid w:val="0"/>
                    <w:jc w:val="left"/>
                    <w:rPr>
                      <w:rFonts w:ascii="Times New Roman" w:hAnsi="Times New Roman" w:eastAsia="宋体"/>
                      <w:color w:val="000000" w:themeColor="text1"/>
                      <w:spacing w:val="-4"/>
                      <w:szCs w:val="21"/>
                    </w:rPr>
                  </w:pPr>
                </w:p>
              </w:tc>
              <w:tc>
                <w:tcPr>
                  <w:tcW w:w="1127" w:type="pct"/>
                  <w:vAlign w:val="center"/>
                </w:tcPr>
                <w:p>
                  <w:pPr>
                    <w:adjustRightInd w:val="0"/>
                    <w:snapToGrid w:val="0"/>
                    <w:jc w:val="center"/>
                    <w:textAlignment w:val="baseline"/>
                    <w:rPr>
                      <w:rFonts w:ascii="Times New Roman" w:hAnsi="Times New Roman" w:eastAsia="宋体"/>
                      <w:color w:val="000000" w:themeColor="text1"/>
                      <w:spacing w:val="-4"/>
                      <w:szCs w:val="21"/>
                    </w:rPr>
                  </w:pPr>
                  <w:r>
                    <w:rPr>
                      <w:rFonts w:ascii="Times New Roman" w:hAnsi="Times New Roman" w:eastAsia="宋体"/>
                      <w:color w:val="000000" w:themeColor="text1"/>
                      <w:spacing w:val="-4"/>
                      <w:szCs w:val="21"/>
                    </w:rPr>
                    <w:t>1h平均</w:t>
                  </w:r>
                </w:p>
              </w:tc>
              <w:tc>
                <w:tcPr>
                  <w:tcW w:w="885" w:type="pct"/>
                  <w:vAlign w:val="center"/>
                </w:tcPr>
                <w:p>
                  <w:pPr>
                    <w:adjustRightInd w:val="0"/>
                    <w:snapToGrid w:val="0"/>
                    <w:jc w:val="center"/>
                    <w:textAlignment w:val="baseline"/>
                    <w:rPr>
                      <w:rFonts w:ascii="Times New Roman" w:hAnsi="Times New Roman" w:eastAsia="宋体"/>
                      <w:color w:val="000000" w:themeColor="text1"/>
                      <w:spacing w:val="-4"/>
                      <w:szCs w:val="21"/>
                    </w:rPr>
                  </w:pPr>
                  <w:r>
                    <w:rPr>
                      <w:rFonts w:ascii="Times New Roman" w:hAnsi="Times New Roman" w:eastAsia="宋体"/>
                      <w:color w:val="000000" w:themeColor="text1"/>
                      <w:spacing w:val="-4"/>
                      <w:szCs w:val="21"/>
                    </w:rPr>
                    <w:t>500</w:t>
                  </w:r>
                </w:p>
              </w:tc>
              <w:tc>
                <w:tcPr>
                  <w:tcW w:w="2073" w:type="pct"/>
                  <w:vMerge w:val="continue"/>
                  <w:vAlign w:val="center"/>
                </w:tcPr>
                <w:p>
                  <w:pPr>
                    <w:widowControl/>
                    <w:snapToGrid w:val="0"/>
                    <w:jc w:val="left"/>
                    <w:rPr>
                      <w:rFonts w:ascii="Times New Roman" w:hAnsi="Times New Roman" w:eastAsia="宋体"/>
                      <w:color w:val="000000" w:themeColor="text1"/>
                      <w:spacing w:val="-4"/>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pct"/>
                  <w:vMerge w:val="restart"/>
                  <w:vAlign w:val="center"/>
                </w:tcPr>
                <w:p>
                  <w:pPr>
                    <w:adjustRightInd w:val="0"/>
                    <w:snapToGrid w:val="0"/>
                    <w:jc w:val="center"/>
                    <w:textAlignment w:val="baseline"/>
                    <w:rPr>
                      <w:rFonts w:ascii="Times New Roman" w:hAnsi="Times New Roman" w:eastAsia="宋体"/>
                      <w:color w:val="000000" w:themeColor="text1"/>
                      <w:spacing w:val="-4"/>
                      <w:szCs w:val="21"/>
                    </w:rPr>
                  </w:pPr>
                  <w:r>
                    <w:rPr>
                      <w:rFonts w:ascii="Times New Roman" w:hAnsi="Times New Roman" w:eastAsia="宋体"/>
                      <w:color w:val="000000" w:themeColor="text1"/>
                      <w:spacing w:val="-4"/>
                      <w:szCs w:val="21"/>
                    </w:rPr>
                    <w:t>NO</w:t>
                  </w:r>
                  <w:r>
                    <w:rPr>
                      <w:rFonts w:ascii="Times New Roman" w:hAnsi="Times New Roman" w:eastAsia="宋体"/>
                      <w:color w:val="000000" w:themeColor="text1"/>
                      <w:spacing w:val="-4"/>
                      <w:szCs w:val="21"/>
                      <w:vertAlign w:val="subscript"/>
                    </w:rPr>
                    <w:t>2</w:t>
                  </w:r>
                </w:p>
              </w:tc>
              <w:tc>
                <w:tcPr>
                  <w:tcW w:w="1127" w:type="pct"/>
                  <w:vAlign w:val="center"/>
                </w:tcPr>
                <w:p>
                  <w:pPr>
                    <w:adjustRightInd w:val="0"/>
                    <w:snapToGrid w:val="0"/>
                    <w:jc w:val="center"/>
                    <w:textAlignment w:val="baseline"/>
                    <w:rPr>
                      <w:rFonts w:ascii="Times New Roman" w:hAnsi="Times New Roman" w:eastAsia="宋体"/>
                      <w:color w:val="000000" w:themeColor="text1"/>
                      <w:spacing w:val="-4"/>
                      <w:szCs w:val="21"/>
                    </w:rPr>
                  </w:pPr>
                  <w:r>
                    <w:rPr>
                      <w:rFonts w:ascii="Times New Roman" w:hAnsi="Times New Roman" w:eastAsia="宋体"/>
                      <w:color w:val="000000" w:themeColor="text1"/>
                      <w:spacing w:val="-4"/>
                      <w:szCs w:val="21"/>
                    </w:rPr>
                    <w:t>年平均</w:t>
                  </w:r>
                </w:p>
              </w:tc>
              <w:tc>
                <w:tcPr>
                  <w:tcW w:w="885" w:type="pct"/>
                  <w:vAlign w:val="center"/>
                </w:tcPr>
                <w:p>
                  <w:pPr>
                    <w:adjustRightInd w:val="0"/>
                    <w:snapToGrid w:val="0"/>
                    <w:jc w:val="center"/>
                    <w:textAlignment w:val="baseline"/>
                    <w:rPr>
                      <w:rFonts w:ascii="Times New Roman" w:hAnsi="Times New Roman" w:eastAsia="宋体"/>
                      <w:color w:val="000000" w:themeColor="text1"/>
                      <w:spacing w:val="-4"/>
                      <w:szCs w:val="21"/>
                    </w:rPr>
                  </w:pPr>
                  <w:r>
                    <w:rPr>
                      <w:rFonts w:ascii="Times New Roman" w:hAnsi="Times New Roman" w:eastAsia="宋体"/>
                      <w:color w:val="000000" w:themeColor="text1"/>
                      <w:spacing w:val="-4"/>
                      <w:szCs w:val="21"/>
                    </w:rPr>
                    <w:t>40</w:t>
                  </w:r>
                </w:p>
              </w:tc>
              <w:tc>
                <w:tcPr>
                  <w:tcW w:w="2073" w:type="pct"/>
                  <w:vMerge w:val="continue"/>
                  <w:vAlign w:val="center"/>
                </w:tcPr>
                <w:p>
                  <w:pPr>
                    <w:widowControl/>
                    <w:snapToGrid w:val="0"/>
                    <w:jc w:val="left"/>
                    <w:rPr>
                      <w:rFonts w:ascii="Times New Roman" w:hAnsi="Times New Roman" w:eastAsia="宋体"/>
                      <w:color w:val="000000" w:themeColor="text1"/>
                      <w:spacing w:val="-4"/>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pct"/>
                  <w:vMerge w:val="continue"/>
                  <w:vAlign w:val="center"/>
                </w:tcPr>
                <w:p>
                  <w:pPr>
                    <w:widowControl/>
                    <w:snapToGrid w:val="0"/>
                    <w:jc w:val="left"/>
                    <w:rPr>
                      <w:rFonts w:ascii="Times New Roman" w:hAnsi="Times New Roman" w:eastAsia="宋体"/>
                      <w:color w:val="000000" w:themeColor="text1"/>
                      <w:spacing w:val="-4"/>
                      <w:szCs w:val="21"/>
                    </w:rPr>
                  </w:pPr>
                </w:p>
              </w:tc>
              <w:tc>
                <w:tcPr>
                  <w:tcW w:w="1127" w:type="pct"/>
                  <w:vAlign w:val="center"/>
                </w:tcPr>
                <w:p>
                  <w:pPr>
                    <w:adjustRightInd w:val="0"/>
                    <w:snapToGrid w:val="0"/>
                    <w:jc w:val="center"/>
                    <w:textAlignment w:val="baseline"/>
                    <w:rPr>
                      <w:rFonts w:ascii="Times New Roman" w:hAnsi="Times New Roman" w:eastAsia="宋体"/>
                      <w:color w:val="000000" w:themeColor="text1"/>
                      <w:spacing w:val="-4"/>
                      <w:szCs w:val="21"/>
                    </w:rPr>
                  </w:pPr>
                  <w:r>
                    <w:rPr>
                      <w:rFonts w:ascii="Times New Roman" w:hAnsi="Times New Roman" w:eastAsia="宋体"/>
                      <w:color w:val="000000" w:themeColor="text1"/>
                      <w:spacing w:val="-4"/>
                      <w:szCs w:val="21"/>
                    </w:rPr>
                    <w:t>日平均</w:t>
                  </w:r>
                </w:p>
              </w:tc>
              <w:tc>
                <w:tcPr>
                  <w:tcW w:w="885" w:type="pct"/>
                  <w:vAlign w:val="center"/>
                </w:tcPr>
                <w:p>
                  <w:pPr>
                    <w:adjustRightInd w:val="0"/>
                    <w:snapToGrid w:val="0"/>
                    <w:jc w:val="center"/>
                    <w:textAlignment w:val="baseline"/>
                    <w:rPr>
                      <w:rFonts w:ascii="Times New Roman" w:hAnsi="Times New Roman" w:eastAsia="宋体"/>
                      <w:color w:val="000000" w:themeColor="text1"/>
                      <w:spacing w:val="-4"/>
                      <w:szCs w:val="21"/>
                    </w:rPr>
                  </w:pPr>
                  <w:r>
                    <w:rPr>
                      <w:rFonts w:ascii="Times New Roman" w:hAnsi="Times New Roman" w:eastAsia="宋体"/>
                      <w:color w:val="000000" w:themeColor="text1"/>
                      <w:spacing w:val="-4"/>
                      <w:szCs w:val="21"/>
                    </w:rPr>
                    <w:t>80</w:t>
                  </w:r>
                </w:p>
              </w:tc>
              <w:tc>
                <w:tcPr>
                  <w:tcW w:w="2073" w:type="pct"/>
                  <w:vMerge w:val="continue"/>
                  <w:vAlign w:val="center"/>
                </w:tcPr>
                <w:p>
                  <w:pPr>
                    <w:widowControl/>
                    <w:snapToGrid w:val="0"/>
                    <w:jc w:val="left"/>
                    <w:rPr>
                      <w:rFonts w:ascii="Times New Roman" w:hAnsi="Times New Roman" w:eastAsia="宋体"/>
                      <w:color w:val="000000" w:themeColor="text1"/>
                      <w:spacing w:val="-4"/>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pct"/>
                  <w:vMerge w:val="continue"/>
                  <w:vAlign w:val="center"/>
                </w:tcPr>
                <w:p>
                  <w:pPr>
                    <w:widowControl/>
                    <w:snapToGrid w:val="0"/>
                    <w:jc w:val="left"/>
                    <w:rPr>
                      <w:rFonts w:ascii="Times New Roman" w:hAnsi="Times New Roman" w:eastAsia="宋体"/>
                      <w:color w:val="000000" w:themeColor="text1"/>
                      <w:spacing w:val="-4"/>
                      <w:szCs w:val="21"/>
                    </w:rPr>
                  </w:pPr>
                </w:p>
              </w:tc>
              <w:tc>
                <w:tcPr>
                  <w:tcW w:w="1127" w:type="pct"/>
                  <w:vAlign w:val="center"/>
                </w:tcPr>
                <w:p>
                  <w:pPr>
                    <w:adjustRightInd w:val="0"/>
                    <w:snapToGrid w:val="0"/>
                    <w:jc w:val="center"/>
                    <w:textAlignment w:val="baseline"/>
                    <w:rPr>
                      <w:rFonts w:ascii="Times New Roman" w:hAnsi="Times New Roman" w:eastAsia="宋体"/>
                      <w:color w:val="000000" w:themeColor="text1"/>
                      <w:spacing w:val="-4"/>
                      <w:szCs w:val="21"/>
                    </w:rPr>
                  </w:pPr>
                  <w:r>
                    <w:rPr>
                      <w:rFonts w:ascii="Times New Roman" w:hAnsi="Times New Roman" w:eastAsia="宋体"/>
                      <w:color w:val="000000" w:themeColor="text1"/>
                      <w:spacing w:val="-4"/>
                      <w:szCs w:val="21"/>
                    </w:rPr>
                    <w:t>1h平均</w:t>
                  </w:r>
                </w:p>
              </w:tc>
              <w:tc>
                <w:tcPr>
                  <w:tcW w:w="885" w:type="pct"/>
                  <w:vAlign w:val="center"/>
                </w:tcPr>
                <w:p>
                  <w:pPr>
                    <w:adjustRightInd w:val="0"/>
                    <w:snapToGrid w:val="0"/>
                    <w:jc w:val="center"/>
                    <w:textAlignment w:val="baseline"/>
                    <w:rPr>
                      <w:rFonts w:ascii="Times New Roman" w:hAnsi="Times New Roman" w:eastAsia="宋体"/>
                      <w:color w:val="000000" w:themeColor="text1"/>
                      <w:spacing w:val="-4"/>
                      <w:szCs w:val="21"/>
                    </w:rPr>
                  </w:pPr>
                  <w:r>
                    <w:rPr>
                      <w:rFonts w:ascii="Times New Roman" w:hAnsi="Times New Roman" w:eastAsia="宋体"/>
                      <w:color w:val="000000" w:themeColor="text1"/>
                      <w:spacing w:val="-4"/>
                      <w:szCs w:val="21"/>
                    </w:rPr>
                    <w:t>200</w:t>
                  </w:r>
                </w:p>
              </w:tc>
              <w:tc>
                <w:tcPr>
                  <w:tcW w:w="2073" w:type="pct"/>
                  <w:vMerge w:val="continue"/>
                  <w:vAlign w:val="center"/>
                </w:tcPr>
                <w:p>
                  <w:pPr>
                    <w:widowControl/>
                    <w:snapToGrid w:val="0"/>
                    <w:jc w:val="left"/>
                    <w:rPr>
                      <w:rFonts w:ascii="Times New Roman" w:hAnsi="Times New Roman" w:eastAsia="宋体"/>
                      <w:color w:val="000000" w:themeColor="text1"/>
                      <w:spacing w:val="-4"/>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pct"/>
                  <w:vMerge w:val="restart"/>
                  <w:vAlign w:val="center"/>
                </w:tcPr>
                <w:p>
                  <w:pPr>
                    <w:adjustRightInd w:val="0"/>
                    <w:snapToGrid w:val="0"/>
                    <w:jc w:val="center"/>
                    <w:textAlignment w:val="baseline"/>
                    <w:rPr>
                      <w:rFonts w:ascii="Times New Roman" w:hAnsi="Times New Roman" w:eastAsia="宋体"/>
                      <w:color w:val="000000" w:themeColor="text1"/>
                      <w:spacing w:val="-4"/>
                      <w:szCs w:val="21"/>
                    </w:rPr>
                  </w:pPr>
                  <w:r>
                    <w:rPr>
                      <w:rFonts w:ascii="Times New Roman" w:hAnsi="Times New Roman" w:eastAsia="宋体"/>
                      <w:color w:val="000000" w:themeColor="text1"/>
                      <w:spacing w:val="-4"/>
                      <w:szCs w:val="21"/>
                    </w:rPr>
                    <w:t>TSP</w:t>
                  </w:r>
                </w:p>
              </w:tc>
              <w:tc>
                <w:tcPr>
                  <w:tcW w:w="1127" w:type="pct"/>
                  <w:vAlign w:val="center"/>
                </w:tcPr>
                <w:p>
                  <w:pPr>
                    <w:adjustRightInd w:val="0"/>
                    <w:snapToGrid w:val="0"/>
                    <w:jc w:val="center"/>
                    <w:textAlignment w:val="baseline"/>
                    <w:rPr>
                      <w:rFonts w:ascii="Times New Roman" w:hAnsi="Times New Roman" w:eastAsia="宋体"/>
                      <w:color w:val="000000" w:themeColor="text1"/>
                      <w:spacing w:val="-4"/>
                      <w:szCs w:val="21"/>
                    </w:rPr>
                  </w:pPr>
                  <w:r>
                    <w:rPr>
                      <w:rFonts w:ascii="Times New Roman" w:hAnsi="Times New Roman" w:eastAsia="宋体"/>
                      <w:color w:val="000000" w:themeColor="text1"/>
                      <w:spacing w:val="-4"/>
                      <w:szCs w:val="21"/>
                    </w:rPr>
                    <w:t>年平均</w:t>
                  </w:r>
                </w:p>
              </w:tc>
              <w:tc>
                <w:tcPr>
                  <w:tcW w:w="885" w:type="pct"/>
                  <w:vAlign w:val="center"/>
                </w:tcPr>
                <w:p>
                  <w:pPr>
                    <w:adjustRightInd w:val="0"/>
                    <w:snapToGrid w:val="0"/>
                    <w:jc w:val="center"/>
                    <w:textAlignment w:val="baseline"/>
                    <w:rPr>
                      <w:rFonts w:ascii="Times New Roman" w:hAnsi="Times New Roman" w:eastAsia="宋体"/>
                      <w:color w:val="000000" w:themeColor="text1"/>
                      <w:spacing w:val="-4"/>
                      <w:szCs w:val="21"/>
                    </w:rPr>
                  </w:pPr>
                  <w:r>
                    <w:rPr>
                      <w:rFonts w:ascii="Times New Roman" w:hAnsi="Times New Roman" w:eastAsia="宋体"/>
                      <w:color w:val="000000" w:themeColor="text1"/>
                      <w:spacing w:val="-4"/>
                      <w:szCs w:val="21"/>
                    </w:rPr>
                    <w:t>200</w:t>
                  </w:r>
                </w:p>
              </w:tc>
              <w:tc>
                <w:tcPr>
                  <w:tcW w:w="2073" w:type="pct"/>
                  <w:vMerge w:val="continue"/>
                  <w:vAlign w:val="center"/>
                </w:tcPr>
                <w:p>
                  <w:pPr>
                    <w:widowControl/>
                    <w:snapToGrid w:val="0"/>
                    <w:jc w:val="left"/>
                    <w:rPr>
                      <w:rFonts w:ascii="Times New Roman" w:hAnsi="Times New Roman" w:eastAsia="宋体"/>
                      <w:color w:val="000000" w:themeColor="text1"/>
                      <w:spacing w:val="-4"/>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pct"/>
                  <w:vMerge w:val="continue"/>
                  <w:vAlign w:val="center"/>
                </w:tcPr>
                <w:p>
                  <w:pPr>
                    <w:widowControl/>
                    <w:snapToGrid w:val="0"/>
                    <w:jc w:val="left"/>
                    <w:rPr>
                      <w:rFonts w:ascii="Times New Roman" w:hAnsi="Times New Roman" w:eastAsia="宋体"/>
                      <w:color w:val="000000" w:themeColor="text1"/>
                      <w:spacing w:val="-4"/>
                      <w:szCs w:val="21"/>
                    </w:rPr>
                  </w:pPr>
                </w:p>
              </w:tc>
              <w:tc>
                <w:tcPr>
                  <w:tcW w:w="1127" w:type="pct"/>
                  <w:vAlign w:val="center"/>
                </w:tcPr>
                <w:p>
                  <w:pPr>
                    <w:adjustRightInd w:val="0"/>
                    <w:snapToGrid w:val="0"/>
                    <w:jc w:val="center"/>
                    <w:textAlignment w:val="baseline"/>
                    <w:rPr>
                      <w:rFonts w:ascii="Times New Roman" w:hAnsi="Times New Roman" w:eastAsia="宋体"/>
                      <w:color w:val="000000" w:themeColor="text1"/>
                      <w:spacing w:val="-4"/>
                      <w:szCs w:val="21"/>
                    </w:rPr>
                  </w:pPr>
                  <w:r>
                    <w:rPr>
                      <w:rFonts w:ascii="Times New Roman" w:hAnsi="Times New Roman" w:eastAsia="宋体"/>
                      <w:color w:val="000000" w:themeColor="text1"/>
                      <w:spacing w:val="-4"/>
                      <w:szCs w:val="21"/>
                    </w:rPr>
                    <w:t>日平均</w:t>
                  </w:r>
                </w:p>
              </w:tc>
              <w:tc>
                <w:tcPr>
                  <w:tcW w:w="885" w:type="pct"/>
                  <w:vAlign w:val="center"/>
                </w:tcPr>
                <w:p>
                  <w:pPr>
                    <w:adjustRightInd w:val="0"/>
                    <w:snapToGrid w:val="0"/>
                    <w:jc w:val="center"/>
                    <w:textAlignment w:val="baseline"/>
                    <w:rPr>
                      <w:rFonts w:ascii="Times New Roman" w:hAnsi="Times New Roman" w:eastAsia="宋体"/>
                      <w:color w:val="000000" w:themeColor="text1"/>
                      <w:spacing w:val="-4"/>
                      <w:szCs w:val="21"/>
                    </w:rPr>
                  </w:pPr>
                  <w:r>
                    <w:rPr>
                      <w:rFonts w:ascii="Times New Roman" w:hAnsi="Times New Roman" w:eastAsia="宋体"/>
                      <w:color w:val="000000" w:themeColor="text1"/>
                      <w:spacing w:val="-4"/>
                      <w:szCs w:val="21"/>
                    </w:rPr>
                    <w:t>300</w:t>
                  </w:r>
                </w:p>
              </w:tc>
              <w:tc>
                <w:tcPr>
                  <w:tcW w:w="2073" w:type="pct"/>
                  <w:vMerge w:val="continue"/>
                  <w:vAlign w:val="center"/>
                </w:tcPr>
                <w:p>
                  <w:pPr>
                    <w:widowControl/>
                    <w:snapToGrid w:val="0"/>
                    <w:jc w:val="left"/>
                    <w:rPr>
                      <w:rFonts w:ascii="Times New Roman" w:hAnsi="Times New Roman" w:eastAsia="宋体"/>
                      <w:color w:val="000000" w:themeColor="text1"/>
                      <w:spacing w:val="-4"/>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pct"/>
                  <w:vMerge w:val="restart"/>
                  <w:vAlign w:val="center"/>
                </w:tcPr>
                <w:p>
                  <w:pPr>
                    <w:adjustRightInd w:val="0"/>
                    <w:snapToGrid w:val="0"/>
                    <w:jc w:val="center"/>
                    <w:textAlignment w:val="baseline"/>
                    <w:rPr>
                      <w:rFonts w:ascii="Times New Roman" w:hAnsi="Times New Roman" w:eastAsia="宋体"/>
                      <w:color w:val="000000" w:themeColor="text1"/>
                      <w:spacing w:val="-4"/>
                      <w:szCs w:val="21"/>
                    </w:rPr>
                  </w:pPr>
                  <w:r>
                    <w:rPr>
                      <w:rFonts w:ascii="Times New Roman" w:hAnsi="Times New Roman" w:eastAsia="宋体"/>
                      <w:color w:val="000000" w:themeColor="text1"/>
                      <w:spacing w:val="-4"/>
                      <w:szCs w:val="21"/>
                    </w:rPr>
                    <w:t>PM</w:t>
                  </w:r>
                  <w:r>
                    <w:rPr>
                      <w:rFonts w:ascii="Times New Roman" w:hAnsi="Times New Roman" w:eastAsia="宋体"/>
                      <w:color w:val="000000" w:themeColor="text1"/>
                      <w:spacing w:val="-4"/>
                      <w:szCs w:val="21"/>
                      <w:vertAlign w:val="subscript"/>
                    </w:rPr>
                    <w:t>2.5</w:t>
                  </w:r>
                </w:p>
              </w:tc>
              <w:tc>
                <w:tcPr>
                  <w:tcW w:w="1127" w:type="pct"/>
                  <w:vAlign w:val="center"/>
                </w:tcPr>
                <w:p>
                  <w:pPr>
                    <w:adjustRightInd w:val="0"/>
                    <w:snapToGrid w:val="0"/>
                    <w:jc w:val="center"/>
                    <w:textAlignment w:val="baseline"/>
                    <w:rPr>
                      <w:rFonts w:ascii="Times New Roman" w:hAnsi="Times New Roman" w:eastAsia="宋体"/>
                      <w:color w:val="000000" w:themeColor="text1"/>
                      <w:spacing w:val="-4"/>
                      <w:szCs w:val="21"/>
                    </w:rPr>
                  </w:pPr>
                  <w:r>
                    <w:rPr>
                      <w:rFonts w:ascii="Times New Roman" w:hAnsi="Times New Roman" w:eastAsia="宋体"/>
                      <w:color w:val="000000" w:themeColor="text1"/>
                      <w:spacing w:val="-4"/>
                      <w:szCs w:val="21"/>
                    </w:rPr>
                    <w:t>年平均</w:t>
                  </w:r>
                </w:p>
              </w:tc>
              <w:tc>
                <w:tcPr>
                  <w:tcW w:w="885" w:type="pct"/>
                  <w:vAlign w:val="center"/>
                </w:tcPr>
                <w:p>
                  <w:pPr>
                    <w:adjustRightInd w:val="0"/>
                    <w:snapToGrid w:val="0"/>
                    <w:jc w:val="center"/>
                    <w:textAlignment w:val="baseline"/>
                    <w:rPr>
                      <w:rFonts w:ascii="Times New Roman" w:hAnsi="Times New Roman" w:eastAsia="宋体"/>
                      <w:color w:val="000000" w:themeColor="text1"/>
                      <w:spacing w:val="-4"/>
                      <w:szCs w:val="21"/>
                    </w:rPr>
                  </w:pPr>
                  <w:r>
                    <w:rPr>
                      <w:rFonts w:ascii="Times New Roman" w:hAnsi="Times New Roman" w:eastAsia="宋体"/>
                      <w:color w:val="000000" w:themeColor="text1"/>
                      <w:spacing w:val="-4"/>
                      <w:szCs w:val="21"/>
                    </w:rPr>
                    <w:t>35</w:t>
                  </w:r>
                </w:p>
              </w:tc>
              <w:tc>
                <w:tcPr>
                  <w:tcW w:w="2073" w:type="pct"/>
                  <w:vMerge w:val="continue"/>
                  <w:vAlign w:val="center"/>
                </w:tcPr>
                <w:p>
                  <w:pPr>
                    <w:widowControl/>
                    <w:snapToGrid w:val="0"/>
                    <w:jc w:val="left"/>
                    <w:rPr>
                      <w:rFonts w:ascii="Times New Roman" w:hAnsi="Times New Roman" w:eastAsia="宋体"/>
                      <w:color w:val="000000" w:themeColor="text1"/>
                      <w:spacing w:val="-4"/>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pct"/>
                  <w:vMerge w:val="continue"/>
                  <w:vAlign w:val="center"/>
                </w:tcPr>
                <w:p>
                  <w:pPr>
                    <w:adjustRightInd w:val="0"/>
                    <w:snapToGrid w:val="0"/>
                    <w:jc w:val="center"/>
                    <w:textAlignment w:val="baseline"/>
                    <w:rPr>
                      <w:rFonts w:ascii="Times New Roman" w:hAnsi="Times New Roman" w:eastAsia="宋体"/>
                      <w:color w:val="000000" w:themeColor="text1"/>
                      <w:spacing w:val="-4"/>
                      <w:szCs w:val="21"/>
                    </w:rPr>
                  </w:pPr>
                </w:p>
              </w:tc>
              <w:tc>
                <w:tcPr>
                  <w:tcW w:w="1127" w:type="pct"/>
                  <w:vAlign w:val="center"/>
                </w:tcPr>
                <w:p>
                  <w:pPr>
                    <w:adjustRightInd w:val="0"/>
                    <w:snapToGrid w:val="0"/>
                    <w:jc w:val="center"/>
                    <w:textAlignment w:val="baseline"/>
                    <w:rPr>
                      <w:rFonts w:ascii="Times New Roman" w:hAnsi="Times New Roman" w:eastAsia="宋体"/>
                      <w:color w:val="000000" w:themeColor="text1"/>
                      <w:spacing w:val="-4"/>
                      <w:szCs w:val="21"/>
                    </w:rPr>
                  </w:pPr>
                  <w:r>
                    <w:rPr>
                      <w:rFonts w:ascii="Times New Roman" w:hAnsi="Times New Roman" w:eastAsia="宋体"/>
                      <w:color w:val="000000" w:themeColor="text1"/>
                      <w:spacing w:val="-4"/>
                      <w:szCs w:val="21"/>
                    </w:rPr>
                    <w:t>日平均</w:t>
                  </w:r>
                </w:p>
              </w:tc>
              <w:tc>
                <w:tcPr>
                  <w:tcW w:w="885" w:type="pct"/>
                  <w:vAlign w:val="center"/>
                </w:tcPr>
                <w:p>
                  <w:pPr>
                    <w:adjustRightInd w:val="0"/>
                    <w:snapToGrid w:val="0"/>
                    <w:jc w:val="center"/>
                    <w:textAlignment w:val="baseline"/>
                    <w:rPr>
                      <w:rFonts w:ascii="Times New Roman" w:hAnsi="Times New Roman" w:eastAsia="宋体"/>
                      <w:color w:val="000000" w:themeColor="text1"/>
                      <w:spacing w:val="-4"/>
                      <w:szCs w:val="21"/>
                    </w:rPr>
                  </w:pPr>
                  <w:r>
                    <w:rPr>
                      <w:rFonts w:ascii="Times New Roman" w:hAnsi="Times New Roman" w:eastAsia="宋体"/>
                      <w:color w:val="000000" w:themeColor="text1"/>
                      <w:spacing w:val="-4"/>
                      <w:szCs w:val="21"/>
                    </w:rPr>
                    <w:t>75</w:t>
                  </w:r>
                </w:p>
              </w:tc>
              <w:tc>
                <w:tcPr>
                  <w:tcW w:w="2073" w:type="pct"/>
                  <w:vMerge w:val="continue"/>
                  <w:vAlign w:val="center"/>
                </w:tcPr>
                <w:p>
                  <w:pPr>
                    <w:widowControl/>
                    <w:snapToGrid w:val="0"/>
                    <w:jc w:val="left"/>
                    <w:rPr>
                      <w:rFonts w:ascii="Times New Roman" w:hAnsi="Times New Roman" w:eastAsia="宋体"/>
                      <w:color w:val="000000" w:themeColor="text1"/>
                      <w:spacing w:val="-4"/>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pct"/>
                  <w:vMerge w:val="restart"/>
                  <w:vAlign w:val="center"/>
                </w:tcPr>
                <w:p>
                  <w:pPr>
                    <w:adjustRightInd w:val="0"/>
                    <w:snapToGrid w:val="0"/>
                    <w:jc w:val="center"/>
                    <w:textAlignment w:val="baseline"/>
                    <w:rPr>
                      <w:rFonts w:ascii="Times New Roman" w:hAnsi="Times New Roman" w:eastAsia="宋体"/>
                      <w:color w:val="000000" w:themeColor="text1"/>
                      <w:spacing w:val="-4"/>
                      <w:szCs w:val="21"/>
                    </w:rPr>
                  </w:pPr>
                  <w:r>
                    <w:rPr>
                      <w:rFonts w:ascii="Times New Roman" w:hAnsi="Times New Roman" w:eastAsia="宋体"/>
                      <w:color w:val="000000" w:themeColor="text1"/>
                      <w:spacing w:val="-4"/>
                      <w:szCs w:val="21"/>
                    </w:rPr>
                    <w:t>PM</w:t>
                  </w:r>
                  <w:r>
                    <w:rPr>
                      <w:rFonts w:ascii="Times New Roman" w:hAnsi="Times New Roman" w:eastAsia="宋体"/>
                      <w:color w:val="000000" w:themeColor="text1"/>
                      <w:spacing w:val="-4"/>
                      <w:szCs w:val="21"/>
                      <w:vertAlign w:val="subscript"/>
                    </w:rPr>
                    <w:t>10</w:t>
                  </w:r>
                </w:p>
              </w:tc>
              <w:tc>
                <w:tcPr>
                  <w:tcW w:w="1127" w:type="pct"/>
                  <w:vAlign w:val="center"/>
                </w:tcPr>
                <w:p>
                  <w:pPr>
                    <w:adjustRightInd w:val="0"/>
                    <w:snapToGrid w:val="0"/>
                    <w:jc w:val="center"/>
                    <w:textAlignment w:val="baseline"/>
                    <w:rPr>
                      <w:rFonts w:ascii="Times New Roman" w:hAnsi="Times New Roman" w:eastAsia="宋体"/>
                      <w:color w:val="000000" w:themeColor="text1"/>
                      <w:spacing w:val="-4"/>
                      <w:szCs w:val="21"/>
                    </w:rPr>
                  </w:pPr>
                  <w:r>
                    <w:rPr>
                      <w:rFonts w:ascii="Times New Roman" w:hAnsi="Times New Roman" w:eastAsia="宋体"/>
                      <w:color w:val="000000" w:themeColor="text1"/>
                      <w:spacing w:val="-4"/>
                      <w:szCs w:val="21"/>
                    </w:rPr>
                    <w:t>年平均</w:t>
                  </w:r>
                </w:p>
              </w:tc>
              <w:tc>
                <w:tcPr>
                  <w:tcW w:w="885" w:type="pct"/>
                  <w:vAlign w:val="center"/>
                </w:tcPr>
                <w:p>
                  <w:pPr>
                    <w:adjustRightInd w:val="0"/>
                    <w:snapToGrid w:val="0"/>
                    <w:jc w:val="center"/>
                    <w:textAlignment w:val="baseline"/>
                    <w:rPr>
                      <w:rFonts w:ascii="Times New Roman" w:hAnsi="Times New Roman" w:eastAsia="宋体"/>
                      <w:color w:val="000000" w:themeColor="text1"/>
                      <w:spacing w:val="-4"/>
                      <w:szCs w:val="21"/>
                    </w:rPr>
                  </w:pPr>
                  <w:r>
                    <w:rPr>
                      <w:rFonts w:ascii="Times New Roman" w:hAnsi="Times New Roman" w:eastAsia="宋体"/>
                      <w:color w:val="000000" w:themeColor="text1"/>
                      <w:spacing w:val="-4"/>
                      <w:szCs w:val="21"/>
                    </w:rPr>
                    <w:t>70</w:t>
                  </w:r>
                </w:p>
              </w:tc>
              <w:tc>
                <w:tcPr>
                  <w:tcW w:w="2073" w:type="pct"/>
                  <w:vMerge w:val="continue"/>
                  <w:vAlign w:val="center"/>
                </w:tcPr>
                <w:p>
                  <w:pPr>
                    <w:widowControl/>
                    <w:snapToGrid w:val="0"/>
                    <w:jc w:val="left"/>
                    <w:rPr>
                      <w:rFonts w:ascii="Times New Roman" w:hAnsi="Times New Roman" w:eastAsia="宋体"/>
                      <w:color w:val="000000" w:themeColor="text1"/>
                      <w:spacing w:val="-4"/>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pct"/>
                  <w:vMerge w:val="continue"/>
                  <w:vAlign w:val="center"/>
                </w:tcPr>
                <w:p>
                  <w:pPr>
                    <w:widowControl/>
                    <w:snapToGrid w:val="0"/>
                    <w:jc w:val="left"/>
                    <w:rPr>
                      <w:rFonts w:ascii="Times New Roman" w:hAnsi="Times New Roman" w:eastAsia="宋体"/>
                      <w:color w:val="000000" w:themeColor="text1"/>
                      <w:spacing w:val="-4"/>
                      <w:szCs w:val="21"/>
                    </w:rPr>
                  </w:pPr>
                </w:p>
              </w:tc>
              <w:tc>
                <w:tcPr>
                  <w:tcW w:w="1127" w:type="pct"/>
                  <w:vAlign w:val="center"/>
                </w:tcPr>
                <w:p>
                  <w:pPr>
                    <w:adjustRightInd w:val="0"/>
                    <w:snapToGrid w:val="0"/>
                    <w:jc w:val="center"/>
                    <w:textAlignment w:val="baseline"/>
                    <w:rPr>
                      <w:rFonts w:ascii="Times New Roman" w:hAnsi="Times New Roman" w:eastAsia="宋体"/>
                      <w:color w:val="000000" w:themeColor="text1"/>
                      <w:spacing w:val="-4"/>
                      <w:szCs w:val="21"/>
                    </w:rPr>
                  </w:pPr>
                  <w:r>
                    <w:rPr>
                      <w:rFonts w:ascii="Times New Roman" w:hAnsi="Times New Roman" w:eastAsia="宋体"/>
                      <w:color w:val="000000" w:themeColor="text1"/>
                      <w:spacing w:val="-4"/>
                      <w:szCs w:val="21"/>
                    </w:rPr>
                    <w:t>日平均</w:t>
                  </w:r>
                </w:p>
              </w:tc>
              <w:tc>
                <w:tcPr>
                  <w:tcW w:w="885" w:type="pct"/>
                  <w:vAlign w:val="center"/>
                </w:tcPr>
                <w:p>
                  <w:pPr>
                    <w:adjustRightInd w:val="0"/>
                    <w:snapToGrid w:val="0"/>
                    <w:jc w:val="center"/>
                    <w:textAlignment w:val="baseline"/>
                    <w:rPr>
                      <w:rFonts w:ascii="Times New Roman" w:hAnsi="Times New Roman" w:eastAsia="宋体"/>
                      <w:color w:val="000000" w:themeColor="text1"/>
                      <w:spacing w:val="-4"/>
                      <w:szCs w:val="21"/>
                    </w:rPr>
                  </w:pPr>
                  <w:r>
                    <w:rPr>
                      <w:rFonts w:ascii="Times New Roman" w:hAnsi="Times New Roman" w:eastAsia="宋体"/>
                      <w:color w:val="000000" w:themeColor="text1"/>
                      <w:spacing w:val="-4"/>
                      <w:szCs w:val="21"/>
                    </w:rPr>
                    <w:t>150</w:t>
                  </w:r>
                </w:p>
              </w:tc>
              <w:tc>
                <w:tcPr>
                  <w:tcW w:w="2073" w:type="pct"/>
                  <w:vMerge w:val="continue"/>
                  <w:vAlign w:val="center"/>
                </w:tcPr>
                <w:p>
                  <w:pPr>
                    <w:widowControl/>
                    <w:snapToGrid w:val="0"/>
                    <w:jc w:val="left"/>
                    <w:rPr>
                      <w:rFonts w:ascii="Times New Roman" w:hAnsi="Times New Roman" w:eastAsia="宋体"/>
                      <w:color w:val="000000" w:themeColor="text1"/>
                      <w:spacing w:val="-4"/>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pct"/>
                  <w:tcBorders>
                    <w:bottom w:val="single" w:color="auto" w:sz="8" w:space="0"/>
                  </w:tcBorders>
                  <w:vAlign w:val="center"/>
                </w:tcPr>
                <w:p>
                  <w:pPr>
                    <w:tabs>
                      <w:tab w:val="left" w:pos="600"/>
                    </w:tabs>
                    <w:jc w:val="center"/>
                    <w:rPr>
                      <w:rFonts w:ascii="Times New Roman" w:hAnsi="Times New Roman" w:eastAsia="宋体"/>
                      <w:color w:val="000000" w:themeColor="text1"/>
                      <w:szCs w:val="21"/>
                    </w:rPr>
                  </w:pPr>
                  <w:r>
                    <w:rPr>
                      <w:rFonts w:hint="eastAsia" w:ascii="Times New Roman" w:eastAsia="宋体"/>
                      <w:color w:val="000000" w:themeColor="text1"/>
                      <w:szCs w:val="21"/>
                    </w:rPr>
                    <w:t>非甲烷总烃</w:t>
                  </w:r>
                </w:p>
              </w:tc>
              <w:tc>
                <w:tcPr>
                  <w:tcW w:w="1127" w:type="pct"/>
                  <w:tcBorders>
                    <w:bottom w:val="single" w:color="auto" w:sz="8" w:space="0"/>
                  </w:tcBorders>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pacing w:val="-4"/>
                      <w:szCs w:val="21"/>
                    </w:rPr>
                    <w:t>1h平均</w:t>
                  </w:r>
                </w:p>
              </w:tc>
              <w:tc>
                <w:tcPr>
                  <w:tcW w:w="885" w:type="pct"/>
                  <w:tcBorders>
                    <w:bottom w:val="single" w:color="auto" w:sz="8" w:space="0"/>
                  </w:tcBorders>
                  <w:vAlign w:val="center"/>
                </w:tcPr>
                <w:p>
                  <w:pPr>
                    <w:jc w:val="center"/>
                    <w:textAlignment w:val="baseline"/>
                    <w:rPr>
                      <w:rFonts w:ascii="Times New Roman" w:hAnsi="Times New Roman" w:eastAsia="宋体"/>
                      <w:color w:val="000000" w:themeColor="text1"/>
                      <w:szCs w:val="21"/>
                    </w:rPr>
                  </w:pPr>
                  <w:r>
                    <w:rPr>
                      <w:rFonts w:ascii="Times New Roman" w:hAnsi="Times New Roman" w:eastAsia="宋体"/>
                      <w:color w:val="000000" w:themeColor="text1"/>
                      <w:szCs w:val="21"/>
                    </w:rPr>
                    <w:t>2.0mg/m</w:t>
                  </w:r>
                  <w:r>
                    <w:rPr>
                      <w:rFonts w:ascii="Times New Roman" w:hAnsi="Times New Roman" w:eastAsia="宋体"/>
                      <w:color w:val="000000" w:themeColor="text1"/>
                      <w:szCs w:val="21"/>
                      <w:vertAlign w:val="superscript"/>
                    </w:rPr>
                    <w:t>3</w:t>
                  </w:r>
                </w:p>
              </w:tc>
              <w:tc>
                <w:tcPr>
                  <w:tcW w:w="2073" w:type="pct"/>
                  <w:tcBorders>
                    <w:bottom w:val="single" w:color="auto" w:sz="8" w:space="0"/>
                  </w:tcBorders>
                  <w:vAlign w:val="center"/>
                </w:tcPr>
                <w:p>
                  <w:pPr>
                    <w:jc w:val="center"/>
                    <w:textAlignment w:val="baseline"/>
                    <w:rPr>
                      <w:rFonts w:ascii="Times New Roman" w:hAnsi="Times New Roman" w:eastAsia="宋体"/>
                      <w:color w:val="000000" w:themeColor="text1"/>
                      <w:szCs w:val="21"/>
                    </w:rPr>
                  </w:pPr>
                  <w:r>
                    <w:rPr>
                      <w:rFonts w:ascii="Times New Roman" w:eastAsia="宋体"/>
                      <w:color w:val="000000" w:themeColor="text1"/>
                      <w:szCs w:val="21"/>
                    </w:rPr>
                    <w:t>《大气污染物综合排放标准详解》</w:t>
                  </w:r>
                </w:p>
              </w:tc>
            </w:tr>
          </w:tbl>
          <w:p>
            <w:pPr>
              <w:spacing w:line="440" w:lineRule="exact"/>
              <w:ind w:firstLine="482" w:firstLineChars="200"/>
              <w:textAlignment w:val="baseline"/>
              <w:rPr>
                <w:rFonts w:ascii="Times New Roman" w:hAnsi="Times New Roman" w:eastAsia="宋体"/>
                <w:b/>
                <w:color w:val="000000" w:themeColor="text1"/>
                <w:sz w:val="24"/>
                <w:szCs w:val="20"/>
              </w:rPr>
            </w:pPr>
            <w:r>
              <w:rPr>
                <w:rFonts w:ascii="Times New Roman" w:hAnsi="Times New Roman" w:eastAsia="宋体"/>
                <w:b/>
                <w:color w:val="000000" w:themeColor="text1"/>
                <w:sz w:val="24"/>
              </w:rPr>
              <w:t>2、声环境</w:t>
            </w:r>
          </w:p>
          <w:p>
            <w:pPr>
              <w:spacing w:line="440" w:lineRule="exact"/>
              <w:ind w:firstLine="480" w:firstLineChars="200"/>
              <w:rPr>
                <w:rFonts w:ascii="Times New Roman" w:hAnsi="Times New Roman" w:eastAsia="宋体"/>
                <w:color w:val="000000" w:themeColor="text1"/>
                <w:sz w:val="24"/>
              </w:rPr>
            </w:pPr>
            <w:r>
              <w:rPr>
                <w:rFonts w:ascii="Times New Roman" w:hAnsi="Times New Roman" w:eastAsia="宋体"/>
                <w:color w:val="000000" w:themeColor="text1"/>
                <w:sz w:val="24"/>
              </w:rPr>
              <w:t>本项目各厂界环境噪声执行《声环境质量标准》（GB3096-2008）</w:t>
            </w:r>
            <w:r>
              <w:rPr>
                <w:rFonts w:hint="eastAsia" w:ascii="Times New Roman" w:hAnsi="Times New Roman" w:eastAsia="宋体"/>
                <w:color w:val="000000" w:themeColor="text1"/>
                <w:sz w:val="24"/>
              </w:rPr>
              <w:t>3</w:t>
            </w:r>
            <w:r>
              <w:rPr>
                <w:rFonts w:ascii="Times New Roman" w:hAnsi="Times New Roman" w:eastAsia="宋体"/>
                <w:color w:val="000000" w:themeColor="text1"/>
                <w:sz w:val="24"/>
              </w:rPr>
              <w:t>类标准的要求，相关标准限值见下表。</w:t>
            </w:r>
          </w:p>
          <w:p>
            <w:pPr>
              <w:pStyle w:val="6"/>
              <w:keepNext/>
              <w:spacing w:line="440" w:lineRule="exact"/>
              <w:jc w:val="center"/>
              <w:rPr>
                <w:rFonts w:ascii="Times New Roman" w:hAnsi="Times New Roman" w:eastAsia="宋体" w:cs="Times New Roman"/>
                <w:b/>
                <w:bCs/>
                <w:color w:val="000000" w:themeColor="text1"/>
                <w:sz w:val="24"/>
                <w:szCs w:val="24"/>
              </w:rPr>
            </w:pPr>
            <w:bookmarkStart w:id="11" w:name="_Ref306978508"/>
            <w:r>
              <w:rPr>
                <w:rFonts w:ascii="Times New Roman" w:hAnsi="Times New Roman" w:eastAsia="宋体" w:cs="Times New Roman"/>
                <w:b/>
                <w:bCs/>
                <w:color w:val="000000" w:themeColor="text1"/>
                <w:sz w:val="24"/>
                <w:szCs w:val="24"/>
              </w:rPr>
              <w:t>表</w:t>
            </w:r>
            <w:bookmarkEnd w:id="11"/>
            <w:r>
              <w:rPr>
                <w:rFonts w:hint="eastAsia" w:ascii="Times New Roman" w:hAnsi="Times New Roman" w:eastAsia="宋体" w:cs="Times New Roman"/>
                <w:b/>
                <w:bCs/>
                <w:color w:val="000000" w:themeColor="text1"/>
                <w:sz w:val="24"/>
                <w:szCs w:val="24"/>
              </w:rPr>
              <w:t xml:space="preserve">24    </w:t>
            </w:r>
            <w:r>
              <w:rPr>
                <w:rFonts w:ascii="Times New Roman" w:hAnsi="Times New Roman" w:eastAsia="宋体" w:cs="Times New Roman"/>
                <w:b/>
                <w:bCs/>
                <w:color w:val="000000" w:themeColor="text1"/>
                <w:sz w:val="24"/>
                <w:szCs w:val="24"/>
              </w:rPr>
              <w:t>声环境质量标准</w:t>
            </w:r>
            <w:r>
              <w:rPr>
                <w:rFonts w:hint="eastAsia" w:ascii="Times New Roman" w:hAnsi="Times New Roman" w:eastAsia="宋体" w:cs="Times New Roman"/>
                <w:b/>
                <w:bCs/>
                <w:color w:val="000000" w:themeColor="text1"/>
                <w:sz w:val="24"/>
                <w:szCs w:val="24"/>
              </w:rPr>
              <w:t xml:space="preserve">    </w:t>
            </w:r>
            <w:r>
              <w:rPr>
                <w:rFonts w:ascii="Times New Roman" w:hAnsi="Times New Roman" w:eastAsia="宋体" w:cs="Times New Roman"/>
                <w:b/>
                <w:bCs/>
                <w:color w:val="000000" w:themeColor="text1"/>
                <w:sz w:val="24"/>
                <w:szCs w:val="24"/>
              </w:rPr>
              <w:t>单位：dB（A）</w:t>
            </w:r>
          </w:p>
          <w:tbl>
            <w:tblPr>
              <w:tblStyle w:val="24"/>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autofit"/>
              <w:tblCellMar>
                <w:top w:w="0" w:type="dxa"/>
                <w:left w:w="108" w:type="dxa"/>
                <w:bottom w:w="0" w:type="dxa"/>
                <w:right w:w="108" w:type="dxa"/>
              </w:tblCellMar>
            </w:tblPr>
            <w:tblGrid>
              <w:gridCol w:w="3172"/>
              <w:gridCol w:w="2890"/>
              <w:gridCol w:w="2508"/>
            </w:tblGrid>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1851" w:type="pct"/>
                  <w:vAlign w:val="center"/>
                </w:tcPr>
                <w:p>
                  <w:pPr>
                    <w:snapToGrid w:val="0"/>
                    <w:jc w:val="center"/>
                    <w:rPr>
                      <w:rFonts w:ascii="Times New Roman" w:hAnsi="Times New Roman" w:eastAsia="宋体"/>
                      <w:b/>
                      <w:color w:val="000000" w:themeColor="text1"/>
                      <w:szCs w:val="21"/>
                    </w:rPr>
                  </w:pPr>
                  <w:r>
                    <w:rPr>
                      <w:rFonts w:ascii="Times New Roman" w:hAnsi="Times New Roman" w:eastAsia="宋体"/>
                      <w:b/>
                      <w:color w:val="000000" w:themeColor="text1"/>
                      <w:szCs w:val="21"/>
                    </w:rPr>
                    <w:t>类别</w:t>
                  </w:r>
                </w:p>
              </w:tc>
              <w:tc>
                <w:tcPr>
                  <w:tcW w:w="1686" w:type="pct"/>
                  <w:vAlign w:val="center"/>
                </w:tcPr>
                <w:p>
                  <w:pPr>
                    <w:snapToGrid w:val="0"/>
                    <w:jc w:val="center"/>
                    <w:rPr>
                      <w:rFonts w:ascii="Times New Roman" w:hAnsi="Times New Roman" w:eastAsia="宋体"/>
                      <w:b/>
                      <w:color w:val="000000" w:themeColor="text1"/>
                      <w:szCs w:val="21"/>
                    </w:rPr>
                  </w:pPr>
                  <w:r>
                    <w:rPr>
                      <w:rFonts w:ascii="Times New Roman" w:hAnsi="Times New Roman" w:eastAsia="宋体"/>
                      <w:b/>
                      <w:color w:val="000000" w:themeColor="text1"/>
                      <w:szCs w:val="21"/>
                    </w:rPr>
                    <w:t>昼间</w:t>
                  </w:r>
                </w:p>
              </w:tc>
              <w:tc>
                <w:tcPr>
                  <w:tcW w:w="1463" w:type="pct"/>
                  <w:vAlign w:val="center"/>
                </w:tcPr>
                <w:p>
                  <w:pPr>
                    <w:snapToGrid w:val="0"/>
                    <w:jc w:val="center"/>
                    <w:rPr>
                      <w:rFonts w:ascii="Times New Roman" w:hAnsi="Times New Roman" w:eastAsia="宋体"/>
                      <w:b/>
                      <w:color w:val="000000" w:themeColor="text1"/>
                      <w:szCs w:val="21"/>
                    </w:rPr>
                  </w:pPr>
                  <w:r>
                    <w:rPr>
                      <w:rFonts w:ascii="Times New Roman" w:hAnsi="Times New Roman" w:eastAsia="宋体"/>
                      <w:b/>
                      <w:color w:val="000000" w:themeColor="text1"/>
                      <w:szCs w:val="21"/>
                    </w:rPr>
                    <w:t>夜间</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1851" w:type="pct"/>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3</w:t>
                  </w:r>
                  <w:r>
                    <w:rPr>
                      <w:rFonts w:ascii="Times New Roman" w:hAnsi="Times New Roman" w:eastAsia="宋体"/>
                      <w:color w:val="000000" w:themeColor="text1"/>
                      <w:szCs w:val="21"/>
                    </w:rPr>
                    <w:t>类</w:t>
                  </w:r>
                </w:p>
              </w:tc>
              <w:tc>
                <w:tcPr>
                  <w:tcW w:w="1686" w:type="pct"/>
                  <w:vAlign w:val="center"/>
                </w:tcPr>
                <w:p>
                  <w:pPr>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6</w:t>
                  </w:r>
                  <w:r>
                    <w:rPr>
                      <w:rFonts w:hint="eastAsia" w:ascii="Times New Roman" w:hAnsi="Times New Roman" w:eastAsia="宋体"/>
                      <w:color w:val="000000" w:themeColor="text1"/>
                      <w:szCs w:val="21"/>
                    </w:rPr>
                    <w:t>5</w:t>
                  </w:r>
                </w:p>
              </w:tc>
              <w:tc>
                <w:tcPr>
                  <w:tcW w:w="1463" w:type="pct"/>
                  <w:vAlign w:val="center"/>
                </w:tcPr>
                <w:p>
                  <w:pPr>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5</w:t>
                  </w:r>
                  <w:r>
                    <w:rPr>
                      <w:rFonts w:hint="eastAsia" w:ascii="Times New Roman" w:hAnsi="Times New Roman" w:eastAsia="宋体"/>
                      <w:color w:val="000000" w:themeColor="text1"/>
                      <w:szCs w:val="21"/>
                    </w:rPr>
                    <w:t>5</w:t>
                  </w:r>
                </w:p>
              </w:tc>
            </w:tr>
          </w:tbl>
          <w:p>
            <w:pPr>
              <w:spacing w:line="440" w:lineRule="exact"/>
              <w:ind w:firstLine="482" w:firstLineChars="200"/>
              <w:textAlignment w:val="baseline"/>
              <w:rPr>
                <w:rFonts w:ascii="Times New Roman" w:hAnsi="Times New Roman" w:eastAsia="宋体"/>
                <w:b/>
                <w:color w:val="000000" w:themeColor="text1"/>
                <w:sz w:val="24"/>
                <w:szCs w:val="20"/>
              </w:rPr>
            </w:pPr>
            <w:r>
              <w:rPr>
                <w:rFonts w:ascii="Times New Roman" w:hAnsi="Times New Roman" w:eastAsia="宋体"/>
                <w:b/>
                <w:color w:val="000000" w:themeColor="text1"/>
                <w:sz w:val="24"/>
              </w:rPr>
              <w:t>3、地表水环境</w:t>
            </w:r>
          </w:p>
          <w:p>
            <w:pPr>
              <w:spacing w:line="440" w:lineRule="exact"/>
              <w:ind w:firstLine="480" w:firstLineChars="200"/>
              <w:textAlignment w:val="baseline"/>
              <w:rPr>
                <w:rFonts w:ascii="Times New Roman" w:hAnsi="Times New Roman" w:eastAsia="宋体"/>
                <w:color w:val="000000" w:themeColor="text1"/>
                <w:sz w:val="24"/>
              </w:rPr>
            </w:pPr>
            <w:r>
              <w:rPr>
                <w:rFonts w:ascii="Times New Roman" w:hAnsi="Times New Roman" w:eastAsia="宋体"/>
                <w:color w:val="000000" w:themeColor="text1"/>
                <w:sz w:val="24"/>
              </w:rPr>
              <w:t>地表水执行《地表水环境质量标准》（GB3838-2002）</w:t>
            </w:r>
            <w:r>
              <w:rPr>
                <w:rFonts w:ascii="Times New Roman" w:hAnsi="Times New Roman" w:eastAsia="宋体"/>
                <w:color w:val="000000" w:themeColor="text1"/>
                <w:sz w:val="24"/>
              </w:rPr>
              <w:fldChar w:fldCharType="begin"/>
            </w:r>
            <w:r>
              <w:rPr>
                <w:rFonts w:ascii="Times New Roman" w:hAnsi="Times New Roman" w:eastAsia="宋体"/>
                <w:color w:val="000000" w:themeColor="text1"/>
                <w:sz w:val="24"/>
              </w:rPr>
              <w:instrText xml:space="preserve"> = 4 \* ROMAN </w:instrText>
            </w:r>
            <w:r>
              <w:rPr>
                <w:rFonts w:ascii="Times New Roman" w:hAnsi="Times New Roman" w:eastAsia="宋体"/>
                <w:color w:val="000000" w:themeColor="text1"/>
                <w:sz w:val="24"/>
              </w:rPr>
              <w:fldChar w:fldCharType="separate"/>
            </w:r>
            <w:r>
              <w:rPr>
                <w:rFonts w:ascii="Times New Roman" w:hAnsi="Times New Roman" w:eastAsia="宋体"/>
                <w:color w:val="000000" w:themeColor="text1"/>
                <w:sz w:val="24"/>
              </w:rPr>
              <w:t>V</w:t>
            </w:r>
            <w:r>
              <w:rPr>
                <w:rFonts w:ascii="Times New Roman" w:hAnsi="Times New Roman" w:eastAsia="宋体"/>
                <w:color w:val="000000" w:themeColor="text1"/>
                <w:sz w:val="24"/>
              </w:rPr>
              <w:fldChar w:fldCharType="end"/>
            </w:r>
            <w:r>
              <w:rPr>
                <w:rFonts w:ascii="Times New Roman" w:hAnsi="Times New Roman" w:eastAsia="宋体"/>
                <w:color w:val="000000" w:themeColor="text1"/>
                <w:sz w:val="24"/>
              </w:rPr>
              <w:t>类标准，相关标准限值见下表。</w:t>
            </w:r>
            <w:bookmarkStart w:id="12" w:name="_Ref306978742"/>
          </w:p>
          <w:p>
            <w:pPr>
              <w:pStyle w:val="6"/>
              <w:keepNext/>
              <w:spacing w:line="440" w:lineRule="exact"/>
              <w:jc w:val="center"/>
              <w:rPr>
                <w:rFonts w:ascii="Times New Roman" w:hAnsi="Times New Roman" w:eastAsia="宋体" w:cs="Times New Roman"/>
                <w:b/>
                <w:bCs/>
                <w:color w:val="000000" w:themeColor="text1"/>
              </w:rPr>
            </w:pPr>
            <w:r>
              <w:rPr>
                <w:rFonts w:ascii="Times New Roman" w:hAnsi="Times New Roman" w:eastAsia="宋体" w:cs="Times New Roman"/>
                <w:b/>
                <w:bCs/>
                <w:color w:val="000000" w:themeColor="text1"/>
                <w:sz w:val="24"/>
                <w:szCs w:val="24"/>
              </w:rPr>
              <w:t>表</w:t>
            </w:r>
            <w:bookmarkEnd w:id="12"/>
            <w:r>
              <w:rPr>
                <w:rFonts w:hint="eastAsia" w:ascii="Times New Roman" w:hAnsi="Times New Roman" w:eastAsia="宋体" w:cs="Times New Roman"/>
                <w:b/>
                <w:bCs/>
                <w:color w:val="000000" w:themeColor="text1"/>
                <w:sz w:val="24"/>
                <w:szCs w:val="24"/>
              </w:rPr>
              <w:t xml:space="preserve">25    </w:t>
            </w:r>
            <w:r>
              <w:rPr>
                <w:rFonts w:ascii="Times New Roman" w:hAnsi="Times New Roman" w:eastAsia="宋体" w:cs="Times New Roman"/>
                <w:b/>
                <w:bCs/>
                <w:color w:val="000000" w:themeColor="text1"/>
                <w:sz w:val="24"/>
                <w:szCs w:val="24"/>
              </w:rPr>
              <w:t>地表水环境质量标准</w:t>
            </w:r>
            <w:r>
              <w:rPr>
                <w:rFonts w:hint="eastAsia" w:ascii="Times New Roman" w:hAnsi="Times New Roman" w:eastAsia="宋体" w:cs="Times New Roman"/>
                <w:b/>
                <w:bCs/>
                <w:color w:val="000000" w:themeColor="text1"/>
                <w:sz w:val="24"/>
                <w:szCs w:val="24"/>
              </w:rPr>
              <w:t xml:space="preserve">    </w:t>
            </w:r>
            <w:r>
              <w:rPr>
                <w:rFonts w:ascii="Times New Roman" w:hAnsi="Times New Roman" w:eastAsia="宋体" w:cs="Times New Roman"/>
                <w:b/>
                <w:bCs/>
                <w:color w:val="000000" w:themeColor="text1"/>
                <w:sz w:val="24"/>
                <w:szCs w:val="24"/>
              </w:rPr>
              <w:t>单位：mg/L</w:t>
            </w:r>
          </w:p>
          <w:tbl>
            <w:tblPr>
              <w:tblStyle w:val="24"/>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autofit"/>
              <w:tblCellMar>
                <w:top w:w="0" w:type="dxa"/>
                <w:left w:w="108" w:type="dxa"/>
                <w:bottom w:w="0" w:type="dxa"/>
                <w:right w:w="108" w:type="dxa"/>
              </w:tblCellMar>
            </w:tblPr>
            <w:tblGrid>
              <w:gridCol w:w="1417"/>
              <w:gridCol w:w="1702"/>
              <w:gridCol w:w="1880"/>
              <w:gridCol w:w="1784"/>
              <w:gridCol w:w="1787"/>
            </w:tblGrid>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827" w:type="pct"/>
                  <w:vAlign w:val="center"/>
                </w:tcPr>
                <w:p>
                  <w:pPr>
                    <w:snapToGrid w:val="0"/>
                    <w:jc w:val="center"/>
                    <w:rPr>
                      <w:rFonts w:ascii="Times New Roman" w:hAnsi="Times New Roman" w:eastAsia="宋体"/>
                      <w:b/>
                      <w:color w:val="000000" w:themeColor="text1"/>
                      <w:szCs w:val="21"/>
                    </w:rPr>
                  </w:pPr>
                  <w:r>
                    <w:rPr>
                      <w:rFonts w:ascii="Times New Roman" w:hAnsi="Times New Roman" w:eastAsia="宋体"/>
                      <w:b/>
                      <w:color w:val="000000" w:themeColor="text1"/>
                      <w:szCs w:val="21"/>
                    </w:rPr>
                    <w:t>项目</w:t>
                  </w:r>
                </w:p>
              </w:tc>
              <w:tc>
                <w:tcPr>
                  <w:tcW w:w="993" w:type="pct"/>
                  <w:vAlign w:val="center"/>
                </w:tcPr>
                <w:p>
                  <w:pPr>
                    <w:snapToGrid w:val="0"/>
                    <w:jc w:val="center"/>
                    <w:rPr>
                      <w:rFonts w:ascii="Times New Roman" w:hAnsi="Times New Roman" w:eastAsia="宋体"/>
                      <w:b/>
                      <w:color w:val="000000" w:themeColor="text1"/>
                      <w:szCs w:val="21"/>
                    </w:rPr>
                  </w:pPr>
                  <w:r>
                    <w:rPr>
                      <w:rFonts w:ascii="Times New Roman" w:hAnsi="Times New Roman" w:eastAsia="宋体"/>
                      <w:b/>
                      <w:color w:val="000000" w:themeColor="text1"/>
                      <w:szCs w:val="21"/>
                    </w:rPr>
                    <w:t>pH</w:t>
                  </w:r>
                </w:p>
              </w:tc>
              <w:tc>
                <w:tcPr>
                  <w:tcW w:w="1097" w:type="pct"/>
                  <w:vAlign w:val="center"/>
                </w:tcPr>
                <w:p>
                  <w:pPr>
                    <w:snapToGrid w:val="0"/>
                    <w:jc w:val="center"/>
                    <w:rPr>
                      <w:rFonts w:ascii="Times New Roman" w:hAnsi="Times New Roman" w:eastAsia="宋体"/>
                      <w:b/>
                      <w:color w:val="000000" w:themeColor="text1"/>
                      <w:szCs w:val="21"/>
                    </w:rPr>
                  </w:pPr>
                  <w:r>
                    <w:rPr>
                      <w:rFonts w:ascii="Times New Roman" w:hAnsi="Times New Roman" w:eastAsia="宋体"/>
                      <w:b/>
                      <w:color w:val="000000" w:themeColor="text1"/>
                      <w:szCs w:val="21"/>
                    </w:rPr>
                    <w:t>COD</w:t>
                  </w:r>
                </w:p>
              </w:tc>
              <w:tc>
                <w:tcPr>
                  <w:tcW w:w="1041" w:type="pct"/>
                  <w:vAlign w:val="center"/>
                </w:tcPr>
                <w:p>
                  <w:pPr>
                    <w:snapToGrid w:val="0"/>
                    <w:jc w:val="center"/>
                    <w:rPr>
                      <w:rFonts w:ascii="Times New Roman" w:hAnsi="Times New Roman" w:eastAsia="宋体"/>
                      <w:b/>
                      <w:color w:val="000000" w:themeColor="text1"/>
                      <w:szCs w:val="21"/>
                    </w:rPr>
                  </w:pPr>
                  <w:r>
                    <w:rPr>
                      <w:rFonts w:ascii="Times New Roman" w:hAnsi="Times New Roman" w:eastAsia="宋体"/>
                      <w:b/>
                      <w:color w:val="000000" w:themeColor="text1"/>
                      <w:szCs w:val="21"/>
                    </w:rPr>
                    <w:t>NH</w:t>
                  </w:r>
                  <w:r>
                    <w:rPr>
                      <w:rFonts w:ascii="Times New Roman" w:hAnsi="Times New Roman" w:eastAsia="宋体"/>
                      <w:b/>
                      <w:color w:val="000000" w:themeColor="text1"/>
                      <w:szCs w:val="21"/>
                      <w:vertAlign w:val="subscript"/>
                    </w:rPr>
                    <w:t>3</w:t>
                  </w:r>
                  <w:r>
                    <w:rPr>
                      <w:rFonts w:ascii="Times New Roman" w:hAnsi="Times New Roman" w:eastAsia="宋体"/>
                      <w:b/>
                      <w:color w:val="000000" w:themeColor="text1"/>
                      <w:szCs w:val="21"/>
                    </w:rPr>
                    <w:t>-N</w:t>
                  </w:r>
                </w:p>
              </w:tc>
              <w:tc>
                <w:tcPr>
                  <w:tcW w:w="1042" w:type="pct"/>
                  <w:vAlign w:val="center"/>
                </w:tcPr>
                <w:p>
                  <w:pPr>
                    <w:snapToGrid w:val="0"/>
                    <w:jc w:val="center"/>
                    <w:rPr>
                      <w:rFonts w:ascii="Times New Roman" w:hAnsi="Times New Roman" w:eastAsia="宋体"/>
                      <w:b/>
                      <w:color w:val="000000" w:themeColor="text1"/>
                      <w:szCs w:val="21"/>
                    </w:rPr>
                  </w:pPr>
                  <w:r>
                    <w:rPr>
                      <w:rFonts w:ascii="Times New Roman" w:hAnsi="Times New Roman" w:eastAsia="宋体"/>
                      <w:b/>
                      <w:color w:val="000000" w:themeColor="text1"/>
                      <w:szCs w:val="21"/>
                    </w:rPr>
                    <w:t>TP</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827" w:type="pct"/>
                  <w:vAlign w:val="center"/>
                </w:tcPr>
                <w:p>
                  <w:pPr>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标准值</w:t>
                  </w:r>
                </w:p>
              </w:tc>
              <w:tc>
                <w:tcPr>
                  <w:tcW w:w="993" w:type="pct"/>
                  <w:vAlign w:val="center"/>
                </w:tcPr>
                <w:p>
                  <w:pPr>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6-9</w:t>
                  </w:r>
                </w:p>
              </w:tc>
              <w:tc>
                <w:tcPr>
                  <w:tcW w:w="1097" w:type="pct"/>
                  <w:vAlign w:val="center"/>
                </w:tcPr>
                <w:p>
                  <w:pPr>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40</w:t>
                  </w:r>
                </w:p>
              </w:tc>
              <w:tc>
                <w:tcPr>
                  <w:tcW w:w="1041" w:type="pct"/>
                  <w:vAlign w:val="center"/>
                </w:tcPr>
                <w:p>
                  <w:pPr>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2.0</w:t>
                  </w:r>
                </w:p>
              </w:tc>
              <w:tc>
                <w:tcPr>
                  <w:tcW w:w="1042" w:type="pct"/>
                  <w:vAlign w:val="center"/>
                </w:tcPr>
                <w:p>
                  <w:pPr>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0.4</w:t>
                  </w:r>
                </w:p>
              </w:tc>
            </w:tr>
          </w:tbl>
          <w:p>
            <w:pPr>
              <w:spacing w:line="440" w:lineRule="exact"/>
              <w:ind w:firstLine="482" w:firstLineChars="200"/>
              <w:textAlignment w:val="baseline"/>
              <w:rPr>
                <w:rFonts w:ascii="Times New Roman" w:hAnsi="Times New Roman" w:eastAsia="宋体"/>
                <w:b/>
                <w:color w:val="000000" w:themeColor="text1"/>
                <w:sz w:val="24"/>
              </w:rPr>
            </w:pPr>
          </w:p>
          <w:p>
            <w:pPr>
              <w:spacing w:line="440" w:lineRule="exact"/>
              <w:ind w:firstLine="482" w:firstLineChars="200"/>
              <w:textAlignment w:val="baseline"/>
              <w:rPr>
                <w:rFonts w:ascii="Times New Roman" w:hAnsi="Times New Roman" w:eastAsia="宋体"/>
                <w:b/>
                <w:color w:val="000000" w:themeColor="text1"/>
                <w:sz w:val="24"/>
              </w:rPr>
            </w:pPr>
            <w:r>
              <w:rPr>
                <w:rFonts w:ascii="Times New Roman" w:hAnsi="Times New Roman" w:eastAsia="宋体"/>
                <w:b/>
                <w:color w:val="000000" w:themeColor="text1"/>
                <w:sz w:val="24"/>
              </w:rPr>
              <w:t>4、地下水环境</w:t>
            </w:r>
          </w:p>
          <w:p>
            <w:pPr>
              <w:spacing w:line="440" w:lineRule="exact"/>
              <w:ind w:firstLine="480" w:firstLineChars="200"/>
              <w:textAlignment w:val="baseline"/>
              <w:rPr>
                <w:rFonts w:ascii="Times New Roman" w:hAnsi="Times New Roman" w:eastAsia="宋体"/>
                <w:color w:val="000000" w:themeColor="text1"/>
                <w:sz w:val="24"/>
              </w:rPr>
            </w:pPr>
            <w:r>
              <w:rPr>
                <w:rFonts w:ascii="Times New Roman" w:hAnsi="Times New Roman" w:eastAsia="宋体"/>
                <w:color w:val="000000" w:themeColor="text1"/>
                <w:sz w:val="24"/>
              </w:rPr>
              <w:t>地下水执行《地下水质量标准》（GB/T14848-2017）Ⅲ类标准，相关标准限值见下表。</w:t>
            </w:r>
          </w:p>
          <w:p>
            <w:pPr>
              <w:adjustRightInd w:val="0"/>
              <w:snapToGrid w:val="0"/>
              <w:spacing w:line="440" w:lineRule="exact"/>
              <w:jc w:val="center"/>
              <w:rPr>
                <w:rFonts w:ascii="Times New Roman" w:hAnsi="Times New Roman" w:eastAsia="宋体"/>
                <w:b/>
                <w:bCs/>
                <w:color w:val="000000" w:themeColor="text1"/>
                <w:spacing w:val="-4"/>
                <w:sz w:val="24"/>
              </w:rPr>
            </w:pPr>
            <w:r>
              <w:rPr>
                <w:rFonts w:ascii="Times New Roman" w:hAnsi="Times New Roman" w:eastAsia="宋体"/>
                <w:b/>
                <w:bCs/>
                <w:color w:val="000000" w:themeColor="text1"/>
                <w:spacing w:val="-4"/>
                <w:sz w:val="24"/>
              </w:rPr>
              <w:t>表2</w:t>
            </w:r>
            <w:r>
              <w:rPr>
                <w:rFonts w:hint="eastAsia" w:ascii="Times New Roman" w:hAnsi="Times New Roman" w:eastAsia="宋体"/>
                <w:b/>
                <w:bCs/>
                <w:color w:val="000000" w:themeColor="text1"/>
                <w:spacing w:val="-4"/>
                <w:sz w:val="24"/>
              </w:rPr>
              <w:t xml:space="preserve">6    </w:t>
            </w:r>
            <w:r>
              <w:rPr>
                <w:rFonts w:ascii="Times New Roman" w:hAnsi="Times New Roman" w:eastAsia="宋体"/>
                <w:b/>
                <w:bCs/>
                <w:color w:val="000000" w:themeColor="text1"/>
                <w:spacing w:val="-4"/>
                <w:sz w:val="24"/>
              </w:rPr>
              <w:t>地下水环境质量标准</w:t>
            </w:r>
            <w:r>
              <w:rPr>
                <w:rFonts w:hint="eastAsia" w:ascii="Times New Roman" w:hAnsi="Times New Roman" w:eastAsia="宋体"/>
                <w:b/>
                <w:bCs/>
                <w:color w:val="000000" w:themeColor="text1"/>
                <w:spacing w:val="-4"/>
                <w:sz w:val="24"/>
              </w:rPr>
              <w:t xml:space="preserve">    </w:t>
            </w:r>
            <w:r>
              <w:rPr>
                <w:rFonts w:ascii="Times New Roman" w:hAnsi="Times New Roman" w:eastAsia="宋体"/>
                <w:b/>
                <w:bCs/>
                <w:color w:val="000000" w:themeColor="text1"/>
                <w:spacing w:val="-4"/>
                <w:sz w:val="24"/>
              </w:rPr>
              <w:t>单位：mg/L</w:t>
            </w:r>
          </w:p>
          <w:tbl>
            <w:tblPr>
              <w:tblStyle w:val="24"/>
              <w:tblW w:w="5000" w:type="pct"/>
              <w:jc w:val="center"/>
              <w:tblLayout w:type="autofit"/>
              <w:tblCellMar>
                <w:top w:w="0" w:type="dxa"/>
                <w:left w:w="108" w:type="dxa"/>
                <w:bottom w:w="0" w:type="dxa"/>
                <w:right w:w="108" w:type="dxa"/>
              </w:tblCellMar>
            </w:tblPr>
            <w:tblGrid>
              <w:gridCol w:w="2852"/>
              <w:gridCol w:w="2857"/>
              <w:gridCol w:w="2861"/>
            </w:tblGrid>
            <w:tr>
              <w:trPr>
                <w:trHeight w:val="397" w:hRule="atLeast"/>
                <w:jc w:val="center"/>
              </w:trPr>
              <w:tc>
                <w:tcPr>
                  <w:tcW w:w="1664" w:type="pct"/>
                  <w:tcBorders>
                    <w:top w:val="single" w:color="auto" w:sz="8" w:space="0"/>
                    <w:bottom w:val="single" w:color="auto" w:sz="8" w:space="0"/>
                    <w:right w:val="single" w:color="auto" w:sz="4" w:space="0"/>
                  </w:tcBorders>
                  <w:vAlign w:val="center"/>
                </w:tcPr>
                <w:p>
                  <w:pPr>
                    <w:snapToGrid w:val="0"/>
                    <w:jc w:val="center"/>
                    <w:rPr>
                      <w:rFonts w:ascii="Times New Roman" w:hAnsi="Times New Roman" w:eastAsia="宋体"/>
                      <w:b/>
                      <w:color w:val="000000" w:themeColor="text1"/>
                      <w:szCs w:val="21"/>
                    </w:rPr>
                  </w:pPr>
                  <w:r>
                    <w:rPr>
                      <w:rFonts w:ascii="Times New Roman" w:hAnsi="Times New Roman" w:eastAsia="宋体"/>
                      <w:b/>
                      <w:color w:val="000000" w:themeColor="text1"/>
                      <w:szCs w:val="21"/>
                    </w:rPr>
                    <w:t>项目</w:t>
                  </w:r>
                </w:p>
              </w:tc>
              <w:tc>
                <w:tcPr>
                  <w:tcW w:w="1667" w:type="pct"/>
                  <w:tcBorders>
                    <w:top w:val="single" w:color="auto" w:sz="8" w:space="0"/>
                    <w:left w:val="single" w:color="auto" w:sz="4" w:space="0"/>
                    <w:bottom w:val="single" w:color="auto" w:sz="8" w:space="0"/>
                    <w:right w:val="single" w:color="auto" w:sz="4" w:space="0"/>
                  </w:tcBorders>
                  <w:vAlign w:val="center"/>
                </w:tcPr>
                <w:p>
                  <w:pPr>
                    <w:snapToGrid w:val="0"/>
                    <w:jc w:val="center"/>
                    <w:rPr>
                      <w:rFonts w:ascii="Times New Roman" w:hAnsi="Times New Roman" w:eastAsia="宋体"/>
                      <w:b/>
                      <w:color w:val="000000" w:themeColor="text1"/>
                      <w:szCs w:val="21"/>
                    </w:rPr>
                  </w:pPr>
                  <w:r>
                    <w:rPr>
                      <w:rFonts w:ascii="Times New Roman" w:hAnsi="Times New Roman" w:eastAsia="宋体"/>
                      <w:b/>
                      <w:color w:val="000000" w:themeColor="text1"/>
                      <w:szCs w:val="21"/>
                    </w:rPr>
                    <w:t>浓度限值</w:t>
                  </w:r>
                </w:p>
              </w:tc>
              <w:tc>
                <w:tcPr>
                  <w:tcW w:w="1669" w:type="pct"/>
                  <w:tcBorders>
                    <w:top w:val="single" w:color="auto" w:sz="8" w:space="0"/>
                    <w:left w:val="single" w:color="auto" w:sz="4" w:space="0"/>
                    <w:bottom w:val="single" w:color="auto" w:sz="8" w:space="0"/>
                  </w:tcBorders>
                  <w:vAlign w:val="center"/>
                </w:tcPr>
                <w:p>
                  <w:pPr>
                    <w:snapToGrid w:val="0"/>
                    <w:jc w:val="center"/>
                    <w:rPr>
                      <w:rFonts w:ascii="Times New Roman" w:hAnsi="Times New Roman" w:eastAsia="宋体"/>
                      <w:b/>
                      <w:color w:val="000000" w:themeColor="text1"/>
                      <w:szCs w:val="21"/>
                    </w:rPr>
                  </w:pPr>
                  <w:r>
                    <w:rPr>
                      <w:rFonts w:ascii="Times New Roman" w:hAnsi="Times New Roman" w:eastAsia="宋体"/>
                      <w:b/>
                      <w:color w:val="000000" w:themeColor="text1"/>
                      <w:szCs w:val="21"/>
                    </w:rPr>
                    <w:t>标准来源</w:t>
                  </w:r>
                </w:p>
              </w:tc>
            </w:tr>
            <w:tr>
              <w:tblPrEx>
                <w:tblCellMar>
                  <w:top w:w="0" w:type="dxa"/>
                  <w:left w:w="108" w:type="dxa"/>
                  <w:bottom w:w="0" w:type="dxa"/>
                  <w:right w:w="108" w:type="dxa"/>
                </w:tblCellMar>
              </w:tblPrEx>
              <w:trPr>
                <w:trHeight w:val="397" w:hRule="atLeast"/>
                <w:jc w:val="center"/>
              </w:trPr>
              <w:tc>
                <w:tcPr>
                  <w:tcW w:w="1664" w:type="pct"/>
                  <w:tcBorders>
                    <w:top w:val="single" w:color="auto" w:sz="8" w:space="0"/>
                    <w:bottom w:val="single" w:color="auto" w:sz="4" w:space="0"/>
                    <w:right w:val="single" w:color="auto" w:sz="4" w:space="0"/>
                  </w:tcBorders>
                  <w:vAlign w:val="center"/>
                </w:tcPr>
                <w:p>
                  <w:pPr>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pH（无量纲）</w:t>
                  </w:r>
                </w:p>
              </w:tc>
              <w:tc>
                <w:tcPr>
                  <w:tcW w:w="1667" w:type="pct"/>
                  <w:tcBorders>
                    <w:top w:val="single" w:color="auto" w:sz="8"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6.5～8.5</w:t>
                  </w:r>
                </w:p>
              </w:tc>
              <w:tc>
                <w:tcPr>
                  <w:tcW w:w="1669" w:type="pct"/>
                  <w:vMerge w:val="restart"/>
                  <w:tcBorders>
                    <w:top w:val="single" w:color="auto" w:sz="8" w:space="0"/>
                    <w:left w:val="single" w:color="auto" w:sz="4" w:space="0"/>
                    <w:bottom w:val="single" w:color="auto" w:sz="8" w:space="0"/>
                  </w:tcBorders>
                  <w:vAlign w:val="center"/>
                </w:tcPr>
                <w:p>
                  <w:pPr>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《地下水质量标准》（GB/T14848-2017）Ⅲ类标准</w:t>
                  </w:r>
                </w:p>
              </w:tc>
            </w:tr>
            <w:tr>
              <w:tblPrEx>
                <w:tblCellMar>
                  <w:top w:w="0" w:type="dxa"/>
                  <w:left w:w="108" w:type="dxa"/>
                  <w:bottom w:w="0" w:type="dxa"/>
                  <w:right w:w="108" w:type="dxa"/>
                </w:tblCellMar>
              </w:tblPrEx>
              <w:trPr>
                <w:trHeight w:val="397" w:hRule="atLeast"/>
                <w:jc w:val="center"/>
              </w:trPr>
              <w:tc>
                <w:tcPr>
                  <w:tcW w:w="1664" w:type="pct"/>
                  <w:tcBorders>
                    <w:top w:val="single" w:color="auto" w:sz="4" w:space="0"/>
                    <w:bottom w:val="single" w:color="auto" w:sz="4" w:space="0"/>
                    <w:right w:val="single" w:color="auto" w:sz="4" w:space="0"/>
                  </w:tcBorders>
                  <w:vAlign w:val="center"/>
                </w:tcPr>
                <w:p>
                  <w:pPr>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耗氧量</w:t>
                  </w:r>
                </w:p>
              </w:tc>
              <w:tc>
                <w:tcPr>
                  <w:tcW w:w="1667"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3.0</w:t>
                  </w:r>
                </w:p>
              </w:tc>
              <w:tc>
                <w:tcPr>
                  <w:tcW w:w="1669" w:type="pct"/>
                  <w:vMerge w:val="continue"/>
                  <w:tcBorders>
                    <w:top w:val="single" w:color="auto" w:sz="8" w:space="0"/>
                    <w:left w:val="single" w:color="auto" w:sz="4" w:space="0"/>
                    <w:bottom w:val="single" w:color="auto" w:sz="8" w:space="0"/>
                  </w:tcBorders>
                  <w:vAlign w:val="center"/>
                </w:tcPr>
                <w:p>
                  <w:pPr>
                    <w:widowControl/>
                    <w:snapToGrid w:val="0"/>
                    <w:jc w:val="left"/>
                    <w:rPr>
                      <w:rFonts w:ascii="Times New Roman" w:hAnsi="Times New Roman" w:eastAsia="宋体"/>
                      <w:color w:val="000000" w:themeColor="text1"/>
                      <w:szCs w:val="21"/>
                    </w:rPr>
                  </w:pPr>
                </w:p>
              </w:tc>
            </w:tr>
            <w:tr>
              <w:tblPrEx>
                <w:tblCellMar>
                  <w:top w:w="0" w:type="dxa"/>
                  <w:left w:w="108" w:type="dxa"/>
                  <w:bottom w:w="0" w:type="dxa"/>
                  <w:right w:w="108" w:type="dxa"/>
                </w:tblCellMar>
              </w:tblPrEx>
              <w:trPr>
                <w:trHeight w:val="397" w:hRule="atLeast"/>
                <w:jc w:val="center"/>
              </w:trPr>
              <w:tc>
                <w:tcPr>
                  <w:tcW w:w="1664" w:type="pct"/>
                  <w:tcBorders>
                    <w:top w:val="single" w:color="auto" w:sz="4" w:space="0"/>
                    <w:bottom w:val="single" w:color="auto" w:sz="4" w:space="0"/>
                    <w:right w:val="single" w:color="auto" w:sz="4" w:space="0"/>
                  </w:tcBorders>
                  <w:vAlign w:val="center"/>
                </w:tcPr>
                <w:p>
                  <w:pPr>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NH</w:t>
                  </w:r>
                  <w:r>
                    <w:rPr>
                      <w:rFonts w:ascii="Times New Roman" w:hAnsi="Times New Roman" w:eastAsia="宋体"/>
                      <w:color w:val="000000" w:themeColor="text1"/>
                      <w:szCs w:val="21"/>
                      <w:vertAlign w:val="subscript"/>
                    </w:rPr>
                    <w:t>3</w:t>
                  </w:r>
                  <w:r>
                    <w:rPr>
                      <w:rFonts w:ascii="Times New Roman" w:hAnsi="Times New Roman" w:eastAsia="宋体"/>
                      <w:color w:val="000000" w:themeColor="text1"/>
                      <w:szCs w:val="21"/>
                    </w:rPr>
                    <w:t>-N</w:t>
                  </w:r>
                </w:p>
              </w:tc>
              <w:tc>
                <w:tcPr>
                  <w:tcW w:w="1667"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0.5</w:t>
                  </w:r>
                </w:p>
              </w:tc>
              <w:tc>
                <w:tcPr>
                  <w:tcW w:w="1669" w:type="pct"/>
                  <w:vMerge w:val="continue"/>
                  <w:tcBorders>
                    <w:top w:val="single" w:color="auto" w:sz="8" w:space="0"/>
                    <w:left w:val="single" w:color="auto" w:sz="4" w:space="0"/>
                    <w:bottom w:val="single" w:color="auto" w:sz="8" w:space="0"/>
                  </w:tcBorders>
                  <w:vAlign w:val="center"/>
                </w:tcPr>
                <w:p>
                  <w:pPr>
                    <w:widowControl/>
                    <w:snapToGrid w:val="0"/>
                    <w:jc w:val="left"/>
                    <w:rPr>
                      <w:rFonts w:ascii="Times New Roman" w:hAnsi="Times New Roman" w:eastAsia="宋体"/>
                      <w:color w:val="000000" w:themeColor="text1"/>
                      <w:szCs w:val="21"/>
                    </w:rPr>
                  </w:pPr>
                </w:p>
              </w:tc>
            </w:tr>
            <w:tr>
              <w:tblPrEx>
                <w:tblCellMar>
                  <w:top w:w="0" w:type="dxa"/>
                  <w:left w:w="108" w:type="dxa"/>
                  <w:bottom w:w="0" w:type="dxa"/>
                  <w:right w:w="108" w:type="dxa"/>
                </w:tblCellMar>
              </w:tblPrEx>
              <w:trPr>
                <w:trHeight w:val="397" w:hRule="atLeast"/>
                <w:jc w:val="center"/>
              </w:trPr>
              <w:tc>
                <w:tcPr>
                  <w:tcW w:w="1664" w:type="pct"/>
                  <w:tcBorders>
                    <w:top w:val="single" w:color="auto" w:sz="4" w:space="0"/>
                    <w:bottom w:val="single" w:color="auto" w:sz="8" w:space="0"/>
                    <w:right w:val="single" w:color="auto" w:sz="4" w:space="0"/>
                  </w:tcBorders>
                  <w:vAlign w:val="center"/>
                </w:tcPr>
                <w:p>
                  <w:pPr>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总大肠菌群</w:t>
                  </w:r>
                </w:p>
              </w:tc>
              <w:tc>
                <w:tcPr>
                  <w:tcW w:w="1667" w:type="pct"/>
                  <w:tcBorders>
                    <w:top w:val="single" w:color="auto" w:sz="4" w:space="0"/>
                    <w:left w:val="single" w:color="auto" w:sz="4" w:space="0"/>
                    <w:bottom w:val="single" w:color="auto" w:sz="8" w:space="0"/>
                    <w:right w:val="single" w:color="auto" w:sz="4" w:space="0"/>
                  </w:tcBorders>
                  <w:vAlign w:val="center"/>
                </w:tcPr>
                <w:p>
                  <w:pPr>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3.0/(CFU</w:t>
                  </w:r>
                  <w:r>
                    <w:rPr>
                      <w:rFonts w:ascii="Times New Roman" w:hAnsi="Times New Roman" w:eastAsia="宋体"/>
                      <w:color w:val="000000" w:themeColor="text1"/>
                      <w:szCs w:val="21"/>
                      <w:vertAlign w:val="superscript"/>
                    </w:rPr>
                    <w:t>c</w:t>
                  </w:r>
                  <w:r>
                    <w:rPr>
                      <w:rFonts w:ascii="Times New Roman" w:hAnsi="Times New Roman" w:eastAsia="宋体"/>
                      <w:color w:val="000000" w:themeColor="text1"/>
                      <w:szCs w:val="21"/>
                    </w:rPr>
                    <w:t>/100mL)</w:t>
                  </w:r>
                </w:p>
              </w:tc>
              <w:tc>
                <w:tcPr>
                  <w:tcW w:w="1669" w:type="pct"/>
                  <w:vMerge w:val="continue"/>
                  <w:tcBorders>
                    <w:top w:val="single" w:color="auto" w:sz="4" w:space="0"/>
                    <w:left w:val="single" w:color="auto" w:sz="4" w:space="0"/>
                    <w:bottom w:val="single" w:color="auto" w:sz="8" w:space="0"/>
                  </w:tcBorders>
                  <w:vAlign w:val="center"/>
                </w:tcPr>
                <w:p>
                  <w:pPr>
                    <w:widowControl/>
                    <w:snapToGrid w:val="0"/>
                    <w:jc w:val="left"/>
                    <w:rPr>
                      <w:rFonts w:ascii="Times New Roman" w:hAnsi="Times New Roman" w:eastAsia="宋体"/>
                      <w:color w:val="000000" w:themeColor="text1"/>
                      <w:szCs w:val="21"/>
                    </w:rPr>
                  </w:pPr>
                </w:p>
              </w:tc>
            </w:tr>
          </w:tbl>
          <w:p>
            <w:pPr>
              <w:tabs>
                <w:tab w:val="left" w:pos="792"/>
              </w:tabs>
              <w:spacing w:line="440" w:lineRule="exact"/>
              <w:ind w:firstLine="482" w:firstLineChars="200"/>
              <w:rPr>
                <w:rFonts w:ascii="Times New Roman" w:hAnsi="Times New Roman" w:eastAsia="宋体"/>
                <w:b/>
                <w:color w:val="000000" w:themeColor="text1"/>
                <w:sz w:val="24"/>
                <w:szCs w:val="20"/>
              </w:rPr>
            </w:pPr>
            <w:r>
              <w:rPr>
                <w:rFonts w:ascii="Times New Roman" w:hAnsi="Times New Roman" w:eastAsia="宋体"/>
                <w:b/>
                <w:color w:val="000000" w:themeColor="text1"/>
                <w:sz w:val="24"/>
                <w:szCs w:val="20"/>
              </w:rPr>
              <w:t>5、土壤环境</w:t>
            </w:r>
          </w:p>
          <w:p>
            <w:pPr>
              <w:tabs>
                <w:tab w:val="left" w:pos="792"/>
              </w:tabs>
              <w:spacing w:line="440" w:lineRule="exact"/>
              <w:ind w:firstLine="480" w:firstLineChars="200"/>
              <w:rPr>
                <w:rFonts w:ascii="Times New Roman" w:hAnsi="Times New Roman" w:eastAsia="宋体"/>
                <w:color w:val="000000" w:themeColor="text1"/>
                <w:sz w:val="24"/>
                <w:szCs w:val="20"/>
              </w:rPr>
            </w:pPr>
            <w:r>
              <w:rPr>
                <w:rFonts w:ascii="Times New Roman" w:hAnsi="Times New Roman" w:eastAsia="宋体"/>
                <w:color w:val="000000" w:themeColor="text1"/>
                <w:sz w:val="24"/>
                <w:szCs w:val="20"/>
              </w:rPr>
              <w:t>本项目所在区域为工业用地，执行《土壤环境质量  建设用地土壤污染风险管控标准（试行）》（GB36600-2018）筛选值第二类用地标准，其标准限值见下表。</w:t>
            </w:r>
          </w:p>
          <w:p>
            <w:pPr>
              <w:spacing w:line="440" w:lineRule="exact"/>
              <w:jc w:val="center"/>
              <w:rPr>
                <w:rFonts w:ascii="Times New Roman" w:hAnsi="Times New Roman" w:eastAsia="宋体"/>
                <w:b/>
                <w:bCs/>
                <w:color w:val="000000" w:themeColor="text1"/>
                <w:sz w:val="24"/>
              </w:rPr>
            </w:pPr>
            <w:r>
              <w:rPr>
                <w:rFonts w:ascii="Times New Roman" w:hAnsi="Times New Roman" w:eastAsia="宋体"/>
                <w:b/>
                <w:bCs/>
                <w:color w:val="000000" w:themeColor="text1"/>
                <w:sz w:val="24"/>
              </w:rPr>
              <w:t>表2</w:t>
            </w:r>
            <w:r>
              <w:rPr>
                <w:rFonts w:hint="eastAsia" w:ascii="Times New Roman" w:hAnsi="Times New Roman" w:eastAsia="宋体"/>
                <w:b/>
                <w:bCs/>
                <w:color w:val="000000" w:themeColor="text1"/>
                <w:sz w:val="24"/>
              </w:rPr>
              <w:t xml:space="preserve">7    </w:t>
            </w:r>
            <w:r>
              <w:rPr>
                <w:rFonts w:ascii="Times New Roman" w:hAnsi="Times New Roman" w:eastAsia="宋体"/>
                <w:b/>
                <w:bCs/>
                <w:color w:val="000000" w:themeColor="text1"/>
                <w:sz w:val="24"/>
              </w:rPr>
              <w:t>《土壤环境质量建设用地土壤污染风险管控标准》</w:t>
            </w:r>
            <w:r>
              <w:rPr>
                <w:rFonts w:hint="eastAsia" w:ascii="Times New Roman" w:hAnsi="Times New Roman" w:eastAsia="宋体"/>
                <w:b/>
                <w:bCs/>
                <w:color w:val="000000" w:themeColor="text1"/>
                <w:sz w:val="24"/>
              </w:rPr>
              <w:t xml:space="preserve">    </w:t>
            </w:r>
            <w:r>
              <w:rPr>
                <w:rFonts w:ascii="Times New Roman" w:hAnsi="Times New Roman" w:eastAsia="宋体"/>
                <w:b/>
                <w:bCs/>
                <w:color w:val="000000" w:themeColor="text1"/>
                <w:sz w:val="24"/>
              </w:rPr>
              <w:t>单位：</w:t>
            </w:r>
            <w:r>
              <w:rPr>
                <w:rFonts w:ascii="Times New Roman" w:hAnsi="Times New Roman" w:eastAsia="宋体"/>
                <w:b/>
                <w:bCs/>
                <w:color w:val="000000" w:themeColor="text1"/>
                <w:szCs w:val="21"/>
              </w:rPr>
              <w:t>mg/kg</w:t>
            </w: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41"/>
              <w:gridCol w:w="2384"/>
              <w:gridCol w:w="45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0" w:type="pct"/>
                  <w:tcBorders>
                    <w:top w:val="single" w:color="auto" w:sz="8" w:space="0"/>
                    <w:left w:val="nil"/>
                    <w:bottom w:val="single" w:color="auto" w:sz="8" w:space="0"/>
                    <w:right w:val="single" w:color="auto" w:sz="4" w:space="0"/>
                  </w:tcBorders>
                  <w:vAlign w:val="center"/>
                </w:tcPr>
                <w:p>
                  <w:pPr>
                    <w:adjustRightInd w:val="0"/>
                    <w:snapToGrid w:val="0"/>
                    <w:jc w:val="center"/>
                    <w:rPr>
                      <w:rFonts w:ascii="Times New Roman" w:hAnsi="Times New Roman" w:eastAsia="宋体"/>
                      <w:b/>
                      <w:color w:val="000000" w:themeColor="text1"/>
                      <w:szCs w:val="21"/>
                    </w:rPr>
                  </w:pPr>
                  <w:r>
                    <w:rPr>
                      <w:rFonts w:ascii="Times New Roman" w:hAnsi="Times New Roman" w:eastAsia="宋体"/>
                      <w:b/>
                      <w:color w:val="000000" w:themeColor="text1"/>
                      <w:szCs w:val="21"/>
                    </w:rPr>
                    <w:t>序号</w:t>
                  </w:r>
                </w:p>
              </w:tc>
              <w:tc>
                <w:tcPr>
                  <w:tcW w:w="1394" w:type="pct"/>
                  <w:tcBorders>
                    <w:top w:val="single" w:color="auto" w:sz="8" w:space="0"/>
                    <w:left w:val="nil"/>
                    <w:bottom w:val="single" w:color="auto" w:sz="8" w:space="0"/>
                    <w:right w:val="single" w:color="auto" w:sz="4" w:space="0"/>
                  </w:tcBorders>
                  <w:vAlign w:val="center"/>
                </w:tcPr>
                <w:p>
                  <w:pPr>
                    <w:adjustRightInd w:val="0"/>
                    <w:snapToGrid w:val="0"/>
                    <w:jc w:val="center"/>
                    <w:rPr>
                      <w:rFonts w:ascii="Times New Roman" w:hAnsi="Times New Roman" w:eastAsia="宋体"/>
                      <w:b/>
                      <w:color w:val="000000" w:themeColor="text1"/>
                      <w:szCs w:val="21"/>
                    </w:rPr>
                  </w:pPr>
                  <w:r>
                    <w:rPr>
                      <w:rFonts w:ascii="Times New Roman" w:hAnsi="Times New Roman" w:eastAsia="宋体"/>
                      <w:b/>
                      <w:color w:val="000000" w:themeColor="text1"/>
                      <w:szCs w:val="21"/>
                    </w:rPr>
                    <w:t>污染物</w:t>
                  </w:r>
                </w:p>
              </w:tc>
              <w:tc>
                <w:tcPr>
                  <w:tcW w:w="2646" w:type="pct"/>
                  <w:tcBorders>
                    <w:top w:val="single" w:color="auto" w:sz="8" w:space="0"/>
                    <w:left w:val="single" w:color="auto" w:sz="4" w:space="0"/>
                    <w:bottom w:val="single" w:color="auto" w:sz="8" w:space="0"/>
                    <w:right w:val="nil"/>
                  </w:tcBorders>
                  <w:vAlign w:val="center"/>
                </w:tcPr>
                <w:p>
                  <w:pPr>
                    <w:adjustRightInd w:val="0"/>
                    <w:snapToGrid w:val="0"/>
                    <w:jc w:val="center"/>
                    <w:rPr>
                      <w:rFonts w:ascii="Times New Roman" w:hAnsi="Times New Roman" w:eastAsia="宋体"/>
                      <w:b/>
                      <w:color w:val="000000" w:themeColor="text1"/>
                      <w:szCs w:val="21"/>
                    </w:rPr>
                  </w:pPr>
                  <w:r>
                    <w:rPr>
                      <w:rFonts w:ascii="Times New Roman" w:hAnsi="Times New Roman" w:eastAsia="宋体"/>
                      <w:b/>
                      <w:color w:val="000000" w:themeColor="text1"/>
                      <w:szCs w:val="21"/>
                    </w:rPr>
                    <w:t>筛选值第二类用地标准限值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1</w:t>
                  </w:r>
                </w:p>
              </w:tc>
              <w:tc>
                <w:tcPr>
                  <w:tcW w:w="1394"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pH</w:t>
                  </w:r>
                </w:p>
              </w:tc>
              <w:tc>
                <w:tcPr>
                  <w:tcW w:w="2646" w:type="pct"/>
                  <w:tcBorders>
                    <w:top w:val="single" w:color="auto" w:sz="8"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96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2</w:t>
                  </w:r>
                </w:p>
              </w:tc>
              <w:tc>
                <w:tcPr>
                  <w:tcW w:w="1394"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砷</w:t>
                  </w:r>
                </w:p>
              </w:tc>
              <w:tc>
                <w:tcPr>
                  <w:tcW w:w="26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96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3</w:t>
                  </w:r>
                </w:p>
              </w:tc>
              <w:tc>
                <w:tcPr>
                  <w:tcW w:w="1394"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镉</w:t>
                  </w:r>
                </w:p>
              </w:tc>
              <w:tc>
                <w:tcPr>
                  <w:tcW w:w="26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96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4</w:t>
                  </w:r>
                </w:p>
              </w:tc>
              <w:tc>
                <w:tcPr>
                  <w:tcW w:w="1394"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六价铬</w:t>
                  </w:r>
                </w:p>
              </w:tc>
              <w:tc>
                <w:tcPr>
                  <w:tcW w:w="26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5.7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96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5</w:t>
                  </w:r>
                </w:p>
              </w:tc>
              <w:tc>
                <w:tcPr>
                  <w:tcW w:w="1394"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铜</w:t>
                  </w:r>
                </w:p>
              </w:tc>
              <w:tc>
                <w:tcPr>
                  <w:tcW w:w="26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18000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96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6</w:t>
                  </w:r>
                </w:p>
              </w:tc>
              <w:tc>
                <w:tcPr>
                  <w:tcW w:w="1394"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铅</w:t>
                  </w:r>
                </w:p>
              </w:tc>
              <w:tc>
                <w:tcPr>
                  <w:tcW w:w="26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800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96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7</w:t>
                  </w:r>
                </w:p>
              </w:tc>
              <w:tc>
                <w:tcPr>
                  <w:tcW w:w="1394"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汞</w:t>
                  </w:r>
                </w:p>
              </w:tc>
              <w:tc>
                <w:tcPr>
                  <w:tcW w:w="26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96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8</w:t>
                  </w:r>
                </w:p>
              </w:tc>
              <w:tc>
                <w:tcPr>
                  <w:tcW w:w="1394"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镍</w:t>
                  </w:r>
                </w:p>
              </w:tc>
              <w:tc>
                <w:tcPr>
                  <w:tcW w:w="26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900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96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9</w:t>
                  </w:r>
                </w:p>
              </w:tc>
              <w:tc>
                <w:tcPr>
                  <w:tcW w:w="1394"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四氯化碳</w:t>
                  </w:r>
                </w:p>
              </w:tc>
              <w:tc>
                <w:tcPr>
                  <w:tcW w:w="26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96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10</w:t>
                  </w:r>
                </w:p>
              </w:tc>
              <w:tc>
                <w:tcPr>
                  <w:tcW w:w="1394"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氯仿</w:t>
                  </w:r>
                </w:p>
              </w:tc>
              <w:tc>
                <w:tcPr>
                  <w:tcW w:w="26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96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11</w:t>
                  </w:r>
                </w:p>
              </w:tc>
              <w:tc>
                <w:tcPr>
                  <w:tcW w:w="1394"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氯甲烷</w:t>
                  </w:r>
                </w:p>
              </w:tc>
              <w:tc>
                <w:tcPr>
                  <w:tcW w:w="26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96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12</w:t>
                  </w:r>
                </w:p>
              </w:tc>
              <w:tc>
                <w:tcPr>
                  <w:tcW w:w="1394"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1，1-二氯乙烷</w:t>
                  </w:r>
                </w:p>
              </w:tc>
              <w:tc>
                <w:tcPr>
                  <w:tcW w:w="26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96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13</w:t>
                  </w:r>
                </w:p>
              </w:tc>
              <w:tc>
                <w:tcPr>
                  <w:tcW w:w="1394"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1，2-二氯乙烷</w:t>
                  </w:r>
                </w:p>
              </w:tc>
              <w:tc>
                <w:tcPr>
                  <w:tcW w:w="26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96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14</w:t>
                  </w:r>
                </w:p>
              </w:tc>
              <w:tc>
                <w:tcPr>
                  <w:tcW w:w="1394"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1，1-二氯乙烯</w:t>
                  </w:r>
                </w:p>
              </w:tc>
              <w:tc>
                <w:tcPr>
                  <w:tcW w:w="26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96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15</w:t>
                  </w:r>
                </w:p>
              </w:tc>
              <w:tc>
                <w:tcPr>
                  <w:tcW w:w="1394"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顺-1，2-二氯乙烯</w:t>
                  </w:r>
                </w:p>
              </w:tc>
              <w:tc>
                <w:tcPr>
                  <w:tcW w:w="26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596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96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16</w:t>
                  </w:r>
                </w:p>
              </w:tc>
              <w:tc>
                <w:tcPr>
                  <w:tcW w:w="1394"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反-1，2-二氯乙烯</w:t>
                  </w:r>
                </w:p>
              </w:tc>
              <w:tc>
                <w:tcPr>
                  <w:tcW w:w="26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96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17</w:t>
                  </w:r>
                </w:p>
              </w:tc>
              <w:tc>
                <w:tcPr>
                  <w:tcW w:w="1394"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二氯甲烷</w:t>
                  </w:r>
                </w:p>
              </w:tc>
              <w:tc>
                <w:tcPr>
                  <w:tcW w:w="26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616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96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18</w:t>
                  </w:r>
                </w:p>
              </w:tc>
              <w:tc>
                <w:tcPr>
                  <w:tcW w:w="1394"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1，2-二氯丙烷</w:t>
                  </w:r>
                </w:p>
              </w:tc>
              <w:tc>
                <w:tcPr>
                  <w:tcW w:w="26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96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19</w:t>
                  </w:r>
                </w:p>
              </w:tc>
              <w:tc>
                <w:tcPr>
                  <w:tcW w:w="1394"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1，1，1，2-四氯乙烷</w:t>
                  </w:r>
                </w:p>
              </w:tc>
              <w:tc>
                <w:tcPr>
                  <w:tcW w:w="26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96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20</w:t>
                  </w:r>
                </w:p>
              </w:tc>
              <w:tc>
                <w:tcPr>
                  <w:tcW w:w="1394"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1，1，2，2-四氯乙烷</w:t>
                  </w:r>
                </w:p>
              </w:tc>
              <w:tc>
                <w:tcPr>
                  <w:tcW w:w="26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96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21</w:t>
                  </w:r>
                </w:p>
              </w:tc>
              <w:tc>
                <w:tcPr>
                  <w:tcW w:w="1394"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四氯乙烯</w:t>
                  </w:r>
                </w:p>
              </w:tc>
              <w:tc>
                <w:tcPr>
                  <w:tcW w:w="26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53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96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22</w:t>
                  </w:r>
                </w:p>
              </w:tc>
              <w:tc>
                <w:tcPr>
                  <w:tcW w:w="1394"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1，1，1-三氯乙烷</w:t>
                  </w:r>
                </w:p>
              </w:tc>
              <w:tc>
                <w:tcPr>
                  <w:tcW w:w="26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840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96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23</w:t>
                  </w:r>
                </w:p>
              </w:tc>
              <w:tc>
                <w:tcPr>
                  <w:tcW w:w="1394"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1，1，2-三氯乙烷</w:t>
                  </w:r>
                </w:p>
              </w:tc>
              <w:tc>
                <w:tcPr>
                  <w:tcW w:w="26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96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24</w:t>
                  </w:r>
                </w:p>
              </w:tc>
              <w:tc>
                <w:tcPr>
                  <w:tcW w:w="1394"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三氯乙烯</w:t>
                  </w:r>
                </w:p>
              </w:tc>
              <w:tc>
                <w:tcPr>
                  <w:tcW w:w="26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96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25</w:t>
                  </w:r>
                </w:p>
              </w:tc>
              <w:tc>
                <w:tcPr>
                  <w:tcW w:w="1394"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1，2，3-三氯丙烷</w:t>
                  </w:r>
                </w:p>
              </w:tc>
              <w:tc>
                <w:tcPr>
                  <w:tcW w:w="26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96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26</w:t>
                  </w:r>
                </w:p>
              </w:tc>
              <w:tc>
                <w:tcPr>
                  <w:tcW w:w="1394"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氯乙烯</w:t>
                  </w:r>
                </w:p>
              </w:tc>
              <w:tc>
                <w:tcPr>
                  <w:tcW w:w="26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0.43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96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27</w:t>
                  </w:r>
                </w:p>
              </w:tc>
              <w:tc>
                <w:tcPr>
                  <w:tcW w:w="1394"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苯</w:t>
                  </w:r>
                </w:p>
              </w:tc>
              <w:tc>
                <w:tcPr>
                  <w:tcW w:w="26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96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28</w:t>
                  </w:r>
                </w:p>
              </w:tc>
              <w:tc>
                <w:tcPr>
                  <w:tcW w:w="1394"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氯苯</w:t>
                  </w:r>
                </w:p>
              </w:tc>
              <w:tc>
                <w:tcPr>
                  <w:tcW w:w="26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270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96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29</w:t>
                  </w:r>
                </w:p>
              </w:tc>
              <w:tc>
                <w:tcPr>
                  <w:tcW w:w="1394"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1，2-二氯苯</w:t>
                  </w:r>
                </w:p>
              </w:tc>
              <w:tc>
                <w:tcPr>
                  <w:tcW w:w="26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560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96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30</w:t>
                  </w:r>
                </w:p>
              </w:tc>
              <w:tc>
                <w:tcPr>
                  <w:tcW w:w="1394"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1，4-二氯苯</w:t>
                  </w:r>
                </w:p>
              </w:tc>
              <w:tc>
                <w:tcPr>
                  <w:tcW w:w="26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96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31</w:t>
                  </w:r>
                </w:p>
              </w:tc>
              <w:tc>
                <w:tcPr>
                  <w:tcW w:w="1394"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乙苯</w:t>
                  </w:r>
                </w:p>
              </w:tc>
              <w:tc>
                <w:tcPr>
                  <w:tcW w:w="26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96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32</w:t>
                  </w:r>
                </w:p>
              </w:tc>
              <w:tc>
                <w:tcPr>
                  <w:tcW w:w="1394"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苯乙烯</w:t>
                  </w:r>
                </w:p>
              </w:tc>
              <w:tc>
                <w:tcPr>
                  <w:tcW w:w="26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1290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96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33</w:t>
                  </w:r>
                </w:p>
              </w:tc>
              <w:tc>
                <w:tcPr>
                  <w:tcW w:w="1394"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甲苯</w:t>
                  </w:r>
                </w:p>
              </w:tc>
              <w:tc>
                <w:tcPr>
                  <w:tcW w:w="26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1200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96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34</w:t>
                  </w:r>
                </w:p>
              </w:tc>
              <w:tc>
                <w:tcPr>
                  <w:tcW w:w="1394"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间二甲苯+对二甲苯</w:t>
                  </w:r>
                </w:p>
              </w:tc>
              <w:tc>
                <w:tcPr>
                  <w:tcW w:w="26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570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96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35</w:t>
                  </w:r>
                </w:p>
              </w:tc>
              <w:tc>
                <w:tcPr>
                  <w:tcW w:w="1394"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邻二甲苯</w:t>
                  </w:r>
                </w:p>
              </w:tc>
              <w:tc>
                <w:tcPr>
                  <w:tcW w:w="26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640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96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36</w:t>
                  </w:r>
                </w:p>
              </w:tc>
              <w:tc>
                <w:tcPr>
                  <w:tcW w:w="1394"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硝基苯</w:t>
                  </w:r>
                </w:p>
              </w:tc>
              <w:tc>
                <w:tcPr>
                  <w:tcW w:w="26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76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96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37</w:t>
                  </w:r>
                </w:p>
              </w:tc>
              <w:tc>
                <w:tcPr>
                  <w:tcW w:w="1394"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苯胺</w:t>
                  </w:r>
                </w:p>
              </w:tc>
              <w:tc>
                <w:tcPr>
                  <w:tcW w:w="26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260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96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38</w:t>
                  </w:r>
                </w:p>
              </w:tc>
              <w:tc>
                <w:tcPr>
                  <w:tcW w:w="1394"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2-氯酚</w:t>
                  </w:r>
                </w:p>
              </w:tc>
              <w:tc>
                <w:tcPr>
                  <w:tcW w:w="26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2256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96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39</w:t>
                  </w:r>
                </w:p>
              </w:tc>
              <w:tc>
                <w:tcPr>
                  <w:tcW w:w="1394"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苯并［a］蒽</w:t>
                  </w:r>
                </w:p>
              </w:tc>
              <w:tc>
                <w:tcPr>
                  <w:tcW w:w="26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96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40</w:t>
                  </w:r>
                </w:p>
              </w:tc>
              <w:tc>
                <w:tcPr>
                  <w:tcW w:w="1394"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苯并［a］芘</w:t>
                  </w:r>
                </w:p>
              </w:tc>
              <w:tc>
                <w:tcPr>
                  <w:tcW w:w="26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96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41</w:t>
                  </w:r>
                </w:p>
              </w:tc>
              <w:tc>
                <w:tcPr>
                  <w:tcW w:w="1394"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苯并［b］荧蒽</w:t>
                  </w:r>
                </w:p>
              </w:tc>
              <w:tc>
                <w:tcPr>
                  <w:tcW w:w="26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96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42</w:t>
                  </w:r>
                </w:p>
              </w:tc>
              <w:tc>
                <w:tcPr>
                  <w:tcW w:w="1394"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苯并［k］荧蒽</w:t>
                  </w:r>
                </w:p>
              </w:tc>
              <w:tc>
                <w:tcPr>
                  <w:tcW w:w="26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151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96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43</w:t>
                  </w:r>
                </w:p>
              </w:tc>
              <w:tc>
                <w:tcPr>
                  <w:tcW w:w="1394"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䓛</w:t>
                  </w:r>
                </w:p>
              </w:tc>
              <w:tc>
                <w:tcPr>
                  <w:tcW w:w="26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1293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96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44</w:t>
                  </w:r>
                </w:p>
              </w:tc>
              <w:tc>
                <w:tcPr>
                  <w:tcW w:w="1394"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二苯并［a，h］蒽</w:t>
                  </w:r>
                </w:p>
              </w:tc>
              <w:tc>
                <w:tcPr>
                  <w:tcW w:w="26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960"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45</w:t>
                  </w:r>
                </w:p>
              </w:tc>
              <w:tc>
                <w:tcPr>
                  <w:tcW w:w="1394" w:type="pc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茚并［1，2，3-cd］芘</w:t>
                  </w:r>
                </w:p>
              </w:tc>
              <w:tc>
                <w:tcPr>
                  <w:tcW w:w="26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960" w:type="pct"/>
                  <w:tcBorders>
                    <w:top w:val="single" w:color="auto" w:sz="4" w:space="0"/>
                    <w:left w:val="nil"/>
                    <w:bottom w:val="single" w:color="auto" w:sz="8"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46</w:t>
                  </w:r>
                </w:p>
              </w:tc>
              <w:tc>
                <w:tcPr>
                  <w:tcW w:w="1394" w:type="pct"/>
                  <w:tcBorders>
                    <w:top w:val="single" w:color="auto" w:sz="4" w:space="0"/>
                    <w:left w:val="nil"/>
                    <w:bottom w:val="single" w:color="auto" w:sz="8"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萘</w:t>
                  </w:r>
                </w:p>
              </w:tc>
              <w:tc>
                <w:tcPr>
                  <w:tcW w:w="2646" w:type="pct"/>
                  <w:tcBorders>
                    <w:top w:val="single" w:color="auto" w:sz="4" w:space="0"/>
                    <w:left w:val="single" w:color="auto" w:sz="4" w:space="0"/>
                    <w:bottom w:val="single" w:color="auto" w:sz="8"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70</w:t>
                  </w:r>
                </w:p>
              </w:tc>
            </w:tr>
          </w:tbl>
          <w:p>
            <w:pPr>
              <w:spacing w:line="480" w:lineRule="exact"/>
              <w:ind w:firstLine="480" w:firstLineChars="200"/>
              <w:jc w:val="center"/>
              <w:rPr>
                <w:rFonts w:ascii="Times New Roman" w:hAnsi="Times New Roman" w:eastAsia="宋体"/>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35" w:hRule="atLeast"/>
          <w:jc w:val="center"/>
        </w:trPr>
        <w:tc>
          <w:tcPr>
            <w:tcW w:w="456" w:type="dxa"/>
            <w:vAlign w:val="center"/>
          </w:tcPr>
          <w:p>
            <w:pPr>
              <w:spacing w:line="480" w:lineRule="exact"/>
              <w:jc w:val="center"/>
              <w:rPr>
                <w:rFonts w:ascii="Times New Roman" w:hAnsi="Times New Roman" w:eastAsia="宋体"/>
                <w:color w:val="000000" w:themeColor="text1"/>
                <w:sz w:val="24"/>
              </w:rPr>
            </w:pPr>
            <w:r>
              <w:rPr>
                <w:rFonts w:ascii="Times New Roman" w:hAnsi="Times New Roman" w:eastAsia="宋体"/>
                <w:color w:val="000000" w:themeColor="text1"/>
                <w:sz w:val="24"/>
              </w:rPr>
              <w:t>污</w:t>
            </w:r>
          </w:p>
          <w:p>
            <w:pPr>
              <w:spacing w:line="480" w:lineRule="exact"/>
              <w:jc w:val="center"/>
              <w:rPr>
                <w:rFonts w:ascii="Times New Roman" w:hAnsi="Times New Roman" w:eastAsia="宋体"/>
                <w:color w:val="000000" w:themeColor="text1"/>
                <w:sz w:val="24"/>
              </w:rPr>
            </w:pPr>
            <w:r>
              <w:rPr>
                <w:rFonts w:ascii="Times New Roman" w:hAnsi="Times New Roman" w:eastAsia="宋体"/>
                <w:color w:val="000000" w:themeColor="text1"/>
                <w:sz w:val="24"/>
              </w:rPr>
              <w:t>染</w:t>
            </w:r>
          </w:p>
          <w:p>
            <w:pPr>
              <w:spacing w:line="480" w:lineRule="exact"/>
              <w:jc w:val="center"/>
              <w:rPr>
                <w:rFonts w:ascii="Times New Roman" w:hAnsi="Times New Roman" w:eastAsia="宋体"/>
                <w:color w:val="000000" w:themeColor="text1"/>
                <w:sz w:val="24"/>
              </w:rPr>
            </w:pPr>
            <w:r>
              <w:rPr>
                <w:rFonts w:ascii="Times New Roman" w:hAnsi="Times New Roman" w:eastAsia="宋体"/>
                <w:color w:val="000000" w:themeColor="text1"/>
                <w:sz w:val="24"/>
              </w:rPr>
              <w:t>物</w:t>
            </w:r>
          </w:p>
          <w:p>
            <w:pPr>
              <w:spacing w:line="480" w:lineRule="exact"/>
              <w:jc w:val="center"/>
              <w:rPr>
                <w:rFonts w:ascii="Times New Roman" w:hAnsi="Times New Roman" w:eastAsia="宋体"/>
                <w:color w:val="000000" w:themeColor="text1"/>
                <w:sz w:val="24"/>
              </w:rPr>
            </w:pPr>
            <w:r>
              <w:rPr>
                <w:rFonts w:ascii="Times New Roman" w:hAnsi="Times New Roman" w:eastAsia="宋体"/>
                <w:color w:val="000000" w:themeColor="text1"/>
                <w:sz w:val="24"/>
              </w:rPr>
              <w:t>排</w:t>
            </w:r>
          </w:p>
          <w:p>
            <w:pPr>
              <w:spacing w:line="480" w:lineRule="exact"/>
              <w:jc w:val="center"/>
              <w:rPr>
                <w:rFonts w:ascii="Times New Roman" w:hAnsi="Times New Roman" w:eastAsia="宋体"/>
                <w:color w:val="000000" w:themeColor="text1"/>
                <w:sz w:val="24"/>
              </w:rPr>
            </w:pPr>
            <w:r>
              <w:rPr>
                <w:rFonts w:ascii="Times New Roman" w:hAnsi="Times New Roman" w:eastAsia="宋体"/>
                <w:color w:val="000000" w:themeColor="text1"/>
                <w:sz w:val="24"/>
              </w:rPr>
              <w:t>放</w:t>
            </w:r>
          </w:p>
          <w:p>
            <w:pPr>
              <w:spacing w:line="480" w:lineRule="exact"/>
              <w:jc w:val="center"/>
              <w:rPr>
                <w:rFonts w:ascii="Times New Roman" w:hAnsi="Times New Roman" w:eastAsia="宋体"/>
                <w:color w:val="000000" w:themeColor="text1"/>
                <w:sz w:val="24"/>
              </w:rPr>
            </w:pPr>
            <w:r>
              <w:rPr>
                <w:rFonts w:ascii="Times New Roman" w:hAnsi="Times New Roman" w:eastAsia="宋体"/>
                <w:color w:val="000000" w:themeColor="text1"/>
                <w:sz w:val="24"/>
              </w:rPr>
              <w:t>标</w:t>
            </w:r>
          </w:p>
          <w:p>
            <w:pPr>
              <w:spacing w:line="480" w:lineRule="exact"/>
              <w:jc w:val="center"/>
              <w:rPr>
                <w:rFonts w:ascii="Times New Roman" w:hAnsi="Times New Roman" w:eastAsia="宋体"/>
                <w:color w:val="000000" w:themeColor="text1"/>
                <w:sz w:val="24"/>
              </w:rPr>
            </w:pPr>
            <w:r>
              <w:rPr>
                <w:rFonts w:ascii="Times New Roman" w:hAnsi="Times New Roman" w:eastAsia="宋体"/>
                <w:color w:val="000000" w:themeColor="text1"/>
                <w:sz w:val="24"/>
              </w:rPr>
              <w:t>准</w:t>
            </w:r>
          </w:p>
        </w:tc>
        <w:tc>
          <w:tcPr>
            <w:tcW w:w="8786" w:type="dxa"/>
            <w:vAlign w:val="center"/>
          </w:tcPr>
          <w:p>
            <w:pPr>
              <w:snapToGrid w:val="0"/>
              <w:spacing w:line="440" w:lineRule="exact"/>
              <w:ind w:firstLine="482" w:firstLineChars="200"/>
              <w:textAlignment w:val="baseline"/>
              <w:rPr>
                <w:rFonts w:ascii="Times New Roman" w:hAnsi="Times New Roman" w:eastAsia="宋体"/>
                <w:b/>
                <w:color w:val="000000" w:themeColor="text1"/>
                <w:sz w:val="24"/>
              </w:rPr>
            </w:pPr>
            <w:r>
              <w:rPr>
                <w:rFonts w:ascii="Times New Roman" w:hAnsi="Times New Roman" w:eastAsia="宋体"/>
                <w:b/>
                <w:color w:val="000000" w:themeColor="text1"/>
                <w:sz w:val="24"/>
              </w:rPr>
              <w:t>1、废气</w:t>
            </w:r>
          </w:p>
          <w:p>
            <w:pPr>
              <w:spacing w:line="440" w:lineRule="exact"/>
              <w:ind w:firstLine="480" w:firstLineChars="200"/>
              <w:rPr>
                <w:rFonts w:ascii="Times New Roman" w:eastAsia="宋体"/>
                <w:color w:val="000000" w:themeColor="text1"/>
                <w:sz w:val="24"/>
              </w:rPr>
            </w:pPr>
            <w:r>
              <w:rPr>
                <w:rFonts w:ascii="Times New Roman" w:hAnsi="Times New Roman" w:eastAsia="宋体"/>
                <w:bCs/>
                <w:color w:val="000000" w:themeColor="text1"/>
                <w:sz w:val="24"/>
              </w:rPr>
              <w:t>本项目压合工序有机废气排放执行</w:t>
            </w:r>
            <w:r>
              <w:rPr>
                <w:rFonts w:hint="eastAsia" w:ascii="Times New Roman" w:eastAsia="宋体"/>
                <w:color w:val="000000" w:themeColor="text1"/>
                <w:sz w:val="24"/>
              </w:rPr>
              <w:t>《关于全省开展工业企业挥发性有机物专项治理工作中排放建议值的通知》（豫环攻坚办</w:t>
            </w:r>
            <w:r>
              <w:rPr>
                <w:rFonts w:ascii="Times New Roman" w:hAnsi="Times New Roman" w:eastAsia="宋体"/>
                <w:color w:val="000000" w:themeColor="text1"/>
                <w:sz w:val="24"/>
              </w:rPr>
              <w:t>[2017]162</w:t>
            </w:r>
            <w:r>
              <w:rPr>
                <w:rFonts w:hint="eastAsia" w:ascii="Times New Roman" w:eastAsia="宋体"/>
                <w:color w:val="000000" w:themeColor="text1"/>
                <w:sz w:val="24"/>
              </w:rPr>
              <w:t>号文）标准和《烧碱、聚氯乙烯工业污染物排放标准》</w:t>
            </w:r>
            <w:r>
              <w:rPr>
                <w:rFonts w:ascii="Times New Roman" w:eastAsia="宋体"/>
                <w:color w:val="000000" w:themeColor="text1"/>
                <w:sz w:val="24"/>
              </w:rPr>
              <w:t>（</w:t>
            </w:r>
            <w:r>
              <w:rPr>
                <w:rFonts w:ascii="Times New Roman" w:hAnsi="Times New Roman" w:eastAsia="宋体"/>
                <w:color w:val="000000" w:themeColor="text1"/>
                <w:sz w:val="24"/>
              </w:rPr>
              <w:t>GB</w:t>
            </w:r>
            <w:r>
              <w:rPr>
                <w:rFonts w:hint="eastAsia" w:ascii="Times New Roman" w:hAnsi="Times New Roman" w:eastAsia="宋体"/>
                <w:color w:val="000000" w:themeColor="text1"/>
                <w:sz w:val="24"/>
              </w:rPr>
              <w:t>15581</w:t>
            </w:r>
            <w:r>
              <w:rPr>
                <w:rFonts w:ascii="Times New Roman" w:hAnsi="Times New Roman" w:eastAsia="宋体"/>
                <w:color w:val="000000" w:themeColor="text1"/>
                <w:sz w:val="24"/>
              </w:rPr>
              <w:t>-</w:t>
            </w:r>
            <w:r>
              <w:rPr>
                <w:rFonts w:hint="eastAsia" w:ascii="Times New Roman" w:hAnsi="Times New Roman" w:eastAsia="宋体"/>
                <w:color w:val="000000" w:themeColor="text1"/>
                <w:sz w:val="24"/>
              </w:rPr>
              <w:t>2016</w:t>
            </w:r>
            <w:r>
              <w:rPr>
                <w:rFonts w:ascii="Times New Roman" w:eastAsia="宋体"/>
                <w:color w:val="000000" w:themeColor="text1"/>
                <w:sz w:val="24"/>
              </w:rPr>
              <w:t>）表</w:t>
            </w:r>
            <w:r>
              <w:rPr>
                <w:rFonts w:hint="eastAsia" w:ascii="Times New Roman" w:hAnsi="Times New Roman" w:eastAsia="宋体"/>
                <w:color w:val="000000" w:themeColor="text1"/>
                <w:sz w:val="24"/>
              </w:rPr>
              <w:t>4</w:t>
            </w:r>
            <w:r>
              <w:rPr>
                <w:rFonts w:hint="eastAsia" w:ascii="Times New Roman" w:eastAsia="宋体"/>
                <w:color w:val="000000" w:themeColor="text1"/>
                <w:sz w:val="24"/>
              </w:rPr>
              <w:t>标准，具体标准值见下表。</w:t>
            </w:r>
          </w:p>
          <w:p>
            <w:pPr>
              <w:pStyle w:val="2"/>
            </w:pPr>
          </w:p>
          <w:p/>
          <w:p>
            <w:pPr>
              <w:pStyle w:val="2"/>
            </w:pPr>
          </w:p>
          <w:p>
            <w:pPr>
              <w:pStyle w:val="6"/>
              <w:keepNext/>
              <w:spacing w:line="440" w:lineRule="exact"/>
              <w:jc w:val="center"/>
              <w:rPr>
                <w:rFonts w:ascii="Times New Roman" w:hAnsi="Times New Roman" w:eastAsia="宋体" w:cs="Times New Roman"/>
                <w:b/>
                <w:color w:val="000000" w:themeColor="text1"/>
                <w:sz w:val="24"/>
                <w:szCs w:val="24"/>
              </w:rPr>
            </w:pPr>
            <w:r>
              <w:rPr>
                <w:rFonts w:hint="eastAsia" w:ascii="Times New Roman" w:hAnsi="Times New Roman" w:eastAsia="宋体"/>
                <w:b/>
                <w:color w:val="000000" w:themeColor="text1"/>
                <w:sz w:val="24"/>
                <w:szCs w:val="24"/>
              </w:rPr>
              <w:t>表</w:t>
            </w:r>
            <w:r>
              <w:rPr>
                <w:rFonts w:ascii="Times New Roman" w:hAnsi="Times New Roman" w:eastAsia="宋体"/>
                <w:b/>
                <w:color w:val="000000" w:themeColor="text1"/>
                <w:sz w:val="24"/>
                <w:szCs w:val="24"/>
              </w:rPr>
              <w:t>2</w:t>
            </w:r>
            <w:r>
              <w:rPr>
                <w:rFonts w:hint="eastAsia" w:ascii="Times New Roman" w:hAnsi="Times New Roman" w:eastAsia="宋体"/>
                <w:b/>
                <w:color w:val="000000" w:themeColor="text1"/>
                <w:sz w:val="24"/>
                <w:szCs w:val="24"/>
              </w:rPr>
              <w:t>8    关于全省开展工业企业挥发性有机物专项治理工作中排放建议值</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497"/>
              <w:gridCol w:w="1378"/>
              <w:gridCol w:w="1702"/>
              <w:gridCol w:w="19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040" w:type="pct"/>
                  <w:tcBorders>
                    <w:top w:val="single" w:color="auto" w:sz="8" w:space="0"/>
                    <w:left w:val="nil"/>
                    <w:bottom w:val="single" w:color="auto" w:sz="8" w:space="0"/>
                    <w:right w:val="single" w:color="auto" w:sz="4" w:space="0"/>
                  </w:tcBorders>
                  <w:vAlign w:val="center"/>
                </w:tcPr>
                <w:p>
                  <w:pPr>
                    <w:jc w:val="center"/>
                    <w:rPr>
                      <w:rFonts w:ascii="Times New Roman" w:hAnsi="Times New Roman" w:eastAsia="宋体"/>
                      <w:b/>
                      <w:color w:val="000000" w:themeColor="text1"/>
                      <w:szCs w:val="21"/>
                    </w:rPr>
                  </w:pPr>
                  <w:r>
                    <w:rPr>
                      <w:rFonts w:hint="eastAsia" w:ascii="Times New Roman" w:eastAsia="宋体"/>
                      <w:b/>
                      <w:color w:val="000000" w:themeColor="text1"/>
                      <w:szCs w:val="21"/>
                    </w:rPr>
                    <w:t>工艺设施</w:t>
                  </w:r>
                </w:p>
              </w:tc>
              <w:tc>
                <w:tcPr>
                  <w:tcW w:w="804" w:type="pct"/>
                  <w:tcBorders>
                    <w:top w:val="single" w:color="auto" w:sz="8" w:space="0"/>
                    <w:left w:val="single" w:color="auto" w:sz="4" w:space="0"/>
                    <w:bottom w:val="single" w:color="auto" w:sz="8" w:space="0"/>
                    <w:right w:val="single" w:color="auto" w:sz="4" w:space="0"/>
                  </w:tcBorders>
                  <w:vAlign w:val="center"/>
                </w:tcPr>
                <w:p>
                  <w:pPr>
                    <w:jc w:val="center"/>
                    <w:rPr>
                      <w:rFonts w:ascii="Times New Roman" w:hAnsi="Times New Roman" w:eastAsia="宋体"/>
                      <w:b/>
                      <w:color w:val="000000" w:themeColor="text1"/>
                      <w:szCs w:val="21"/>
                    </w:rPr>
                  </w:pPr>
                  <w:r>
                    <w:rPr>
                      <w:rFonts w:hint="eastAsia" w:ascii="Times New Roman" w:eastAsia="宋体"/>
                      <w:b/>
                      <w:color w:val="000000" w:themeColor="text1"/>
                      <w:szCs w:val="21"/>
                    </w:rPr>
                    <w:t>行业</w:t>
                  </w:r>
                </w:p>
              </w:tc>
              <w:tc>
                <w:tcPr>
                  <w:tcW w:w="993" w:type="pct"/>
                  <w:tcBorders>
                    <w:top w:val="single" w:color="auto" w:sz="8" w:space="0"/>
                    <w:left w:val="single" w:color="auto" w:sz="4" w:space="0"/>
                    <w:bottom w:val="single" w:color="auto" w:sz="8" w:space="0"/>
                    <w:right w:val="single" w:color="auto" w:sz="4" w:space="0"/>
                  </w:tcBorders>
                  <w:vAlign w:val="center"/>
                </w:tcPr>
                <w:p>
                  <w:pPr>
                    <w:jc w:val="center"/>
                    <w:rPr>
                      <w:rFonts w:ascii="Times New Roman" w:hAnsi="Times New Roman" w:eastAsia="宋体"/>
                      <w:b/>
                      <w:color w:val="000000" w:themeColor="text1"/>
                      <w:szCs w:val="21"/>
                    </w:rPr>
                  </w:pPr>
                  <w:r>
                    <w:rPr>
                      <w:rFonts w:hint="eastAsia" w:ascii="Times New Roman" w:eastAsia="宋体"/>
                      <w:b/>
                      <w:color w:val="000000" w:themeColor="text1"/>
                      <w:szCs w:val="21"/>
                    </w:rPr>
                    <w:t>污染物项目</w:t>
                  </w:r>
                </w:p>
              </w:tc>
              <w:tc>
                <w:tcPr>
                  <w:tcW w:w="1163" w:type="pct"/>
                  <w:tcBorders>
                    <w:top w:val="single" w:color="auto" w:sz="8" w:space="0"/>
                    <w:left w:val="single" w:color="auto" w:sz="4" w:space="0"/>
                    <w:bottom w:val="single" w:color="auto" w:sz="8" w:space="0"/>
                    <w:right w:val="nil"/>
                  </w:tcBorders>
                  <w:vAlign w:val="center"/>
                </w:tcPr>
                <w:p>
                  <w:pPr>
                    <w:jc w:val="center"/>
                    <w:rPr>
                      <w:rFonts w:ascii="Times New Roman" w:hAnsi="Times New Roman" w:eastAsia="宋体"/>
                      <w:b/>
                      <w:color w:val="000000" w:themeColor="text1"/>
                      <w:szCs w:val="21"/>
                    </w:rPr>
                  </w:pPr>
                  <w:r>
                    <w:rPr>
                      <w:rFonts w:hint="eastAsia" w:ascii="Times New Roman" w:eastAsia="宋体"/>
                      <w:b/>
                      <w:color w:val="000000" w:themeColor="text1"/>
                      <w:szCs w:val="21"/>
                    </w:rPr>
                    <w:t>建议排放浓度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040" w:type="pct"/>
                  <w:tcBorders>
                    <w:top w:val="single" w:color="auto" w:sz="8" w:space="0"/>
                    <w:left w:val="nil"/>
                    <w:bottom w:val="single" w:color="auto" w:sz="4" w:space="0"/>
                    <w:right w:val="single" w:color="auto" w:sz="4" w:space="0"/>
                  </w:tcBorders>
                  <w:vAlign w:val="center"/>
                </w:tcPr>
                <w:p>
                  <w:pPr>
                    <w:jc w:val="center"/>
                    <w:rPr>
                      <w:rFonts w:ascii="Times New Roman" w:hAnsi="Times New Roman" w:eastAsia="宋体"/>
                      <w:color w:val="000000" w:themeColor="text1"/>
                      <w:szCs w:val="21"/>
                    </w:rPr>
                  </w:pPr>
                  <w:r>
                    <w:rPr>
                      <w:rFonts w:hint="eastAsia" w:ascii="Times New Roman" w:eastAsia="宋体"/>
                      <w:color w:val="000000" w:themeColor="text1"/>
                      <w:szCs w:val="21"/>
                    </w:rPr>
                    <w:t>有机废气排放口</w:t>
                  </w:r>
                </w:p>
              </w:tc>
              <w:tc>
                <w:tcPr>
                  <w:tcW w:w="804" w:type="pct"/>
                  <w:tcBorders>
                    <w:top w:val="single" w:color="auto" w:sz="8" w:space="0"/>
                    <w:left w:val="single" w:color="auto" w:sz="4" w:space="0"/>
                    <w:bottom w:val="single" w:color="auto" w:sz="4" w:space="0"/>
                    <w:right w:val="single" w:color="auto" w:sz="4" w:space="0"/>
                  </w:tcBorders>
                  <w:vAlign w:val="center"/>
                </w:tcPr>
                <w:p>
                  <w:pPr>
                    <w:jc w:val="center"/>
                    <w:rPr>
                      <w:rFonts w:ascii="Times New Roman" w:hAnsi="Times New Roman" w:eastAsia="宋体"/>
                      <w:color w:val="000000" w:themeColor="text1"/>
                      <w:szCs w:val="21"/>
                    </w:rPr>
                  </w:pPr>
                  <w:r>
                    <w:rPr>
                      <w:rFonts w:hint="eastAsia" w:ascii="Times New Roman" w:eastAsia="宋体"/>
                      <w:color w:val="000000" w:themeColor="text1"/>
                      <w:szCs w:val="21"/>
                    </w:rPr>
                    <w:t>其他行业</w:t>
                  </w:r>
                </w:p>
              </w:tc>
              <w:tc>
                <w:tcPr>
                  <w:tcW w:w="993" w:type="pct"/>
                  <w:vMerge w:val="restart"/>
                  <w:tcBorders>
                    <w:top w:val="single" w:color="auto" w:sz="8" w:space="0"/>
                    <w:left w:val="single" w:color="auto" w:sz="4" w:space="0"/>
                    <w:bottom w:val="single" w:color="auto" w:sz="12" w:space="0"/>
                    <w:right w:val="single" w:color="auto" w:sz="4" w:space="0"/>
                  </w:tcBorders>
                  <w:vAlign w:val="center"/>
                </w:tcPr>
                <w:p>
                  <w:pPr>
                    <w:jc w:val="center"/>
                    <w:rPr>
                      <w:rFonts w:ascii="Times New Roman" w:hAnsi="Times New Roman" w:eastAsia="宋体"/>
                      <w:color w:val="000000" w:themeColor="text1"/>
                      <w:szCs w:val="21"/>
                    </w:rPr>
                  </w:pPr>
                  <w:r>
                    <w:rPr>
                      <w:rFonts w:hint="eastAsia" w:ascii="Times New Roman" w:eastAsia="宋体"/>
                      <w:color w:val="000000" w:themeColor="text1"/>
                      <w:szCs w:val="21"/>
                    </w:rPr>
                    <w:t>非甲烷总烃</w:t>
                  </w:r>
                </w:p>
              </w:tc>
              <w:tc>
                <w:tcPr>
                  <w:tcW w:w="1163" w:type="pct"/>
                  <w:tcBorders>
                    <w:top w:val="single" w:color="auto" w:sz="8" w:space="0"/>
                    <w:left w:val="single" w:color="auto" w:sz="4" w:space="0"/>
                    <w:bottom w:val="single" w:color="auto" w:sz="4" w:space="0"/>
                    <w:right w:val="nil"/>
                  </w:tcBorders>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80</w:t>
                  </w:r>
                  <w:r>
                    <w:rPr>
                      <w:rFonts w:ascii="Times New Roman" w:hAnsi="Times New Roman" w:eastAsia="宋体"/>
                      <w:bCs/>
                      <w:color w:val="000000" w:themeColor="text1"/>
                      <w:szCs w:val="21"/>
                    </w:rPr>
                    <w:t>mg/m</w:t>
                  </w:r>
                  <w:r>
                    <w:rPr>
                      <w:rFonts w:ascii="Times New Roman" w:hAnsi="Times New Roman" w:eastAsia="宋体"/>
                      <w:bCs/>
                      <w:color w:val="000000" w:themeColor="text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040" w:type="pct"/>
                  <w:tcBorders>
                    <w:top w:val="single" w:color="auto" w:sz="4" w:space="0"/>
                    <w:left w:val="nil"/>
                    <w:bottom w:val="single" w:color="auto" w:sz="4" w:space="0"/>
                    <w:right w:val="single" w:color="auto" w:sz="4" w:space="0"/>
                  </w:tcBorders>
                  <w:vAlign w:val="center"/>
                </w:tcPr>
                <w:p>
                  <w:pPr>
                    <w:jc w:val="center"/>
                    <w:rPr>
                      <w:rFonts w:ascii="Times New Roman" w:hAnsi="Times New Roman" w:eastAsia="宋体"/>
                      <w:color w:val="000000" w:themeColor="text1"/>
                      <w:szCs w:val="21"/>
                    </w:rPr>
                  </w:pPr>
                  <w:r>
                    <w:rPr>
                      <w:rFonts w:hint="eastAsia" w:ascii="Times New Roman" w:eastAsia="宋体"/>
                      <w:color w:val="000000" w:themeColor="text1"/>
                      <w:szCs w:val="21"/>
                    </w:rPr>
                    <w:t>工业企业边界</w:t>
                  </w:r>
                </w:p>
              </w:tc>
              <w:tc>
                <w:tcPr>
                  <w:tcW w:w="80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olor w:val="000000" w:themeColor="text1"/>
                      <w:szCs w:val="21"/>
                    </w:rPr>
                  </w:pPr>
                  <w:r>
                    <w:rPr>
                      <w:rFonts w:hint="eastAsia" w:ascii="Times New Roman" w:eastAsia="宋体"/>
                      <w:color w:val="000000" w:themeColor="text1"/>
                      <w:szCs w:val="21"/>
                    </w:rPr>
                    <w:t>其他企业</w:t>
                  </w:r>
                </w:p>
              </w:tc>
              <w:tc>
                <w:tcPr>
                  <w:tcW w:w="993" w:type="pct"/>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eastAsia="宋体"/>
                      <w:color w:val="000000" w:themeColor="text1"/>
                      <w:szCs w:val="21"/>
                    </w:rPr>
                  </w:pPr>
                </w:p>
              </w:tc>
              <w:tc>
                <w:tcPr>
                  <w:tcW w:w="1163" w:type="pct"/>
                  <w:tcBorders>
                    <w:top w:val="single" w:color="auto" w:sz="4" w:space="0"/>
                    <w:left w:val="single" w:color="auto" w:sz="4" w:space="0"/>
                    <w:bottom w:val="single" w:color="auto" w:sz="4" w:space="0"/>
                    <w:right w:val="nil"/>
                  </w:tcBorders>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2.0</w:t>
                  </w:r>
                  <w:r>
                    <w:rPr>
                      <w:rFonts w:ascii="Times New Roman" w:hAnsi="Times New Roman" w:eastAsia="宋体"/>
                      <w:bCs/>
                      <w:color w:val="000000" w:themeColor="text1"/>
                      <w:szCs w:val="21"/>
                    </w:rPr>
                    <w:t>mg/m</w:t>
                  </w:r>
                  <w:r>
                    <w:rPr>
                      <w:rFonts w:ascii="Times New Roman" w:hAnsi="Times New Roman" w:eastAsia="宋体"/>
                      <w:bCs/>
                      <w:color w:val="000000" w:themeColor="text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040" w:type="pct"/>
                  <w:tcBorders>
                    <w:top w:val="single" w:color="auto" w:sz="4" w:space="0"/>
                    <w:left w:val="nil"/>
                    <w:bottom w:val="single" w:color="auto" w:sz="8" w:space="0"/>
                    <w:right w:val="single" w:color="auto" w:sz="4" w:space="0"/>
                  </w:tcBorders>
                  <w:vAlign w:val="center"/>
                </w:tcPr>
                <w:p>
                  <w:pPr>
                    <w:jc w:val="center"/>
                    <w:rPr>
                      <w:rFonts w:ascii="Times New Roman" w:hAnsi="Times New Roman" w:eastAsia="宋体"/>
                      <w:color w:val="000000" w:themeColor="text1"/>
                      <w:szCs w:val="21"/>
                    </w:rPr>
                  </w:pPr>
                  <w:r>
                    <w:rPr>
                      <w:rFonts w:hint="eastAsia" w:ascii="Times New Roman" w:eastAsia="宋体"/>
                      <w:color w:val="000000" w:themeColor="text1"/>
                      <w:szCs w:val="21"/>
                    </w:rPr>
                    <w:t>生产车间或生产设施边界</w:t>
                  </w:r>
                </w:p>
              </w:tc>
              <w:tc>
                <w:tcPr>
                  <w:tcW w:w="804" w:type="pct"/>
                  <w:tcBorders>
                    <w:top w:val="single" w:color="auto" w:sz="4" w:space="0"/>
                    <w:left w:val="single" w:color="auto" w:sz="4" w:space="0"/>
                    <w:bottom w:val="single" w:color="auto" w:sz="8" w:space="0"/>
                    <w:right w:val="single" w:color="auto" w:sz="4" w:space="0"/>
                  </w:tcBorders>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w:t>
                  </w:r>
                </w:p>
              </w:tc>
              <w:tc>
                <w:tcPr>
                  <w:tcW w:w="993" w:type="pct"/>
                  <w:vMerge w:val="continue"/>
                  <w:tcBorders>
                    <w:top w:val="single" w:color="auto" w:sz="4" w:space="0"/>
                    <w:left w:val="single" w:color="auto" w:sz="4" w:space="0"/>
                    <w:bottom w:val="single" w:color="auto" w:sz="8" w:space="0"/>
                    <w:right w:val="single" w:color="auto" w:sz="4" w:space="0"/>
                  </w:tcBorders>
                  <w:vAlign w:val="center"/>
                </w:tcPr>
                <w:p>
                  <w:pPr>
                    <w:widowControl/>
                    <w:jc w:val="left"/>
                    <w:rPr>
                      <w:rFonts w:ascii="Times New Roman" w:hAnsi="Times New Roman" w:eastAsia="宋体"/>
                      <w:color w:val="000000" w:themeColor="text1"/>
                      <w:szCs w:val="21"/>
                    </w:rPr>
                  </w:pPr>
                </w:p>
              </w:tc>
              <w:tc>
                <w:tcPr>
                  <w:tcW w:w="1163" w:type="pct"/>
                  <w:tcBorders>
                    <w:top w:val="single" w:color="auto" w:sz="4" w:space="0"/>
                    <w:left w:val="single" w:color="auto" w:sz="4" w:space="0"/>
                    <w:bottom w:val="single" w:color="auto" w:sz="8" w:space="0"/>
                    <w:right w:val="nil"/>
                  </w:tcBorders>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4.0</w:t>
                  </w:r>
                  <w:r>
                    <w:rPr>
                      <w:rFonts w:ascii="Times New Roman" w:hAnsi="Times New Roman" w:eastAsia="宋体"/>
                      <w:bCs/>
                      <w:color w:val="000000" w:themeColor="text1"/>
                      <w:szCs w:val="21"/>
                    </w:rPr>
                    <w:t>mg/m</w:t>
                  </w:r>
                  <w:r>
                    <w:rPr>
                      <w:rFonts w:ascii="Times New Roman" w:hAnsi="Times New Roman" w:eastAsia="宋体"/>
                      <w:bCs/>
                      <w:color w:val="000000" w:themeColor="text1"/>
                      <w:szCs w:val="21"/>
                      <w:vertAlign w:val="superscript"/>
                    </w:rPr>
                    <w:t>3</w:t>
                  </w:r>
                </w:p>
              </w:tc>
            </w:tr>
          </w:tbl>
          <w:p>
            <w:pPr>
              <w:spacing w:line="440" w:lineRule="exact"/>
              <w:jc w:val="center"/>
              <w:rPr>
                <w:rFonts w:ascii="Times New Roman" w:hAnsi="Times New Roman" w:eastAsia="宋体"/>
                <w:b/>
                <w:color w:val="000000" w:themeColor="text1"/>
                <w:szCs w:val="21"/>
              </w:rPr>
            </w:pPr>
            <w:r>
              <w:rPr>
                <w:rFonts w:ascii="Times New Roman" w:eastAsia="宋体"/>
                <w:b/>
                <w:color w:val="000000" w:themeColor="text1"/>
                <w:sz w:val="24"/>
              </w:rPr>
              <w:t>表</w:t>
            </w:r>
            <w:r>
              <w:rPr>
                <w:rFonts w:hint="eastAsia" w:ascii="Times New Roman" w:hAnsi="Times New Roman" w:eastAsia="宋体"/>
                <w:b/>
                <w:color w:val="000000" w:themeColor="text1"/>
                <w:sz w:val="24"/>
              </w:rPr>
              <w:t xml:space="preserve">29    </w:t>
            </w:r>
            <w:r>
              <w:rPr>
                <w:rFonts w:hint="eastAsia" w:ascii="Times New Roman" w:eastAsia="宋体"/>
                <w:b/>
                <w:color w:val="000000" w:themeColor="text1"/>
                <w:sz w:val="24"/>
              </w:rPr>
              <w:t>烧碱、聚氯乙烯工业污染物</w:t>
            </w:r>
            <w:r>
              <w:rPr>
                <w:rFonts w:ascii="Times New Roman" w:eastAsia="宋体"/>
                <w:b/>
                <w:color w:val="000000" w:themeColor="text1"/>
                <w:sz w:val="24"/>
              </w:rPr>
              <w:t>排放标准</w:t>
            </w:r>
          </w:p>
          <w:tbl>
            <w:tblPr>
              <w:tblStyle w:val="24"/>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12"/>
              <w:gridCol w:w="1779"/>
              <w:gridCol w:w="2667"/>
              <w:gridCol w:w="201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2" w:type="pct"/>
                  <w:tcBorders>
                    <w:top w:val="single" w:color="auto" w:sz="8" w:space="0"/>
                    <w:bottom w:val="single" w:color="auto" w:sz="8" w:space="0"/>
                  </w:tcBorders>
                  <w:vAlign w:val="center"/>
                </w:tcPr>
                <w:p>
                  <w:pPr>
                    <w:jc w:val="center"/>
                    <w:rPr>
                      <w:rFonts w:ascii="Times New Roman" w:hAnsi="Times New Roman" w:eastAsia="宋体"/>
                      <w:b/>
                      <w:bCs/>
                      <w:color w:val="000000" w:themeColor="text1"/>
                      <w:szCs w:val="21"/>
                    </w:rPr>
                  </w:pPr>
                  <w:r>
                    <w:rPr>
                      <w:rFonts w:ascii="Times New Roman" w:eastAsia="宋体"/>
                      <w:b/>
                      <w:bCs/>
                      <w:color w:val="000000" w:themeColor="text1"/>
                      <w:szCs w:val="21"/>
                    </w:rPr>
                    <w:t>污染物</w:t>
                  </w:r>
                </w:p>
              </w:tc>
              <w:tc>
                <w:tcPr>
                  <w:tcW w:w="1038" w:type="pct"/>
                  <w:tcBorders>
                    <w:top w:val="single" w:color="auto" w:sz="8" w:space="0"/>
                    <w:bottom w:val="single" w:color="auto" w:sz="8" w:space="0"/>
                  </w:tcBorders>
                  <w:vAlign w:val="center"/>
                </w:tcPr>
                <w:p>
                  <w:pPr>
                    <w:jc w:val="center"/>
                    <w:rPr>
                      <w:rFonts w:ascii="Times New Roman" w:hAnsi="Times New Roman" w:eastAsia="宋体"/>
                      <w:b/>
                      <w:bCs/>
                      <w:color w:val="000000" w:themeColor="text1"/>
                      <w:szCs w:val="21"/>
                    </w:rPr>
                  </w:pPr>
                  <w:r>
                    <w:rPr>
                      <w:rFonts w:hint="eastAsia" w:ascii="Times New Roman" w:eastAsia="宋体"/>
                      <w:b/>
                      <w:bCs/>
                      <w:color w:val="000000" w:themeColor="text1"/>
                      <w:szCs w:val="21"/>
                    </w:rPr>
                    <w:t>排放限值</w:t>
                  </w:r>
                </w:p>
              </w:tc>
              <w:tc>
                <w:tcPr>
                  <w:tcW w:w="1556" w:type="pct"/>
                  <w:tcBorders>
                    <w:top w:val="single" w:color="auto" w:sz="8" w:space="0"/>
                    <w:bottom w:val="single" w:color="auto" w:sz="8" w:space="0"/>
                  </w:tcBorders>
                  <w:vAlign w:val="center"/>
                </w:tcPr>
                <w:p>
                  <w:pPr>
                    <w:jc w:val="center"/>
                    <w:rPr>
                      <w:rFonts w:ascii="Times New Roman" w:hAnsi="Times New Roman" w:eastAsia="宋体"/>
                      <w:b/>
                      <w:bCs/>
                      <w:color w:val="000000" w:themeColor="text1"/>
                      <w:szCs w:val="21"/>
                    </w:rPr>
                  </w:pPr>
                  <w:r>
                    <w:rPr>
                      <w:rFonts w:hint="eastAsia" w:ascii="Times New Roman" w:eastAsia="宋体"/>
                      <w:b/>
                      <w:bCs/>
                      <w:color w:val="000000" w:themeColor="text1"/>
                      <w:szCs w:val="21"/>
                    </w:rPr>
                    <w:t>适用的企业类型</w:t>
                  </w:r>
                </w:p>
              </w:tc>
              <w:tc>
                <w:tcPr>
                  <w:tcW w:w="1174" w:type="pct"/>
                  <w:tcBorders>
                    <w:top w:val="single" w:color="auto" w:sz="8" w:space="0"/>
                    <w:bottom w:val="single" w:color="auto" w:sz="8" w:space="0"/>
                  </w:tcBorders>
                  <w:vAlign w:val="center"/>
                </w:tcPr>
                <w:p>
                  <w:pPr>
                    <w:jc w:val="center"/>
                    <w:rPr>
                      <w:rFonts w:ascii="Times New Roman" w:hAnsi="Times New Roman" w:eastAsia="宋体"/>
                      <w:b/>
                      <w:bCs/>
                      <w:color w:val="000000" w:themeColor="text1"/>
                      <w:szCs w:val="21"/>
                    </w:rPr>
                  </w:pPr>
                  <w:r>
                    <w:rPr>
                      <w:rFonts w:hint="eastAsia" w:ascii="Times New Roman" w:eastAsia="宋体"/>
                      <w:b/>
                      <w:bCs/>
                      <w:color w:val="000000" w:themeColor="text1"/>
                      <w:szCs w:val="21"/>
                    </w:rPr>
                    <w:t>企业边界浓度限值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2" w:type="pct"/>
                  <w:tcBorders>
                    <w:top w:val="single" w:color="auto" w:sz="8" w:space="0"/>
                  </w:tcBorders>
                  <w:vAlign w:val="center"/>
                </w:tcPr>
                <w:p>
                  <w:pPr>
                    <w:jc w:val="center"/>
                    <w:rPr>
                      <w:rFonts w:ascii="Times New Roman" w:hAnsi="Times New Roman" w:eastAsia="宋体"/>
                      <w:color w:val="000000" w:themeColor="text1"/>
                      <w:kern w:val="0"/>
                      <w:szCs w:val="21"/>
                    </w:rPr>
                  </w:pPr>
                  <w:r>
                    <w:rPr>
                      <w:rFonts w:hint="eastAsia" w:ascii="Times New Roman" w:eastAsia="宋体"/>
                      <w:color w:val="000000" w:themeColor="text1"/>
                      <w:kern w:val="0"/>
                      <w:szCs w:val="21"/>
                    </w:rPr>
                    <w:t>非甲烷总烃</w:t>
                  </w:r>
                </w:p>
              </w:tc>
              <w:tc>
                <w:tcPr>
                  <w:tcW w:w="1038" w:type="pct"/>
                  <w:tcBorders>
                    <w:top w:val="single" w:color="auto" w:sz="8" w:space="0"/>
                  </w:tcBorders>
                  <w:vAlign w:val="center"/>
                </w:tcPr>
                <w:p>
                  <w:pPr>
                    <w:jc w:val="center"/>
                    <w:rPr>
                      <w:rFonts w:ascii="Times New Roman" w:hAnsi="Times New Roman" w:eastAsia="宋体"/>
                      <w:bCs/>
                      <w:color w:val="000000" w:themeColor="text1"/>
                      <w:szCs w:val="21"/>
                    </w:rPr>
                  </w:pPr>
                  <w:r>
                    <w:rPr>
                      <w:rFonts w:hint="eastAsia" w:ascii="Times New Roman" w:hAnsi="Times New Roman" w:eastAsia="宋体"/>
                      <w:bCs/>
                      <w:color w:val="000000" w:themeColor="text1"/>
                      <w:szCs w:val="21"/>
                    </w:rPr>
                    <w:t>20</w:t>
                  </w:r>
                  <w:r>
                    <w:rPr>
                      <w:rFonts w:ascii="Times New Roman" w:hAnsi="Times New Roman" w:eastAsia="宋体"/>
                      <w:bCs/>
                      <w:color w:val="000000" w:themeColor="text1"/>
                      <w:szCs w:val="21"/>
                    </w:rPr>
                    <w:t>mg/m</w:t>
                  </w:r>
                  <w:r>
                    <w:rPr>
                      <w:rFonts w:ascii="Times New Roman" w:hAnsi="Times New Roman" w:eastAsia="宋体"/>
                      <w:bCs/>
                      <w:color w:val="000000" w:themeColor="text1"/>
                      <w:szCs w:val="21"/>
                      <w:vertAlign w:val="superscript"/>
                    </w:rPr>
                    <w:t>3</w:t>
                  </w:r>
                </w:p>
              </w:tc>
              <w:tc>
                <w:tcPr>
                  <w:tcW w:w="1556" w:type="pct"/>
                  <w:vMerge w:val="restart"/>
                  <w:tcBorders>
                    <w:top w:val="single" w:color="auto" w:sz="8" w:space="0"/>
                  </w:tcBorders>
                  <w:vAlign w:val="center"/>
                </w:tcPr>
                <w:p>
                  <w:pPr>
                    <w:jc w:val="center"/>
                    <w:rPr>
                      <w:rFonts w:ascii="Times New Roman" w:hAnsi="Times New Roman" w:eastAsia="宋体"/>
                      <w:bCs/>
                      <w:color w:val="000000" w:themeColor="text1"/>
                      <w:szCs w:val="21"/>
                    </w:rPr>
                  </w:pPr>
                  <w:r>
                    <w:rPr>
                      <w:rFonts w:hint="eastAsia" w:ascii="Times New Roman" w:eastAsia="宋体"/>
                      <w:bCs/>
                      <w:color w:val="000000" w:themeColor="text1"/>
                      <w:szCs w:val="21"/>
                    </w:rPr>
                    <w:t>聚氯乙烯企业</w:t>
                  </w:r>
                </w:p>
              </w:tc>
              <w:tc>
                <w:tcPr>
                  <w:tcW w:w="1174" w:type="pct"/>
                  <w:tcBorders>
                    <w:top w:val="single" w:color="auto" w:sz="8" w:space="0"/>
                  </w:tcBorders>
                  <w:vAlign w:val="center"/>
                </w:tcPr>
                <w:p>
                  <w:pPr>
                    <w:jc w:val="center"/>
                    <w:rPr>
                      <w:rFonts w:ascii="Times New Roman" w:hAnsi="Times New Roman" w:eastAsia="宋体"/>
                      <w:bCs/>
                      <w:color w:val="000000" w:themeColor="text1"/>
                      <w:szCs w:val="21"/>
                    </w:rPr>
                  </w:pPr>
                  <w:r>
                    <w:rPr>
                      <w:rFonts w:hint="eastAsia" w:ascii="Times New Roman" w:hAnsi="Times New Roman" w:eastAsia="宋体"/>
                      <w:bCs/>
                      <w:color w:val="000000" w:themeColor="text1"/>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2" w:type="pct"/>
                  <w:vAlign w:val="center"/>
                </w:tcPr>
                <w:p>
                  <w:pPr>
                    <w:jc w:val="center"/>
                    <w:rPr>
                      <w:rFonts w:ascii="Times New Roman" w:hAnsi="Times New Roman" w:eastAsia="宋体"/>
                      <w:color w:val="000000" w:themeColor="text1"/>
                      <w:kern w:val="0"/>
                      <w:szCs w:val="21"/>
                    </w:rPr>
                  </w:pPr>
                  <w:r>
                    <w:rPr>
                      <w:rFonts w:hint="eastAsia" w:ascii="Times New Roman" w:eastAsia="宋体"/>
                      <w:color w:val="000000" w:themeColor="text1"/>
                      <w:kern w:val="0"/>
                      <w:szCs w:val="21"/>
                    </w:rPr>
                    <w:t>单位产品非甲烷总烃排放量</w:t>
                  </w:r>
                </w:p>
              </w:tc>
              <w:tc>
                <w:tcPr>
                  <w:tcW w:w="1038" w:type="pct"/>
                  <w:vAlign w:val="center"/>
                </w:tcPr>
                <w:p>
                  <w:pPr>
                    <w:jc w:val="center"/>
                    <w:rPr>
                      <w:rFonts w:ascii="Times New Roman" w:hAnsi="Times New Roman" w:eastAsia="宋体"/>
                      <w:bCs/>
                      <w:color w:val="000000" w:themeColor="text1"/>
                      <w:szCs w:val="21"/>
                    </w:rPr>
                  </w:pPr>
                  <w:r>
                    <w:rPr>
                      <w:rFonts w:hint="eastAsia" w:ascii="Times New Roman" w:hAnsi="Times New Roman" w:eastAsia="宋体"/>
                      <w:bCs/>
                      <w:color w:val="000000" w:themeColor="text1"/>
                      <w:szCs w:val="21"/>
                    </w:rPr>
                    <w:t>0.2 kg/t</w:t>
                  </w:r>
                  <w:r>
                    <w:rPr>
                      <w:rFonts w:hint="eastAsia" w:ascii="Times New Roman" w:eastAsia="宋体"/>
                      <w:bCs/>
                      <w:color w:val="000000" w:themeColor="text1"/>
                      <w:szCs w:val="21"/>
                    </w:rPr>
                    <w:t>产品</w:t>
                  </w:r>
                </w:p>
              </w:tc>
              <w:tc>
                <w:tcPr>
                  <w:tcW w:w="1556" w:type="pct"/>
                  <w:vMerge w:val="continue"/>
                  <w:vAlign w:val="center"/>
                </w:tcPr>
                <w:p>
                  <w:pPr>
                    <w:jc w:val="center"/>
                    <w:rPr>
                      <w:rFonts w:ascii="Times New Roman" w:hAnsi="Times New Roman" w:eastAsia="宋体"/>
                      <w:bCs/>
                      <w:color w:val="000000" w:themeColor="text1"/>
                      <w:szCs w:val="21"/>
                    </w:rPr>
                  </w:pPr>
                </w:p>
              </w:tc>
              <w:tc>
                <w:tcPr>
                  <w:tcW w:w="1174" w:type="pct"/>
                  <w:vAlign w:val="center"/>
                </w:tcPr>
                <w:p>
                  <w:pPr>
                    <w:jc w:val="center"/>
                    <w:rPr>
                      <w:rFonts w:ascii="Times New Roman" w:hAnsi="Times New Roman" w:eastAsia="宋体"/>
                      <w:bCs/>
                      <w:color w:val="000000" w:themeColor="text1"/>
                      <w:szCs w:val="21"/>
                    </w:rPr>
                  </w:pPr>
                  <w:r>
                    <w:rPr>
                      <w:rFonts w:hint="eastAsia" w:ascii="Times New Roman" w:hAnsi="Times New Roman" w:eastAsia="宋体"/>
                      <w:bCs/>
                      <w:color w:val="000000" w:themeColor="text1"/>
                      <w:szCs w:val="21"/>
                    </w:rPr>
                    <w:t>/</w:t>
                  </w:r>
                </w:p>
              </w:tc>
            </w:tr>
          </w:tbl>
          <w:p>
            <w:pPr>
              <w:snapToGrid w:val="0"/>
              <w:spacing w:line="440" w:lineRule="exact"/>
              <w:ind w:firstLine="482" w:firstLineChars="200"/>
              <w:textAlignment w:val="baseline"/>
              <w:rPr>
                <w:rFonts w:ascii="Times New Roman" w:hAnsi="Times New Roman" w:eastAsia="宋体"/>
                <w:b/>
                <w:color w:val="000000" w:themeColor="text1"/>
                <w:sz w:val="24"/>
              </w:rPr>
            </w:pPr>
            <w:r>
              <w:rPr>
                <w:rFonts w:ascii="Times New Roman" w:hAnsi="Times New Roman" w:eastAsia="宋体"/>
                <w:b/>
                <w:color w:val="000000" w:themeColor="text1"/>
                <w:sz w:val="24"/>
              </w:rPr>
              <w:t>2、噪声</w:t>
            </w:r>
          </w:p>
          <w:p>
            <w:pPr>
              <w:pStyle w:val="9"/>
              <w:tabs>
                <w:tab w:val="left" w:pos="3542"/>
              </w:tabs>
              <w:spacing w:line="440" w:lineRule="exact"/>
              <w:jc w:val="center"/>
              <w:rPr>
                <w:rFonts w:ascii="Times New Roman" w:hAnsi="Times New Roman" w:eastAsia="宋体"/>
                <w:b/>
                <w:bCs/>
                <w:color w:val="000000" w:themeColor="text1"/>
                <w:sz w:val="24"/>
              </w:rPr>
            </w:pPr>
            <w:bookmarkStart w:id="13" w:name="_Ref308191224"/>
            <w:r>
              <w:rPr>
                <w:rFonts w:ascii="Times New Roman" w:hAnsi="Times New Roman" w:eastAsia="宋体"/>
                <w:b/>
                <w:bCs/>
                <w:color w:val="000000" w:themeColor="text1"/>
                <w:sz w:val="24"/>
              </w:rPr>
              <w:t>表</w:t>
            </w:r>
            <w:bookmarkEnd w:id="13"/>
            <w:r>
              <w:rPr>
                <w:rFonts w:hint="eastAsia" w:ascii="Times New Roman" w:hAnsi="Times New Roman" w:eastAsia="宋体"/>
                <w:b/>
                <w:bCs/>
                <w:color w:val="000000" w:themeColor="text1"/>
                <w:sz w:val="24"/>
              </w:rPr>
              <w:t xml:space="preserve">30    </w:t>
            </w:r>
            <w:r>
              <w:rPr>
                <w:rFonts w:ascii="Times New Roman" w:hAnsi="Times New Roman" w:eastAsia="宋体"/>
                <w:b/>
                <w:bCs/>
                <w:color w:val="000000" w:themeColor="text1"/>
                <w:sz w:val="24"/>
              </w:rPr>
              <w:t>工业企业厂界环境噪声排放标准</w:t>
            </w:r>
            <w:r>
              <w:rPr>
                <w:rFonts w:hint="eastAsia" w:ascii="Times New Roman" w:hAnsi="Times New Roman" w:eastAsia="宋体"/>
                <w:b/>
                <w:bCs/>
                <w:color w:val="000000" w:themeColor="text1"/>
                <w:sz w:val="24"/>
              </w:rPr>
              <w:t xml:space="preserve">    </w:t>
            </w:r>
            <w:r>
              <w:rPr>
                <w:rFonts w:ascii="Times New Roman" w:hAnsi="Times New Roman" w:eastAsia="宋体"/>
                <w:b/>
                <w:bCs/>
                <w:color w:val="000000" w:themeColor="text1"/>
                <w:sz w:val="24"/>
              </w:rPr>
              <w:t>单位：dB（A）</w:t>
            </w:r>
          </w:p>
          <w:tbl>
            <w:tblPr>
              <w:tblStyle w:val="24"/>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autofit"/>
              <w:tblCellMar>
                <w:top w:w="0" w:type="dxa"/>
                <w:left w:w="108" w:type="dxa"/>
                <w:bottom w:w="0" w:type="dxa"/>
                <w:right w:w="108" w:type="dxa"/>
              </w:tblCellMar>
            </w:tblPr>
            <w:tblGrid>
              <w:gridCol w:w="1668"/>
              <w:gridCol w:w="3035"/>
              <w:gridCol w:w="1933"/>
              <w:gridCol w:w="1934"/>
            </w:tblGrid>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973" w:type="pct"/>
                  <w:vAlign w:val="center"/>
                </w:tcPr>
                <w:p>
                  <w:pPr>
                    <w:jc w:val="center"/>
                    <w:rPr>
                      <w:rFonts w:ascii="Times New Roman" w:hAnsi="Times New Roman" w:eastAsia="宋体"/>
                      <w:b/>
                      <w:color w:val="000000" w:themeColor="text1"/>
                      <w:szCs w:val="21"/>
                    </w:rPr>
                  </w:pPr>
                  <w:r>
                    <w:rPr>
                      <w:rFonts w:ascii="Times New Roman" w:hAnsi="Times New Roman" w:eastAsia="宋体"/>
                      <w:b/>
                      <w:color w:val="000000" w:themeColor="text1"/>
                      <w:szCs w:val="21"/>
                    </w:rPr>
                    <w:t>项目</w:t>
                  </w:r>
                </w:p>
              </w:tc>
              <w:tc>
                <w:tcPr>
                  <w:tcW w:w="1771" w:type="pct"/>
                  <w:vAlign w:val="center"/>
                </w:tcPr>
                <w:p>
                  <w:pPr>
                    <w:jc w:val="center"/>
                    <w:rPr>
                      <w:rFonts w:ascii="Times New Roman" w:hAnsi="Times New Roman" w:eastAsia="宋体"/>
                      <w:b/>
                      <w:color w:val="000000" w:themeColor="text1"/>
                      <w:szCs w:val="21"/>
                    </w:rPr>
                  </w:pPr>
                  <w:r>
                    <w:rPr>
                      <w:rFonts w:ascii="Times New Roman" w:hAnsi="Times New Roman" w:eastAsia="宋体"/>
                      <w:b/>
                      <w:color w:val="000000" w:themeColor="text1"/>
                      <w:szCs w:val="21"/>
                    </w:rPr>
                    <w:t>类别</w:t>
                  </w:r>
                </w:p>
              </w:tc>
              <w:tc>
                <w:tcPr>
                  <w:tcW w:w="1128" w:type="pct"/>
                  <w:vAlign w:val="center"/>
                </w:tcPr>
                <w:p>
                  <w:pPr>
                    <w:jc w:val="center"/>
                    <w:rPr>
                      <w:rFonts w:ascii="Times New Roman" w:hAnsi="Times New Roman" w:eastAsia="宋体"/>
                      <w:b/>
                      <w:color w:val="000000" w:themeColor="text1"/>
                      <w:szCs w:val="21"/>
                    </w:rPr>
                  </w:pPr>
                  <w:r>
                    <w:rPr>
                      <w:rFonts w:ascii="Times New Roman" w:hAnsi="Times New Roman" w:eastAsia="宋体"/>
                      <w:b/>
                      <w:color w:val="000000" w:themeColor="text1"/>
                      <w:szCs w:val="21"/>
                    </w:rPr>
                    <w:t>昼间</w:t>
                  </w:r>
                </w:p>
              </w:tc>
              <w:tc>
                <w:tcPr>
                  <w:tcW w:w="1128" w:type="pct"/>
                  <w:vAlign w:val="center"/>
                </w:tcPr>
                <w:p>
                  <w:pPr>
                    <w:jc w:val="center"/>
                    <w:rPr>
                      <w:rFonts w:ascii="Times New Roman" w:hAnsi="Times New Roman" w:eastAsia="宋体"/>
                      <w:b/>
                      <w:color w:val="000000" w:themeColor="text1"/>
                      <w:szCs w:val="21"/>
                    </w:rPr>
                  </w:pPr>
                  <w:r>
                    <w:rPr>
                      <w:rFonts w:ascii="Times New Roman" w:hAnsi="Times New Roman" w:eastAsia="宋体"/>
                      <w:b/>
                      <w:color w:val="000000" w:themeColor="text1"/>
                      <w:szCs w:val="21"/>
                    </w:rPr>
                    <w:t>夜间</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973"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各厂界</w:t>
                  </w:r>
                </w:p>
              </w:tc>
              <w:tc>
                <w:tcPr>
                  <w:tcW w:w="1771"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《工业企业厂界环境噪声排放标准》（GB12348-2008）</w:t>
                  </w:r>
                  <w:r>
                    <w:rPr>
                      <w:rFonts w:hint="eastAsia" w:ascii="Times New Roman" w:hAnsi="Times New Roman" w:eastAsia="宋体"/>
                      <w:color w:val="000000" w:themeColor="text1"/>
                      <w:szCs w:val="21"/>
                    </w:rPr>
                    <w:t>3</w:t>
                  </w:r>
                  <w:r>
                    <w:rPr>
                      <w:rFonts w:ascii="Times New Roman" w:hAnsi="Times New Roman" w:eastAsia="宋体"/>
                      <w:color w:val="000000" w:themeColor="text1"/>
                      <w:szCs w:val="21"/>
                    </w:rPr>
                    <w:t>类</w:t>
                  </w:r>
                </w:p>
              </w:tc>
              <w:tc>
                <w:tcPr>
                  <w:tcW w:w="1128"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6</w:t>
                  </w:r>
                  <w:r>
                    <w:rPr>
                      <w:rFonts w:hint="eastAsia" w:ascii="Times New Roman" w:hAnsi="Times New Roman" w:eastAsia="宋体"/>
                      <w:color w:val="000000" w:themeColor="text1"/>
                      <w:szCs w:val="21"/>
                    </w:rPr>
                    <w:t>5</w:t>
                  </w:r>
                </w:p>
              </w:tc>
              <w:tc>
                <w:tcPr>
                  <w:tcW w:w="1128"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5</w:t>
                  </w:r>
                  <w:r>
                    <w:rPr>
                      <w:rFonts w:hint="eastAsia" w:ascii="Times New Roman" w:hAnsi="Times New Roman" w:eastAsia="宋体"/>
                      <w:color w:val="000000" w:themeColor="text1"/>
                      <w:szCs w:val="21"/>
                    </w:rPr>
                    <w:t>5</w:t>
                  </w:r>
                </w:p>
              </w:tc>
            </w:tr>
          </w:tbl>
          <w:p>
            <w:pPr>
              <w:spacing w:line="440" w:lineRule="exact"/>
              <w:ind w:firstLine="482" w:firstLineChars="200"/>
              <w:rPr>
                <w:rFonts w:ascii="Times New Roman" w:hAnsi="Times New Roman" w:eastAsia="宋体"/>
                <w:b/>
                <w:color w:val="000000" w:themeColor="text1"/>
                <w:sz w:val="24"/>
              </w:rPr>
            </w:pPr>
            <w:r>
              <w:rPr>
                <w:rFonts w:hint="eastAsia" w:ascii="Times New Roman" w:hAnsi="Times New Roman" w:eastAsia="宋体"/>
                <w:b/>
                <w:color w:val="000000" w:themeColor="text1"/>
                <w:sz w:val="24"/>
              </w:rPr>
              <w:t>3</w:t>
            </w:r>
            <w:r>
              <w:rPr>
                <w:rFonts w:ascii="Times New Roman" w:hAnsi="Times New Roman" w:eastAsia="宋体"/>
                <w:b/>
                <w:color w:val="000000" w:themeColor="text1"/>
                <w:sz w:val="24"/>
              </w:rPr>
              <w:t>、固废</w:t>
            </w:r>
          </w:p>
          <w:p>
            <w:pPr>
              <w:spacing w:line="440" w:lineRule="exact"/>
              <w:ind w:firstLine="480" w:firstLineChars="200"/>
              <w:rPr>
                <w:rFonts w:ascii="Times New Roman" w:hAnsi="Times New Roman" w:eastAsia="宋体"/>
                <w:color w:val="000000" w:themeColor="text1"/>
                <w:sz w:val="24"/>
              </w:rPr>
            </w:pPr>
            <w:r>
              <w:rPr>
                <w:rFonts w:ascii="Times New Roman" w:hAnsi="Times New Roman" w:eastAsia="宋体"/>
                <w:color w:val="000000" w:themeColor="text1"/>
                <w:sz w:val="24"/>
              </w:rPr>
              <w:t>一般固体废物执行《一般工业固体废物贮存、处置场污染控制标准》（GB18599-2001）及其2013修改单要求进行。</w:t>
            </w:r>
          </w:p>
          <w:p>
            <w:pPr>
              <w:spacing w:line="440" w:lineRule="exact"/>
              <w:ind w:firstLine="480" w:firstLineChars="200"/>
              <w:rPr>
                <w:rFonts w:ascii="Times New Roman" w:eastAsia="宋体"/>
                <w:color w:val="000000" w:themeColor="text1"/>
                <w:sz w:val="24"/>
              </w:rPr>
            </w:pPr>
            <w:r>
              <w:rPr>
                <w:rFonts w:hint="eastAsia" w:ascii="Times New Roman" w:eastAsia="宋体"/>
                <w:color w:val="000000" w:themeColor="text1"/>
                <w:sz w:val="24"/>
              </w:rPr>
              <w:t>危险废物执行《危险废物贮存污染控制标准》（</w:t>
            </w:r>
            <w:r>
              <w:rPr>
                <w:rFonts w:ascii="Times New Roman" w:hAnsi="Times New Roman" w:eastAsia="宋体"/>
                <w:color w:val="000000" w:themeColor="text1"/>
                <w:sz w:val="24"/>
              </w:rPr>
              <w:t>GB18597-2001</w:t>
            </w:r>
            <w:r>
              <w:rPr>
                <w:rFonts w:hint="eastAsia" w:ascii="Times New Roman" w:eastAsia="宋体"/>
                <w:color w:val="000000" w:themeColor="text1"/>
                <w:sz w:val="24"/>
              </w:rPr>
              <w:t>）及</w:t>
            </w:r>
            <w:r>
              <w:rPr>
                <w:rFonts w:hint="eastAsia" w:ascii="Times New Roman" w:hAnsi="Times New Roman" w:eastAsia="宋体"/>
                <w:color w:val="000000" w:themeColor="text1"/>
                <w:sz w:val="24"/>
              </w:rPr>
              <w:t>2013</w:t>
            </w:r>
            <w:r>
              <w:rPr>
                <w:rFonts w:hint="eastAsia" w:ascii="Times New Roman" w:eastAsia="宋体"/>
                <w:color w:val="000000" w:themeColor="text1"/>
                <w:sz w:val="24"/>
              </w:rPr>
              <w:t>年修改单。</w:t>
            </w:r>
          </w:p>
          <w:p>
            <w:pPr>
              <w:pStyle w:val="2"/>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456" w:type="dxa"/>
            <w:vAlign w:val="center"/>
          </w:tcPr>
          <w:p>
            <w:pPr>
              <w:spacing w:line="360" w:lineRule="exact"/>
              <w:jc w:val="center"/>
              <w:rPr>
                <w:rFonts w:ascii="Times New Roman" w:hAnsi="Times New Roman" w:eastAsia="宋体"/>
                <w:color w:val="000000" w:themeColor="text1"/>
                <w:sz w:val="24"/>
              </w:rPr>
            </w:pPr>
            <w:r>
              <w:rPr>
                <w:rFonts w:ascii="Times New Roman" w:hAnsi="Times New Roman" w:eastAsia="宋体"/>
                <w:color w:val="000000" w:themeColor="text1"/>
                <w:sz w:val="24"/>
              </w:rPr>
              <w:t>总</w:t>
            </w:r>
          </w:p>
          <w:p>
            <w:pPr>
              <w:spacing w:line="360" w:lineRule="exact"/>
              <w:jc w:val="center"/>
              <w:rPr>
                <w:rFonts w:ascii="Times New Roman" w:hAnsi="Times New Roman" w:eastAsia="宋体"/>
                <w:color w:val="000000" w:themeColor="text1"/>
                <w:sz w:val="24"/>
              </w:rPr>
            </w:pPr>
            <w:r>
              <w:rPr>
                <w:rFonts w:ascii="Times New Roman" w:hAnsi="Times New Roman" w:eastAsia="宋体"/>
                <w:color w:val="000000" w:themeColor="text1"/>
                <w:sz w:val="24"/>
              </w:rPr>
              <w:t>量</w:t>
            </w:r>
          </w:p>
          <w:p>
            <w:pPr>
              <w:spacing w:line="360" w:lineRule="exact"/>
              <w:jc w:val="center"/>
              <w:rPr>
                <w:rFonts w:ascii="Times New Roman" w:hAnsi="Times New Roman" w:eastAsia="宋体"/>
                <w:color w:val="000000" w:themeColor="text1"/>
                <w:sz w:val="24"/>
              </w:rPr>
            </w:pPr>
            <w:r>
              <w:rPr>
                <w:rFonts w:ascii="Times New Roman" w:hAnsi="Times New Roman" w:eastAsia="宋体"/>
                <w:color w:val="000000" w:themeColor="text1"/>
                <w:sz w:val="24"/>
              </w:rPr>
              <w:t>控</w:t>
            </w:r>
          </w:p>
          <w:p>
            <w:pPr>
              <w:spacing w:line="360" w:lineRule="exact"/>
              <w:jc w:val="center"/>
              <w:rPr>
                <w:rFonts w:ascii="Times New Roman" w:hAnsi="Times New Roman" w:eastAsia="宋体"/>
                <w:color w:val="000000" w:themeColor="text1"/>
                <w:sz w:val="24"/>
              </w:rPr>
            </w:pPr>
            <w:r>
              <w:rPr>
                <w:rFonts w:ascii="Times New Roman" w:hAnsi="Times New Roman" w:eastAsia="宋体"/>
                <w:color w:val="000000" w:themeColor="text1"/>
                <w:sz w:val="24"/>
              </w:rPr>
              <w:t>制</w:t>
            </w:r>
          </w:p>
          <w:p>
            <w:pPr>
              <w:spacing w:line="360" w:lineRule="exact"/>
              <w:jc w:val="center"/>
              <w:rPr>
                <w:rFonts w:ascii="Times New Roman" w:hAnsi="Times New Roman" w:eastAsia="宋体"/>
                <w:color w:val="000000" w:themeColor="text1"/>
                <w:sz w:val="24"/>
              </w:rPr>
            </w:pPr>
            <w:r>
              <w:rPr>
                <w:rFonts w:ascii="Times New Roman" w:hAnsi="Times New Roman" w:eastAsia="宋体"/>
                <w:color w:val="000000" w:themeColor="text1"/>
                <w:sz w:val="24"/>
              </w:rPr>
              <w:t>指</w:t>
            </w:r>
          </w:p>
          <w:p>
            <w:pPr>
              <w:spacing w:line="360" w:lineRule="exact"/>
              <w:jc w:val="center"/>
              <w:rPr>
                <w:rFonts w:ascii="Times New Roman" w:hAnsi="Times New Roman" w:eastAsia="宋体"/>
                <w:color w:val="000000" w:themeColor="text1"/>
                <w:sz w:val="24"/>
              </w:rPr>
            </w:pPr>
            <w:r>
              <w:rPr>
                <w:rFonts w:ascii="Times New Roman" w:hAnsi="Times New Roman" w:eastAsia="宋体"/>
                <w:color w:val="000000" w:themeColor="text1"/>
                <w:sz w:val="24"/>
              </w:rPr>
              <w:t>标</w:t>
            </w:r>
          </w:p>
        </w:tc>
        <w:tc>
          <w:tcPr>
            <w:tcW w:w="8786" w:type="dxa"/>
            <w:vAlign w:val="center"/>
          </w:tcPr>
          <w:p>
            <w:pPr>
              <w:spacing w:line="440" w:lineRule="exact"/>
              <w:ind w:firstLine="480" w:firstLineChars="200"/>
              <w:rPr>
                <w:rFonts w:ascii="Times New Roman" w:hAnsi="Times New Roman" w:eastAsia="宋体"/>
                <w:color w:val="000000" w:themeColor="text1"/>
              </w:rPr>
            </w:pPr>
            <w:r>
              <w:rPr>
                <w:rFonts w:ascii="Times New Roman" w:hAnsi="Times New Roman" w:eastAsia="宋体"/>
                <w:color w:val="000000" w:themeColor="text1"/>
                <w:sz w:val="24"/>
              </w:rPr>
              <w:t>本项目污染物总量控制指标：非甲烷总烃</w:t>
            </w:r>
            <w:r>
              <w:rPr>
                <w:rFonts w:hint="eastAsia" w:ascii="Times New Roman" w:hAnsi="Times New Roman" w:eastAsia="宋体"/>
                <w:color w:val="000000" w:themeColor="text1"/>
                <w:sz w:val="24"/>
              </w:rPr>
              <w:t>0.0686t/a（</w:t>
            </w:r>
            <w:r>
              <w:rPr>
                <w:rFonts w:ascii="Times New Roman" w:hAnsi="Times New Roman" w:eastAsia="宋体"/>
                <w:color w:val="000000" w:themeColor="text1"/>
                <w:sz w:val="24"/>
              </w:rPr>
              <w:t>有组织</w:t>
            </w:r>
            <w:r>
              <w:rPr>
                <w:rFonts w:hint="eastAsia" w:ascii="Times New Roman" w:hAnsi="Times New Roman" w:eastAsia="宋体"/>
                <w:color w:val="000000" w:themeColor="text1"/>
                <w:sz w:val="24"/>
              </w:rPr>
              <w:t>0.0543t/a，无组织0.0143t/a）</w:t>
            </w:r>
            <w:r>
              <w:rPr>
                <w:rFonts w:ascii="Times New Roman" w:hAnsi="Times New Roman" w:eastAsia="宋体"/>
                <w:color w:val="000000" w:themeColor="text1"/>
                <w:sz w:val="24"/>
              </w:rPr>
              <w:t>。</w:t>
            </w:r>
          </w:p>
          <w:p>
            <w:pPr>
              <w:adjustRightInd w:val="0"/>
              <w:snapToGrid w:val="0"/>
              <w:spacing w:line="440" w:lineRule="exact"/>
              <w:ind w:firstLine="480" w:firstLineChars="200"/>
              <w:rPr>
                <w:rFonts w:ascii="Times New Roman" w:hAnsi="Times New Roman" w:eastAsia="宋体"/>
                <w:color w:val="000000" w:themeColor="text1"/>
                <w:sz w:val="24"/>
              </w:rPr>
            </w:pPr>
            <w:r>
              <w:rPr>
                <w:rFonts w:ascii="Times New Roman" w:hAnsi="Times New Roman" w:eastAsia="宋体"/>
                <w:color w:val="000000" w:themeColor="text1"/>
                <w:sz w:val="24"/>
              </w:rPr>
              <w:t>根据《河南省生态环境厅关于印发建设项目主要污染物排放总量指标管理工作内部规程通知》规定，建设项目环境影响文件中应明确建设项目主要污染物总量排放指标及替代削减方案。本项目属于扩建项目，本项目建设完成后新增污染物排放量为COD0t/a，NH</w:t>
            </w:r>
            <w:r>
              <w:rPr>
                <w:rFonts w:ascii="Times New Roman" w:hAnsi="Times New Roman" w:eastAsia="宋体"/>
                <w:color w:val="000000" w:themeColor="text1"/>
                <w:sz w:val="24"/>
                <w:vertAlign w:val="subscript"/>
              </w:rPr>
              <w:t>3</w:t>
            </w:r>
            <w:r>
              <w:rPr>
                <w:rFonts w:ascii="Times New Roman" w:hAnsi="Times New Roman" w:eastAsia="宋体"/>
                <w:color w:val="000000" w:themeColor="text1"/>
                <w:sz w:val="24"/>
              </w:rPr>
              <w:t>-N0t/a，SO</w:t>
            </w:r>
            <w:r>
              <w:rPr>
                <w:rFonts w:ascii="Times New Roman" w:hAnsi="Times New Roman" w:eastAsia="宋体"/>
                <w:color w:val="000000" w:themeColor="text1"/>
                <w:sz w:val="24"/>
                <w:vertAlign w:val="subscript"/>
              </w:rPr>
              <w:t>2</w:t>
            </w:r>
            <w:r>
              <w:rPr>
                <w:rFonts w:ascii="Times New Roman" w:hAnsi="Times New Roman" w:eastAsia="宋体"/>
                <w:color w:val="000000" w:themeColor="text1"/>
                <w:sz w:val="24"/>
              </w:rPr>
              <w:t>0t/a，NO</w:t>
            </w:r>
            <w:r>
              <w:rPr>
                <w:rFonts w:ascii="Times New Roman" w:hAnsi="Times New Roman" w:eastAsia="宋体"/>
                <w:color w:val="000000" w:themeColor="text1"/>
                <w:sz w:val="24"/>
                <w:vertAlign w:val="subscript"/>
              </w:rPr>
              <w:t>X</w:t>
            </w:r>
            <w:r>
              <w:rPr>
                <w:rFonts w:ascii="Times New Roman" w:hAnsi="Times New Roman" w:eastAsia="宋体"/>
                <w:color w:val="000000" w:themeColor="text1"/>
                <w:sz w:val="24"/>
              </w:rPr>
              <w:t>0t/a，VOCs0</w:t>
            </w:r>
            <w:r>
              <w:rPr>
                <w:rFonts w:hint="eastAsia" w:ascii="Times New Roman" w:hAnsi="Times New Roman" w:eastAsia="宋体"/>
                <w:color w:val="000000" w:themeColor="text1"/>
                <w:sz w:val="24"/>
              </w:rPr>
              <w:t>.0686</w:t>
            </w:r>
            <w:r>
              <w:rPr>
                <w:rFonts w:ascii="Times New Roman" w:hAnsi="Times New Roman" w:eastAsia="宋体"/>
                <w:color w:val="000000" w:themeColor="text1"/>
                <w:sz w:val="24"/>
              </w:rPr>
              <w:t>t/a</w:t>
            </w:r>
            <w:r>
              <w:rPr>
                <w:rFonts w:hint="eastAsia" w:ascii="Times New Roman" w:hAnsi="Times New Roman" w:eastAsia="宋体"/>
                <w:color w:val="000000" w:themeColor="text1"/>
                <w:sz w:val="24"/>
              </w:rPr>
              <w:t>（</w:t>
            </w:r>
            <w:r>
              <w:rPr>
                <w:rFonts w:ascii="Times New Roman" w:hAnsi="Times New Roman" w:eastAsia="宋体"/>
                <w:color w:val="000000" w:themeColor="text1"/>
                <w:sz w:val="24"/>
              </w:rPr>
              <w:t>有组织</w:t>
            </w:r>
            <w:r>
              <w:rPr>
                <w:rFonts w:hint="eastAsia" w:ascii="Times New Roman" w:hAnsi="Times New Roman" w:eastAsia="宋体"/>
                <w:color w:val="000000" w:themeColor="text1"/>
                <w:sz w:val="24"/>
              </w:rPr>
              <w:t>0.0543t/a，无组织0.0143t/a）</w:t>
            </w:r>
            <w:r>
              <w:rPr>
                <w:rFonts w:ascii="Times New Roman" w:hAnsi="Times New Roman" w:eastAsia="宋体"/>
                <w:color w:val="000000" w:themeColor="text1"/>
                <w:sz w:val="24"/>
              </w:rPr>
              <w:t>。</w:t>
            </w:r>
          </w:p>
          <w:p>
            <w:pPr>
              <w:pStyle w:val="2"/>
              <w:spacing w:line="440" w:lineRule="exact"/>
              <w:ind w:firstLine="480" w:firstLineChars="200"/>
              <w:jc w:val="both"/>
              <w:rPr>
                <w:rFonts w:ascii="Times New Roman" w:hAnsi="Times New Roman" w:eastAsia="宋体"/>
                <w:color w:val="000000" w:themeColor="text1"/>
                <w:sz w:val="24"/>
              </w:rPr>
            </w:pPr>
            <w:r>
              <w:rPr>
                <w:rFonts w:ascii="Times New Roman" w:hAnsi="Times New Roman" w:eastAsia="宋体"/>
                <w:color w:val="000000" w:themeColor="text1"/>
                <w:sz w:val="24"/>
              </w:rPr>
              <w:t>本项目建设完成后</w:t>
            </w:r>
            <w:r>
              <w:rPr>
                <w:rFonts w:hint="eastAsia" w:ascii="Times New Roman" w:hAnsi="Times New Roman" w:eastAsia="宋体"/>
                <w:color w:val="000000" w:themeColor="text1"/>
                <w:sz w:val="24"/>
              </w:rPr>
              <w:t>，全厂污染物总量控制指标为有组织颗粒物</w:t>
            </w:r>
            <w:r>
              <w:rPr>
                <w:rFonts w:ascii="Times New Roman" w:hAnsi="Times New Roman" w:eastAsia="宋体"/>
                <w:color w:val="000000" w:themeColor="text1"/>
                <w:sz w:val="24"/>
              </w:rPr>
              <w:t>0.0</w:t>
            </w:r>
            <w:r>
              <w:rPr>
                <w:rFonts w:hint="eastAsia" w:ascii="Times New Roman" w:hAnsi="Times New Roman" w:eastAsia="宋体"/>
                <w:color w:val="000000" w:themeColor="text1"/>
                <w:sz w:val="24"/>
              </w:rPr>
              <w:t>156</w:t>
            </w:r>
            <w:r>
              <w:rPr>
                <w:rFonts w:ascii="Times New Roman" w:hAnsi="Times New Roman" w:eastAsia="宋体"/>
                <w:color w:val="000000" w:themeColor="text1"/>
                <w:sz w:val="24"/>
              </w:rPr>
              <w:t>t/a</w:t>
            </w:r>
            <w:r>
              <w:rPr>
                <w:rFonts w:hint="eastAsia" w:ascii="Times New Roman" w:hAnsi="Times New Roman" w:eastAsia="宋体"/>
                <w:color w:val="000000" w:themeColor="text1"/>
                <w:sz w:val="24"/>
              </w:rPr>
              <w:t>、VOCs0.4158t/a（</w:t>
            </w:r>
            <w:r>
              <w:rPr>
                <w:rFonts w:ascii="Times New Roman" w:hAnsi="Times New Roman" w:eastAsia="宋体"/>
                <w:color w:val="000000" w:themeColor="text1"/>
                <w:sz w:val="24"/>
              </w:rPr>
              <w:t>有组织</w:t>
            </w:r>
            <w:r>
              <w:rPr>
                <w:rFonts w:hint="eastAsia" w:ascii="Times New Roman" w:hAnsi="Times New Roman" w:eastAsia="宋体"/>
                <w:color w:val="000000" w:themeColor="text1"/>
                <w:sz w:val="24"/>
              </w:rPr>
              <w:t>0.4015t/a，无组织0.0143t/a）、</w:t>
            </w:r>
            <w:r>
              <w:rPr>
                <w:rFonts w:ascii="Times New Roman" w:hAnsi="Times New Roman" w:eastAsia="宋体"/>
                <w:color w:val="000000" w:themeColor="text1"/>
                <w:sz w:val="24"/>
              </w:rPr>
              <w:t>COD0.</w:t>
            </w:r>
            <w:r>
              <w:rPr>
                <w:rFonts w:hint="eastAsia" w:ascii="Times New Roman" w:hAnsi="Times New Roman" w:eastAsia="宋体"/>
                <w:color w:val="000000" w:themeColor="text1"/>
                <w:sz w:val="24"/>
              </w:rPr>
              <w:t>0252</w:t>
            </w:r>
            <w:r>
              <w:rPr>
                <w:rFonts w:ascii="Times New Roman" w:hAnsi="Times New Roman" w:eastAsia="宋体"/>
                <w:color w:val="000000" w:themeColor="text1"/>
                <w:sz w:val="24"/>
              </w:rPr>
              <w:t>t/a</w:t>
            </w:r>
            <w:r>
              <w:rPr>
                <w:rFonts w:hint="eastAsia" w:ascii="Times New Roman" w:hAnsi="Times New Roman" w:eastAsia="宋体"/>
                <w:color w:val="000000" w:themeColor="text1"/>
                <w:sz w:val="24"/>
              </w:rPr>
              <w:t>、</w:t>
            </w:r>
            <w:r>
              <w:rPr>
                <w:rFonts w:ascii="Times New Roman" w:hAnsi="Times New Roman" w:eastAsia="宋体"/>
                <w:color w:val="000000" w:themeColor="text1"/>
                <w:sz w:val="24"/>
              </w:rPr>
              <w:t>NH</w:t>
            </w:r>
            <w:r>
              <w:rPr>
                <w:rFonts w:ascii="Times New Roman" w:hAnsi="Times New Roman" w:eastAsia="宋体"/>
                <w:color w:val="000000" w:themeColor="text1"/>
                <w:sz w:val="24"/>
                <w:vertAlign w:val="subscript"/>
              </w:rPr>
              <w:t>3</w:t>
            </w:r>
            <w:r>
              <w:rPr>
                <w:rFonts w:ascii="Times New Roman" w:hAnsi="Times New Roman" w:eastAsia="宋体"/>
                <w:color w:val="000000" w:themeColor="text1"/>
                <w:sz w:val="24"/>
              </w:rPr>
              <w:t>-N0.0</w:t>
            </w:r>
            <w:r>
              <w:rPr>
                <w:rFonts w:hint="eastAsia" w:ascii="Times New Roman" w:hAnsi="Times New Roman" w:eastAsia="宋体"/>
                <w:color w:val="000000" w:themeColor="text1"/>
                <w:sz w:val="24"/>
              </w:rPr>
              <w:t>026</w:t>
            </w:r>
            <w:r>
              <w:rPr>
                <w:rFonts w:ascii="Times New Roman" w:hAnsi="Times New Roman" w:eastAsia="宋体"/>
                <w:color w:val="000000" w:themeColor="text1"/>
                <w:sz w:val="24"/>
              </w:rPr>
              <w:t>t/a</w:t>
            </w:r>
            <w:r>
              <w:rPr>
                <w:rFonts w:hint="eastAsia" w:ascii="Times New Roman" w:eastAsia="宋体"/>
                <w:color w:val="000000" w:themeColor="text1"/>
                <w:sz w:val="24"/>
              </w:rPr>
              <w:t>、</w:t>
            </w:r>
            <w:r>
              <w:rPr>
                <w:rFonts w:hint="eastAsia" w:ascii="Times New Roman" w:hAnsi="Times New Roman" w:eastAsia="宋体"/>
                <w:color w:val="000000" w:themeColor="text1"/>
                <w:sz w:val="24"/>
              </w:rPr>
              <w:t>TP0.0002t/a。</w:t>
            </w:r>
          </w:p>
          <w:p>
            <w:pPr>
              <w:rPr>
                <w:color w:val="000000" w:themeColor="text1"/>
              </w:rPr>
            </w:pPr>
          </w:p>
          <w:p>
            <w:pPr>
              <w:pStyle w:val="2"/>
              <w:rPr>
                <w:color w:val="000000" w:themeColor="text1"/>
              </w:rPr>
            </w:pPr>
          </w:p>
          <w:p>
            <w:pPr>
              <w:pStyle w:val="2"/>
              <w:jc w:val="both"/>
              <w:rPr>
                <w:color w:val="000000" w:themeColor="text1"/>
              </w:rPr>
            </w:pPr>
          </w:p>
        </w:tc>
      </w:tr>
    </w:tbl>
    <w:p>
      <w:pPr>
        <w:spacing w:line="500" w:lineRule="exact"/>
        <w:outlineLvl w:val="0"/>
        <w:rPr>
          <w:b/>
          <w:color w:val="000000" w:themeColor="text1"/>
          <w:sz w:val="32"/>
          <w:szCs w:val="32"/>
        </w:rPr>
      </w:pPr>
      <w:r>
        <w:rPr>
          <w:rFonts w:hint="eastAsia" w:hAnsi="宋体"/>
          <w:b/>
          <w:color w:val="000000" w:themeColor="text1"/>
          <w:sz w:val="32"/>
          <w:szCs w:val="32"/>
        </w:rPr>
        <w:t>建设项目工程分析</w:t>
      </w:r>
    </w:p>
    <w:tbl>
      <w:tblPr>
        <w:tblStyle w:val="2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912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8" w:hRule="atLeast"/>
          <w:jc w:val="center"/>
        </w:trPr>
        <w:tc>
          <w:tcPr>
            <w:tcW w:w="9097" w:type="dxa"/>
            <w:tcBorders>
              <w:bottom w:val="single" w:color="auto" w:sz="6" w:space="0"/>
            </w:tcBorders>
          </w:tcPr>
          <w:p>
            <w:pPr>
              <w:adjustRightInd w:val="0"/>
              <w:snapToGrid w:val="0"/>
              <w:spacing w:line="520" w:lineRule="exact"/>
              <w:ind w:firstLine="482" w:firstLineChars="200"/>
              <w:rPr>
                <w:rFonts w:ascii="Times New Roman" w:hAnsi="Times New Roman" w:eastAsia="宋体"/>
                <w:b/>
                <w:bCs/>
                <w:color w:val="000000" w:themeColor="text1"/>
                <w:sz w:val="24"/>
              </w:rPr>
            </w:pPr>
            <w:r>
              <w:rPr>
                <w:rFonts w:ascii="Times New Roman" w:hAnsi="Times New Roman" w:eastAsia="宋体"/>
                <w:b/>
                <w:bCs/>
                <w:color w:val="000000" w:themeColor="text1"/>
                <w:sz w:val="24"/>
              </w:rPr>
              <w:t>运营期工艺流程简述(图示)：</w:t>
            </w:r>
          </w:p>
          <w:p>
            <w:pPr>
              <w:pStyle w:val="79"/>
              <w:spacing w:line="440" w:lineRule="exact"/>
              <w:rPr>
                <w:rFonts w:ascii="Times New Roman" w:hAnsi="Times New Roman" w:eastAsia="宋体"/>
                <w:color w:val="000000" w:themeColor="text1"/>
                <w:sz w:val="24"/>
              </w:rPr>
            </w:pPr>
            <w:r>
              <w:rPr>
                <w:rFonts w:ascii="Times New Roman" w:hAnsi="Times New Roman" w:eastAsia="宋体"/>
                <w:color w:val="000000" w:themeColor="text1"/>
                <w:sz w:val="24"/>
              </w:rPr>
              <w:t>1、生产工艺流程及产污环节图</w:t>
            </w:r>
          </w:p>
          <w:p>
            <w:pPr>
              <w:pStyle w:val="79"/>
              <w:spacing w:line="440" w:lineRule="exact"/>
              <w:rPr>
                <w:rFonts w:ascii="Times New Roman" w:hAnsi="Times New Roman" w:eastAsia="宋体"/>
                <w:color w:val="000000" w:themeColor="text1"/>
                <w:sz w:val="24"/>
              </w:rPr>
            </w:pPr>
          </w:p>
          <w:p>
            <w:pPr>
              <w:spacing w:line="520" w:lineRule="exact"/>
              <w:textAlignment w:val="baseline"/>
              <w:rPr>
                <w:rFonts w:eastAsia="黑体"/>
                <w:color w:val="000000" w:themeColor="text1"/>
                <w:sz w:val="24"/>
              </w:rPr>
            </w:pPr>
          </w:p>
          <w:p>
            <w:pPr>
              <w:spacing w:line="520" w:lineRule="exact"/>
              <w:textAlignment w:val="baseline"/>
              <w:rPr>
                <w:rFonts w:eastAsia="黑体"/>
                <w:color w:val="000000" w:themeColor="text1"/>
                <w:sz w:val="24"/>
              </w:rPr>
            </w:pPr>
          </w:p>
          <w:p>
            <w:pPr>
              <w:spacing w:line="520" w:lineRule="exact"/>
              <w:textAlignment w:val="baseline"/>
              <w:rPr>
                <w:rFonts w:eastAsia="黑体"/>
                <w:color w:val="000000" w:themeColor="text1"/>
                <w:sz w:val="24"/>
              </w:rPr>
            </w:pPr>
          </w:p>
          <w:p>
            <w:pPr>
              <w:spacing w:line="520" w:lineRule="exact"/>
              <w:textAlignment w:val="baseline"/>
              <w:rPr>
                <w:rFonts w:eastAsia="黑体"/>
                <w:color w:val="000000" w:themeColor="text1"/>
                <w:sz w:val="24"/>
              </w:rPr>
            </w:pPr>
          </w:p>
          <w:p>
            <w:pPr>
              <w:spacing w:line="520" w:lineRule="exact"/>
              <w:textAlignment w:val="baseline"/>
              <w:rPr>
                <w:rFonts w:eastAsia="黑体"/>
                <w:color w:val="000000" w:themeColor="text1"/>
                <w:sz w:val="24"/>
              </w:rPr>
            </w:pPr>
            <w:r>
              <w:rPr>
                <w:rFonts w:eastAsia="宋体"/>
                <w:b/>
                <w:color w:val="000000" w:themeColor="text1"/>
                <w:sz w:val="24"/>
              </w:rPr>
              <w:pict>
                <v:group id="_x0000_s1346" o:spid="_x0000_s1346" o:spt="203" style="height:141.5pt;width:446.25pt;" coordorigin="103505,-436245" coordsize="5667375,1797050" editas="canvas">
                  <o:lock v:ext="edit"/>
                  <v:shape id="_x0000_s1347" o:spid="_x0000_s1347" o:spt="75" type="#_x0000_t75" style="position:absolute;left:103505;top:-436245;height:1797050;width:5667375;" filled="f" o:preferrelative="t" stroked="f" coordsize="21600,21600">
                    <v:fill on="f" focussize="0,0"/>
                    <v:stroke on="f" joinstyle="miter"/>
                    <v:imagedata o:title=""/>
                    <o:lock v:ext="edit" rotation="t" aspectratio="t"/>
                  </v:shape>
                  <v:shape id="文本框 10" o:spid="_x0000_s1348" o:spt="202" type="#_x0000_t202" style="position:absolute;left:222885;top:238125;height:288290;width:61722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vMMA&#10;AADbAAAADwAAAGRycy9kb3ducmV2LnhtbESPT2vDMAzF74V9B6PBLmV1WtgfsrqlFAq7tgvpVcRa&#10;HBrLwfaadJ9+OhR2k3hP7/203k6+V1eKqQtsYLkoQBE3wXbcGqi+Ds/voFJGttgHJgM3SrDdPMzW&#10;WNow8pGup9wqCeFUogGX81BqnRpHHtMiDMSifYfoMcsaW20jjhLue70qilftsWNpcDjQ3lFzOf14&#10;Ay/9ebWMeT+Mc7erLlRXb/VvZczT47T7AJVpyv/m+/WnFXyhl19kAL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q/vMMAAADbAAAADwAAAAAAAAAAAAAAAACYAgAAZHJzL2Rv&#10;d25yZXYueG1sUEsFBgAAAAAEAAQA9QAAAIgDAAAAAA==&#10;">
                    <v:path/>
                    <v:fill type="gradient" on="f" angle="90" focus="100%" focussize="0,0">
                      <o:fill type="gradientUnscaled" v:ext="backwardCompatible"/>
                    </v:fill>
                    <v:stroke on="f" weight="1.25pt" joinstyle="miter"/>
                    <v:imagedata o:title=""/>
                    <o:lock v:ext="edit"/>
                    <v:textbox>
                      <w:txbxContent>
                        <w:p>
                          <w:pPr>
                            <w:jc w:val="center"/>
                            <w:rPr>
                              <w:rFonts w:ascii="宋体" w:hAnsi="宋体" w:eastAsia="宋体"/>
                            </w:rPr>
                          </w:pPr>
                          <w:r>
                            <w:rPr>
                              <w:rFonts w:hint="eastAsia" w:ascii="宋体" w:hAnsi="宋体" w:eastAsia="宋体"/>
                            </w:rPr>
                            <w:t>原材料</w:t>
                          </w:r>
                        </w:p>
                      </w:txbxContent>
                    </v:textbox>
                  </v:shape>
                  <v:shape id="文本框 12" o:spid="_x0000_s1349" o:spt="202" type="#_x0000_t202" style="position:absolute;left:1326515;top:241935;height:288290;width:46799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SEUMAA&#10;AADbAAAADwAAAGRycy9kb3ducmV2LnhtbERPTYvCMBC9L+x/CLPgZVlTC+pSjSLCgle16HVoxqbY&#10;TEqStdVfb4SFvc3jfc5yPdhW3MiHxrGCyTgDQVw53XCtoDz+fH2DCBFZY+uYFNwpwHr1/rbEQrue&#10;93Q7xFqkEA4FKjAxdoWUoTJkMYxdR5y4i/MWY4K+ltpjn8JtK/Msm0mLDacGgx1tDVXXw69VMG3P&#10;+cTHbdd/mk15pVM5Pz1KpUYfw2YBItIQ/8V/7p1O83N4/ZIO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SEUMAAAADbAAAADwAAAAAAAAAAAAAAAACYAgAAZHJzL2Rvd25y&#10;ZXYueG1sUEsFBgAAAAAEAAQA9QAAAIUDAAAAAA==&#10;">
                    <v:path/>
                    <v:fill type="gradient" on="f" angle="90" focus="100%" focussize="0,0">
                      <o:fill type="gradientUnscaled" v:ext="backwardCompatible"/>
                    </v:fill>
                    <v:stroke on="f" weight="1.25pt" joinstyle="miter"/>
                    <v:imagedata o:title=""/>
                    <o:lock v:ext="edit"/>
                    <v:textbox>
                      <w:txbxContent>
                        <w:p>
                          <w:pPr>
                            <w:jc w:val="center"/>
                            <w:rPr>
                              <w:rFonts w:ascii="宋体" w:hAnsi="宋体" w:eastAsia="宋体"/>
                            </w:rPr>
                          </w:pPr>
                          <w:r>
                            <w:rPr>
                              <w:rFonts w:hint="eastAsia" w:ascii="宋体" w:hAnsi="宋体" w:eastAsia="宋体"/>
                            </w:rPr>
                            <w:t>放料</w:t>
                          </w:r>
                        </w:p>
                      </w:txbxContent>
                    </v:textbox>
                  </v:shape>
                  <v:line id="直接连接符 13" o:spid="_x0000_s1350" o:spt="20" style="position:absolute;left:840105;top:381635;flip:y;height:1;width:43180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cGpcIAAADbAAAADwAAAGRycy9kb3ducmV2LnhtbERP22oCMRB9L/QfwhT6IjXbWpayGqUU&#10;BcW24OUDxs24u3QzWZK4xr83gtC3OZzrTGbRtKIn5xvLCl6HGQji0uqGKwX73eLlA4QPyBpby6Tg&#10;Qh5m08eHCRbannlD/TZUIoWwL1BBHUJXSOnLmgz6oe2IE3e0zmBI0FVSOzyncNPKtyzLpcGGU0ON&#10;HX3VVP5tT0ZBPLp3P+hXucy+4ybmv+ufeXVQ6vkpfo5BBIrhX3x3L3WaP4LbL+kAOb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cGpcIAAADbAAAADwAAAAAAAAAAAAAA&#10;AAChAgAAZHJzL2Rvd25yZXYueG1sUEsFBgAAAAAEAAQA+QAAAJADAAAAAA==&#10;">
                    <v:path arrowok="t"/>
                    <v:fill focussize="0,0"/>
                    <v:stroke weight="1.25pt" endarrow="open"/>
                    <v:imagedata o:title=""/>
                    <o:lock v:ext="edit"/>
                  </v:line>
                  <v:line id="直接连接符 19" o:spid="_x0000_s1351" o:spt="20" style="position:absolute;left:1794510;top:386080;flip:y;height:1;width:43180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8xT8IAAADbAAAADwAAAGRycy9kb3ducmV2LnhtbERP3WrCMBS+F/YO4Qx2IzOdjKKdUUQm&#10;KFNBtwc4a45tWXNSkqxmb78Ignfn4/s9s0U0rejJ+caygpdRBoK4tLrhSsHX5/p5AsIHZI2tZVLw&#10;Rx4W84fBDAttL3yk/hQqkULYF6igDqErpPRlTQb9yHbEiTtbZzAk6CqpHV5SuGnlOMtyabDh1FBj&#10;R6uayp/Tr1EQz+7VD/ttLrNdPMb88LF/r76VenqMyzcQgWK4i2/ujU7zp3D9JR0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58xT8IAAADbAAAADwAAAAAAAAAAAAAA&#10;AAChAgAAZHJzL2Rvd25yZXYueG1sUEsFBgAAAAAEAAQA+QAAAJADAAAAAA==&#10;">
                    <v:path arrowok="t"/>
                    <v:fill focussize="0,0"/>
                    <v:stroke weight="1.25pt" endarrow="open"/>
                    <v:imagedata o:title=""/>
                    <o:lock v:ext="edit"/>
                  </v:line>
                  <v:line id="直接连接符 24" o:spid="_x0000_s1352" o:spt="20" style="position:absolute;left:2728595;top:371475;flip:y;height:1;width:43180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UbMQAAADbAAAADwAAAGRycy9kb3ducmV2LnhtbESP3WoCMRSE7wt9h3AK3hTNKrLIahQp&#10;FSq2gj8PcNwcdxc3J0uSrvHtm0Khl8PMfMMsVtG0oifnG8sKxqMMBHFpdcOVgvNpM5yB8AFZY2uZ&#10;FDzIw2r5/LTAQts7H6g/hkokCPsCFdQhdIWUvqzJoB/Zjjh5V+sMhiRdJbXDe4KbVk6yLJcGG04L&#10;NXb0VlN5O34bBfHqpv613+Yy+4yHmO93X+/VRanBS1zPQQSK4T/81/7QCiZT+P2Sf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8lRsxAAAANsAAAAPAAAAAAAAAAAA&#10;AAAAAKECAABkcnMvZG93bnJldi54bWxQSwUGAAAAAAQABAD5AAAAkgMAAAAA&#10;">
                    <v:path arrowok="t"/>
                    <v:fill focussize="0,0"/>
                    <v:stroke weight="1.25pt" endarrow="open"/>
                    <v:imagedata o:title=""/>
                    <o:lock v:ext="edit"/>
                  </v:line>
                  <v:shape id="文本框 25" o:spid="_x0000_s1353" o:spt="202" type="#_x0000_t202" style="position:absolute;left:5017770;top:231140;height:288290;width:46799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v:path/>
                    <v:fill type="gradient" on="f" angle="90" focus="100%" focussize="0,0">
                      <o:fill type="gradientUnscaled" v:ext="backwardCompatible"/>
                    </v:fill>
                    <v:stroke on="f" weight="1.25pt" joinstyle="miter"/>
                    <v:imagedata o:title=""/>
                    <o:lock v:ext="edit"/>
                    <v:textbox>
                      <w:txbxContent>
                        <w:p>
                          <w:pPr>
                            <w:jc w:val="center"/>
                            <w:rPr>
                              <w:rFonts w:ascii="宋体" w:hAnsi="宋体" w:eastAsia="宋体"/>
                            </w:rPr>
                          </w:pPr>
                          <w:r>
                            <w:rPr>
                              <w:rFonts w:hint="eastAsia" w:ascii="宋体" w:hAnsi="宋体" w:eastAsia="宋体"/>
                            </w:rPr>
                            <w:t>包装</w:t>
                          </w:r>
                        </w:p>
                      </w:txbxContent>
                    </v:textbox>
                  </v:shape>
                  <v:line id="直接连接符 30" o:spid="_x0000_s1355" o:spt="20" style="position:absolute;left:3636010;top:385445;flip:y;height:1;width:43180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om8MAAADbAAAADwAAAGRycy9kb3ducmV2LnhtbERPy2rCQBTdF/yH4Rbc1UkqjRIdpRQC&#10;xZaC2kXdXTPXJDVzJ2TGPP6+syi4PJz3ejuYWnTUusqygngWgSDOra64UPB9zJ6WIJxH1lhbJgUj&#10;OdhuJg9rTLXteU/dwRcihLBLUUHpfZNK6fKSDLqZbYgDd7GtQR9gW0jdYh/CTS2foyiRBisODSU2&#10;9FZSfj3cjILfxeJzSL7sx/jTJed5vHtZZreTUtPH4XUFwtPg7+J/97tWMA/rw5fw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zKJvDAAAA2wAAAA8AAAAAAAAAAAAA&#10;AAAAoQIAAGRycy9kb3ducmV2LnhtbFBLBQYAAAAABAAEAPkAAACRAwAAAAA=&#10;">
                    <v:path arrowok="t"/>
                    <v:fill focussize="0,0"/>
                    <v:stroke weight="1.25pt" endarrow="open"/>
                    <v:imagedata o:title=""/>
                    <o:lock v:ext="edit"/>
                  </v:line>
                  <v:shape id="文本框 28" o:spid="_x0000_s1356" o:spt="202" type="#_x0000_t202" style="position:absolute;left:2132330;top:-342265;height:304800;width:72009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v:path/>
                    <v:fill on="f" focussize="0,0"/>
                    <v:stroke on="f" weight="1.25pt" joinstyle="miter"/>
                    <v:imagedata o:title=""/>
                    <o:lock v:ext="edit"/>
                    <v:textbox>
                      <w:txbxContent>
                        <w:p>
                          <w:pPr>
                            <w:jc w:val="center"/>
                            <w:rPr>
                              <w:rFonts w:ascii="Times New Roman" w:hAnsi="Times New Roman"/>
                            </w:rPr>
                          </w:pPr>
                          <w:r>
                            <w:rPr>
                              <w:rFonts w:hint="eastAsia" w:ascii="Times New Roman" w:hAnsi="Times New Roman"/>
                            </w:rPr>
                            <w:t>G、</w:t>
                          </w:r>
                          <w:r>
                            <w:rPr>
                              <w:rFonts w:ascii="Times New Roman" w:hAnsi="Times New Roman"/>
                            </w:rPr>
                            <w:t>N</w:t>
                          </w:r>
                        </w:p>
                      </w:txbxContent>
                    </v:textbox>
                  </v:shape>
                  <v:line id="直接连接符 17" o:spid="_x0000_s1357" o:spt="20" style="position:absolute;left:1546860;top:-140335;flip:y;height:419735;width:1;"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v:path arrowok="t"/>
                    <v:fill focussize="0,0"/>
                    <v:stroke weight="1.25pt" dashstyle="dash" endarrow="open"/>
                    <v:imagedata o:title=""/>
                    <o:lock v:ext="edit"/>
                  </v:line>
                  <v:shape id="文本框 25" o:spid="_x0000_s1358" o:spt="202" type="#_x0000_t202" style="position:absolute;left:5006340;top:1072515;height:288290;width:46799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v:path/>
                    <v:fill type="gradient" on="f" angle="90" focus="100%" focussize="0,0">
                      <o:fill type="gradientUnscaled" v:ext="backwardCompatible"/>
                    </v:fill>
                    <v:stroke on="f" weight="1.25pt" joinstyle="miter"/>
                    <v:imagedata o:title=""/>
                    <o:lock v:ext="edit"/>
                    <v:textbox>
                      <w:txbxContent>
                        <w:p>
                          <w:pPr>
                            <w:jc w:val="center"/>
                            <w:rPr>
                              <w:rFonts w:ascii="宋体" w:hAnsi="宋体" w:eastAsia="宋体"/>
                            </w:rPr>
                          </w:pPr>
                          <w:r>
                            <w:rPr>
                              <w:rFonts w:hint="eastAsia" w:ascii="宋体" w:hAnsi="宋体" w:eastAsia="宋体"/>
                            </w:rPr>
                            <w:t>成品</w:t>
                          </w:r>
                        </w:p>
                      </w:txbxContent>
                    </v:textbox>
                  </v:shape>
                  <v:line id="直接连接符 17" o:spid="_x0000_s1359" o:spt="20" style="position:absolute;left:5252720;top:520700;flip:x;height:539750;width:1;"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v:path arrowok="t"/>
                    <v:fill focussize="0,0"/>
                    <v:stroke weight="1.25pt" endarrow="open"/>
                    <v:imagedata o:title=""/>
                    <o:lock v:ext="edit"/>
                  </v:line>
                  <v:line id="直接连接符 17" o:spid="_x0000_s1362" o:spt="20" style="position:absolute;left:2489835;top:-128270;flip:y;height:419735;width:1;"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v:path arrowok="t"/>
                    <v:fill focussize="0,0"/>
                    <v:stroke weight="1.25pt" dashstyle="dash" endarrow="open"/>
                    <v:imagedata o:title=""/>
                    <o:lock v:ext="edit"/>
                  </v:line>
                  <v:line id="直接连接符 17" o:spid="_x0000_s1363" o:spt="20" style="position:absolute;left:3385185;top:-121920;flip:y;height:419735;width:1;"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v:path arrowok="t"/>
                    <v:fill focussize="0,0"/>
                    <v:stroke weight="1.25pt" dashstyle="dash" endarrow="open"/>
                    <v:imagedata o:title=""/>
                    <o:lock v:ext="edit"/>
                  </v:line>
                  <v:shape id="文本框 25" o:spid="_x0000_s1364" o:spt="202" type="#_x0000_t202" style="position:absolute;left:2260600;top:231140;height:288290;width:46799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v:path/>
                    <v:fill type="gradient" on="f" angle="90" focus="100%" focussize="0,0">
                      <o:fill type="gradientUnscaled" v:ext="backwardCompatible"/>
                    </v:fill>
                    <v:stroke on="f" weight="1.25pt" joinstyle="miter"/>
                    <v:imagedata o:title=""/>
                    <o:lock v:ext="edit"/>
                    <v:textbox>
                      <w:txbxContent>
                        <w:p>
                          <w:pPr>
                            <w:jc w:val="center"/>
                            <w:rPr>
                              <w:rFonts w:ascii="宋体" w:hAnsi="宋体" w:eastAsia="宋体"/>
                            </w:rPr>
                          </w:pPr>
                          <w:r>
                            <w:rPr>
                              <w:rFonts w:hint="eastAsia" w:ascii="宋体" w:hAnsi="宋体" w:eastAsia="宋体"/>
                            </w:rPr>
                            <w:t>压合</w:t>
                          </w:r>
                        </w:p>
                      </w:txbxContent>
                    </v:textbox>
                  </v:shape>
                  <v:shape id="文本框 14" o:spid="_x0000_s1365" o:spt="202" type="#_x0000_t202" style="position:absolute;left:3168015;top:231140;height:288290;width:46799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5v8AA&#10;AADbAAAADwAAAGRycy9kb3ducmV2LnhtbERPTYvCMBC9C/sfwix4kTVVXF26RhFB2Ktu0evQzDbF&#10;ZlKSaOv+eiMI3ubxPme57m0jruRD7VjBZJyBIC6drrlSUPzuPr5AhIissXFMCm4UYL16Gywx167j&#10;PV0PsRIphEOOCkyMbS5lKA1ZDGPXEifuz3mLMUFfSe2xS+G2kdMsm0uLNacGgy1tDZXnw8Uq+GxO&#10;04mP27YbmU1xpmOxOP4XSg3f+803iEh9fImf7h+d5s/g8Us6QK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G5v8AAAADbAAAADwAAAAAAAAAAAAAAAACYAgAAZHJzL2Rvd25y&#10;ZXYueG1sUEsFBgAAAAAEAAQA9QAAAIUDAAAAAA==&#10;">
                    <v:path/>
                    <v:fill type="gradient" on="f" angle="90" focus="100%" focussize="0,0">
                      <o:fill type="gradientUnscaled" v:ext="backwardCompatible"/>
                    </v:fill>
                    <v:stroke on="f" weight="1.25pt" joinstyle="miter"/>
                    <v:imagedata o:title=""/>
                    <o:lock v:ext="edit"/>
                    <v:textbox>
                      <w:txbxContent>
                        <w:p>
                          <w:pPr>
                            <w:jc w:val="center"/>
                            <w:rPr>
                              <w:rFonts w:ascii="宋体" w:hAnsi="宋体" w:eastAsia="宋体"/>
                            </w:rPr>
                          </w:pPr>
                          <w:r>
                            <w:rPr>
                              <w:rFonts w:hint="eastAsia" w:ascii="宋体" w:hAnsi="宋体" w:eastAsia="宋体"/>
                            </w:rPr>
                            <w:t>质检</w:t>
                          </w:r>
                        </w:p>
                      </w:txbxContent>
                    </v:textbox>
                  </v:shape>
                  <v:shape id="文本框 25" o:spid="_x0000_s1366" o:spt="202" type="#_x0000_t202" style="position:absolute;left:4106545;top:236855;height:288290;width:46799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mcIA&#10;AADbAAAADwAAAGRycy9kb3ducmV2LnhtbESPT4vCMBTE7wt+h/AWvCyaWvAPXaOIsOB1tej10Tyb&#10;YvNSkmi7++k3C4LHYWZ+w6y3g23Fg3xoHCuYTTMQxJXTDdcKytPXZAUiRGSNrWNS8EMBtpvR2xoL&#10;7Xr+pscx1iJBOBSowMTYFVKGypDFMHUdcfKuzluMSfpaao99gttW5lm2kBYbTgsGO9obqm7Hu1Uw&#10;by/5zMd913+YXXmjc7k8/5ZKjd+H3SeISEN8hZ/tg1aQz+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daZwgAAANsAAAAPAAAAAAAAAAAAAAAAAJgCAABkcnMvZG93&#10;bnJldi54bWxQSwUGAAAAAAQABAD1AAAAhwMAAAAA&#10;">
                    <v:path/>
                    <v:fill type="gradient" on="f" angle="90" focus="100%" focussize="0,0">
                      <o:fill type="gradientUnscaled" v:ext="backwardCompatible"/>
                    </v:fill>
                    <v:stroke on="f" weight="1.25pt" joinstyle="miter"/>
                    <v:imagedata o:title=""/>
                    <o:lock v:ext="edit"/>
                    <v:textbox>
                      <w:txbxContent>
                        <w:p>
                          <w:pPr>
                            <w:jc w:val="center"/>
                            <w:rPr>
                              <w:rFonts w:ascii="宋体" w:hAnsi="宋体" w:eastAsia="宋体"/>
                            </w:rPr>
                          </w:pPr>
                          <w:r>
                            <w:rPr>
                              <w:rFonts w:hint="eastAsia" w:ascii="宋体" w:hAnsi="宋体" w:eastAsia="宋体"/>
                            </w:rPr>
                            <w:t>收卷</w:t>
                          </w:r>
                        </w:p>
                      </w:txbxContent>
                    </v:textbox>
                  </v:shape>
                  <v:line id="直接连接符 30" o:spid="_x0000_s1367" o:spt="20" style="position:absolute;left:4574540;top:383540;flip:y;height:1;width:43180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om8MAAADbAAAADwAAAGRycy9kb3ducmV2LnhtbERPy2rCQBTdF/yH4Rbc1UkqjRIdpRQC&#10;xZaC2kXdXTPXJDVzJ2TGPP6+syi4PJz3ejuYWnTUusqygngWgSDOra64UPB9zJ6WIJxH1lhbJgUj&#10;OdhuJg9rTLXteU/dwRcihLBLUUHpfZNK6fKSDLqZbYgDd7GtQR9gW0jdYh/CTS2foyiRBisODSU2&#10;9FZSfj3cjILfxeJzSL7sx/jTJed5vHtZZreTUtPH4XUFwtPg7+J/97tWMA/rw5fw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zKJvDAAAA2wAAAA8AAAAAAAAAAAAA&#10;AAAAoQIAAGRycy9kb3ducmV2LnhtbFBLBQYAAAAABAAEAPkAAACRAwAAAAA=&#10;">
                    <v:path arrowok="t"/>
                    <v:fill focussize="0,0"/>
                    <v:stroke weight="1.25pt" endarrow="open"/>
                    <v:imagedata o:title=""/>
                    <o:lock v:ext="edit"/>
                  </v:line>
                  <v:line id="直接连接符 17" o:spid="_x0000_s1371" o:spt="20" style="position:absolute;left:5233035;top:-128270;flip:y;height:419735;width:1;"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j8MAAADbAAAADwAAAGRycy9kb3ducmV2LnhtbERPS2vCQBC+C/6HZYTedGOLiURXKQWh&#10;tFLwcdDbmB2TaHY2ZNcY/323UPA2H99z5svOVKKlxpWWFYxHEQjizOqScwX73Wo4BeE8ssbKMil4&#10;kIPlot+bY6rtnTfUbn0uQgi7FBUU3teplC4ryKAb2Zo4cGfbGPQBNrnUDd5DuKnkaxTF0mDJoaHA&#10;mj4Kyq7bm1FwSZJ1F//Y78ehjU9v46/JdHU7KvUy6N5nIDx1/in+d3/qMD+Bv1/C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v7I/DAAAA2wAAAA8AAAAAAAAAAAAA&#10;AAAAoQIAAGRycy9kb3ducmV2LnhtbFBLBQYAAAAABAAEAPkAAACRAwAAAAA=&#10;">
                    <v:path arrowok="t"/>
                    <v:fill focussize="0,0"/>
                    <v:stroke weight="1.25pt" dashstyle="dash" endarrow="open"/>
                    <v:imagedata o:title=""/>
                    <o:lock v:ext="edit"/>
                  </v:line>
                  <v:shape id="文本框 28" o:spid="_x0000_s1373" o:spt="202" type="#_x0000_t202" style="position:absolute;left:1198245;top:-342265;height:304800;width:72009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v:path/>
                    <v:fill on="f" focussize="0,0"/>
                    <v:stroke on="f" weight="1.25pt" joinstyle="miter"/>
                    <v:imagedata o:title=""/>
                    <o:lock v:ext="edit"/>
                    <v:textbox>
                      <w:txbxContent>
                        <w:p>
                          <w:pPr>
                            <w:jc w:val="center"/>
                            <w:rPr>
                              <w:rFonts w:ascii="Times New Roman" w:hAnsi="Times New Roman"/>
                            </w:rPr>
                          </w:pPr>
                          <w:r>
                            <w:rPr>
                              <w:rFonts w:ascii="Times New Roman" w:hAnsi="Times New Roman"/>
                            </w:rPr>
                            <w:t>N</w:t>
                          </w:r>
                        </w:p>
                      </w:txbxContent>
                    </v:textbox>
                  </v:shape>
                  <v:shape id="文本框 28" o:spid="_x0000_s1374" o:spt="202" type="#_x0000_t202" style="position:absolute;left:3123565;top:-342265;height:304800;width:51244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v:path/>
                    <v:fill on="f" focussize="0,0"/>
                    <v:stroke on="f" weight="1.25pt" joinstyle="miter"/>
                    <v:imagedata o:title=""/>
                    <o:lock v:ext="edit"/>
                    <v:textbox>
                      <w:txbxContent>
                        <w:p>
                          <w:pPr>
                            <w:jc w:val="center"/>
                            <w:rPr>
                              <w:rFonts w:ascii="Times New Roman" w:hAnsi="Times New Roman"/>
                            </w:rPr>
                          </w:pPr>
                          <w:r>
                            <w:rPr>
                              <w:rFonts w:hint="eastAsia" w:ascii="Times New Roman" w:hAnsi="Times New Roman"/>
                            </w:rPr>
                            <w:t>S</w:t>
                          </w:r>
                        </w:p>
                      </w:txbxContent>
                    </v:textbox>
                  </v:shape>
                  <v:shape id="文本框 28" o:spid="_x0000_s1376" o:spt="202" type="#_x0000_t202" style="position:absolute;left:4981575;top:-360680;height:304800;width:50419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PjsMA&#10;AADbAAAADwAAAGRycy9kb3ducmV2LnhtbERPy2rCQBTdF/yH4Qpuik4qpUh0FFGESpXiA3V5yVyT&#10;YOZOyIxJ9OudRaHLw3lPZq0pRE2Vyy0r+BhEIIgTq3NOFRwPq/4IhPPIGgvLpOBBDmbTztsEY20b&#10;3lG996kIIexiVJB5X8ZSuiQjg25gS+LAXW1l0AdYpVJX2IRwU8hhFH1JgzmHhgxLWmSU3PZ3o6De&#10;Rp+nTXJ+3N9Xy8t69Lt0P81TqV63nY9BeGr9v/jP/a0VDMPY8C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PjsMAAADbAAAADwAAAAAAAAAAAAAAAACYAgAAZHJzL2Rv&#10;d25yZXYueG1sUEsFBgAAAAAEAAQA9QAAAIgDAAAAAA==&#10;">
                    <v:path/>
                    <v:fill on="f" focussize="0,0"/>
                    <v:stroke on="f" weight="1.25pt" joinstyle="miter"/>
                    <v:imagedata o:title=""/>
                    <o:lock v:ext="edit"/>
                    <v:textbox>
                      <w:txbxContent>
                        <w:p>
                          <w:pPr>
                            <w:jc w:val="center"/>
                            <w:rPr>
                              <w:rFonts w:ascii="Times New Roman" w:hAnsi="Times New Roman"/>
                            </w:rPr>
                          </w:pPr>
                          <w:r>
                            <w:rPr>
                              <w:rFonts w:hint="eastAsia" w:ascii="Times New Roman" w:hAnsi="Times New Roman"/>
                            </w:rPr>
                            <w:t>S</w:t>
                          </w:r>
                        </w:p>
                      </w:txbxContent>
                    </v:textbox>
                  </v:shape>
                  <w10:wrap type="none"/>
                  <w10:anchorlock/>
                </v:group>
              </w:pict>
            </w:r>
          </w:p>
          <w:p>
            <w:pPr>
              <w:tabs>
                <w:tab w:val="left" w:pos="2281"/>
              </w:tabs>
              <w:spacing w:line="440" w:lineRule="exact"/>
              <w:ind w:firstLine="840" w:firstLineChars="350"/>
              <w:textAlignment w:val="baseline"/>
              <w:rPr>
                <w:rFonts w:ascii="Times New Roman" w:hAnsi="Times New Roman" w:eastAsia="宋体"/>
                <w:color w:val="000000" w:themeColor="text1"/>
                <w:sz w:val="24"/>
              </w:rPr>
            </w:pPr>
            <w:r>
              <w:rPr>
                <w:rFonts w:ascii="Times New Roman" w:hAnsi="Times New Roman" w:eastAsia="宋体"/>
                <w:color w:val="000000" w:themeColor="text1"/>
                <w:sz w:val="24"/>
              </w:rPr>
              <w:t>G</w:t>
            </w:r>
            <w:r>
              <w:rPr>
                <w:rFonts w:hint="eastAsia" w:ascii="Times New Roman" w:eastAsia="宋体"/>
                <w:color w:val="000000" w:themeColor="text1"/>
                <w:sz w:val="24"/>
              </w:rPr>
              <w:t>：废气、</w:t>
            </w:r>
            <w:r>
              <w:rPr>
                <w:rFonts w:ascii="Times New Roman" w:hAnsi="Times New Roman" w:eastAsia="宋体"/>
                <w:color w:val="000000" w:themeColor="text1"/>
                <w:sz w:val="24"/>
              </w:rPr>
              <w:t>N</w:t>
            </w:r>
            <w:r>
              <w:rPr>
                <w:rFonts w:hint="eastAsia" w:ascii="Times New Roman" w:eastAsia="宋体"/>
                <w:color w:val="000000" w:themeColor="text1"/>
                <w:sz w:val="24"/>
              </w:rPr>
              <w:t>：噪声、</w:t>
            </w:r>
            <w:r>
              <w:rPr>
                <w:rFonts w:ascii="Times New Roman" w:hAnsi="Times New Roman" w:eastAsia="宋体"/>
                <w:color w:val="000000" w:themeColor="text1"/>
                <w:sz w:val="24"/>
              </w:rPr>
              <w:t>S</w:t>
            </w:r>
            <w:r>
              <w:rPr>
                <w:rFonts w:hint="eastAsia" w:ascii="Times New Roman" w:eastAsia="宋体"/>
                <w:color w:val="000000" w:themeColor="text1"/>
                <w:sz w:val="24"/>
              </w:rPr>
              <w:t>：固废</w:t>
            </w:r>
          </w:p>
          <w:p>
            <w:pPr>
              <w:tabs>
                <w:tab w:val="left" w:pos="2281"/>
              </w:tabs>
              <w:spacing w:line="440" w:lineRule="exact"/>
              <w:jc w:val="center"/>
              <w:textAlignment w:val="baseline"/>
              <w:rPr>
                <w:rFonts w:ascii="Times New Roman" w:hAnsi="Times New Roman" w:eastAsia="宋体"/>
                <w:b/>
                <w:color w:val="000000" w:themeColor="text1"/>
                <w:sz w:val="24"/>
              </w:rPr>
            </w:pPr>
            <w:r>
              <w:rPr>
                <w:rFonts w:ascii="Times New Roman" w:eastAsia="宋体"/>
                <w:b/>
                <w:color w:val="000000" w:themeColor="text1"/>
                <w:sz w:val="24"/>
              </w:rPr>
              <w:t>图</w:t>
            </w:r>
            <w:r>
              <w:rPr>
                <w:rFonts w:hint="eastAsia" w:ascii="Times New Roman" w:hAnsi="Times New Roman" w:eastAsia="宋体"/>
                <w:b/>
                <w:color w:val="000000" w:themeColor="text1"/>
                <w:sz w:val="24"/>
              </w:rPr>
              <w:t xml:space="preserve">5    </w:t>
            </w:r>
            <w:r>
              <w:rPr>
                <w:rFonts w:ascii="Times New Roman" w:eastAsia="宋体"/>
                <w:b/>
                <w:color w:val="000000" w:themeColor="text1"/>
                <w:sz w:val="24"/>
              </w:rPr>
              <w:t>工艺流程及产污环节示意图</w:t>
            </w:r>
          </w:p>
          <w:p>
            <w:pPr>
              <w:pStyle w:val="79"/>
              <w:spacing w:line="440" w:lineRule="exact"/>
              <w:ind w:firstLine="480" w:firstLineChars="200"/>
              <w:rPr>
                <w:rFonts w:ascii="Times New Roman" w:hAnsi="Times New Roman" w:eastAsia="宋体"/>
                <w:color w:val="000000" w:themeColor="text1"/>
                <w:sz w:val="24"/>
              </w:rPr>
            </w:pPr>
            <w:r>
              <w:rPr>
                <w:rFonts w:hint="eastAsia" w:ascii="Times New Roman" w:hAnsi="Times New Roman" w:eastAsia="宋体"/>
                <w:color w:val="000000" w:themeColor="text1"/>
                <w:sz w:val="24"/>
              </w:rPr>
              <w:t>（1）放料</w:t>
            </w:r>
          </w:p>
          <w:p>
            <w:pPr>
              <w:pStyle w:val="79"/>
              <w:spacing w:line="440" w:lineRule="exact"/>
              <w:ind w:firstLine="480" w:firstLineChars="200"/>
              <w:rPr>
                <w:rFonts w:ascii="Times New Roman" w:hAnsi="Times New Roman" w:eastAsia="宋体"/>
                <w:color w:val="000000" w:themeColor="text1"/>
                <w:sz w:val="24"/>
              </w:rPr>
            </w:pPr>
            <w:r>
              <w:rPr>
                <w:rFonts w:hint="eastAsia" w:ascii="Times New Roman" w:hAnsi="Times New Roman" w:eastAsia="宋体"/>
                <w:color w:val="000000" w:themeColor="text1"/>
                <w:sz w:val="24"/>
              </w:rPr>
              <w:t>本项目原料为</w:t>
            </w:r>
            <w:r>
              <w:rPr>
                <w:rFonts w:hint="eastAsia" w:ascii="Times New Roman" w:hAnsi="Times New Roman" w:eastAsia="宋体"/>
                <w:b/>
                <w:color w:val="000000" w:themeColor="text1"/>
                <w:sz w:val="24"/>
                <w:u w:val="single"/>
              </w:rPr>
              <w:t>塑料皮帘、磁条和边条，塑料皮帘由厂区内原有工程生产</w:t>
            </w:r>
            <w:r>
              <w:rPr>
                <w:rFonts w:hint="eastAsia" w:ascii="Times New Roman" w:hAnsi="Times New Roman" w:eastAsia="宋体"/>
                <w:color w:val="000000" w:themeColor="text1"/>
                <w:sz w:val="24"/>
              </w:rPr>
              <w:t>，磁条和边条为外购。根据产品规格要求，先将塑料皮帘放入</w:t>
            </w:r>
            <w:r>
              <w:rPr>
                <w:rFonts w:hint="eastAsia" w:ascii="Times New Roman" w:hAnsi="宋体" w:eastAsia="宋体"/>
                <w:bCs/>
                <w:color w:val="000000" w:themeColor="text1"/>
                <w:sz w:val="24"/>
              </w:rPr>
              <w:t>高周波塑熔机的工作平台，再将</w:t>
            </w:r>
            <w:r>
              <w:rPr>
                <w:rFonts w:hint="eastAsia" w:ascii="Times New Roman" w:hAnsi="Times New Roman" w:eastAsia="宋体"/>
                <w:color w:val="000000" w:themeColor="text1"/>
                <w:sz w:val="24"/>
              </w:rPr>
              <w:t>磁条和边条放在塑料皮帘的两边。塑料皮帘、磁条和边条一同进入</w:t>
            </w:r>
            <w:r>
              <w:rPr>
                <w:rFonts w:hint="eastAsia" w:ascii="Times New Roman" w:hAnsi="宋体" w:eastAsia="宋体"/>
                <w:bCs/>
                <w:color w:val="000000" w:themeColor="text1"/>
                <w:sz w:val="24"/>
              </w:rPr>
              <w:t>高周波塑熔机的工作平台。</w:t>
            </w:r>
            <w:r>
              <w:rPr>
                <w:rFonts w:hint="eastAsia" w:ascii="Times New Roman" w:hAnsi="Times New Roman" w:eastAsia="宋体"/>
                <w:color w:val="000000" w:themeColor="text1"/>
                <w:sz w:val="24"/>
              </w:rPr>
              <w:t>此工序主要污染物为噪声。</w:t>
            </w:r>
          </w:p>
          <w:p>
            <w:pPr>
              <w:pStyle w:val="79"/>
              <w:spacing w:line="440" w:lineRule="exact"/>
              <w:ind w:firstLine="480" w:firstLineChars="200"/>
              <w:rPr>
                <w:rFonts w:ascii="Times New Roman" w:hAnsi="Times New Roman" w:eastAsia="宋体"/>
                <w:color w:val="000000" w:themeColor="text1"/>
                <w:sz w:val="24"/>
              </w:rPr>
            </w:pPr>
            <w:r>
              <w:rPr>
                <w:rFonts w:hint="eastAsia" w:ascii="Times New Roman" w:hAnsi="Times New Roman" w:eastAsia="宋体"/>
                <w:color w:val="000000" w:themeColor="text1"/>
                <w:sz w:val="24"/>
              </w:rPr>
              <w:t>（2）压合</w:t>
            </w:r>
          </w:p>
          <w:p>
            <w:pPr>
              <w:pStyle w:val="79"/>
              <w:spacing w:line="440" w:lineRule="exact"/>
              <w:ind w:firstLine="480" w:firstLineChars="200"/>
              <w:rPr>
                <w:rFonts w:ascii="Times New Roman" w:hAnsi="Times New Roman" w:eastAsia="宋体"/>
                <w:color w:val="000000" w:themeColor="text1"/>
                <w:sz w:val="24"/>
              </w:rPr>
            </w:pPr>
            <w:r>
              <w:rPr>
                <w:rFonts w:ascii="Times New Roman" w:hAnsi="Times New Roman" w:eastAsia="宋体"/>
                <w:color w:val="000000" w:themeColor="text1"/>
                <w:sz w:val="24"/>
              </w:rPr>
              <w:t>首先</w:t>
            </w:r>
            <w:r>
              <w:rPr>
                <w:rFonts w:hint="eastAsia" w:ascii="Times New Roman" w:hAnsi="Times New Roman" w:eastAsia="宋体"/>
                <w:color w:val="000000" w:themeColor="text1"/>
                <w:sz w:val="24"/>
              </w:rPr>
              <w:t>，将</w:t>
            </w:r>
            <w:r>
              <w:rPr>
                <w:rFonts w:hint="eastAsia" w:ascii="Times New Roman" w:hAnsi="宋体" w:eastAsia="宋体"/>
                <w:bCs/>
                <w:color w:val="000000" w:themeColor="text1"/>
                <w:sz w:val="24"/>
              </w:rPr>
              <w:t>高周波塑熔机的模具加热到40℃，采用电加热。再使用模具将</w:t>
            </w:r>
            <w:r>
              <w:rPr>
                <w:rFonts w:hint="eastAsia" w:ascii="Times New Roman" w:hAnsi="Times New Roman" w:eastAsia="宋体"/>
                <w:color w:val="000000" w:themeColor="text1"/>
                <w:sz w:val="24"/>
              </w:rPr>
              <w:t>塑料皮帘、磁条和边条压合5s，使其成为一个整体，在压合的过程中，塑料皮帘因受热会产生一定量的非甲烷总烃。</w:t>
            </w:r>
            <w:r>
              <w:rPr>
                <w:rFonts w:hint="eastAsia" w:ascii="Times New Roman" w:hAnsi="宋体" w:eastAsia="宋体"/>
                <w:bCs/>
                <w:color w:val="000000" w:themeColor="text1"/>
                <w:sz w:val="24"/>
              </w:rPr>
              <w:t>高周波塑熔机的模具中使用一定量的水进行冷却，保持恒温，冷却水循环使用，不外排。</w:t>
            </w:r>
            <w:r>
              <w:rPr>
                <w:rFonts w:hint="eastAsia" w:ascii="Times New Roman" w:hAnsi="Times New Roman" w:eastAsia="宋体"/>
                <w:color w:val="000000" w:themeColor="text1"/>
                <w:sz w:val="24"/>
              </w:rPr>
              <w:t>此工序主要污染物为非甲烷总烃和噪声。</w:t>
            </w:r>
          </w:p>
          <w:p>
            <w:pPr>
              <w:pStyle w:val="79"/>
              <w:spacing w:line="440" w:lineRule="exact"/>
              <w:ind w:firstLine="480" w:firstLineChars="200"/>
              <w:rPr>
                <w:rFonts w:ascii="Times New Roman" w:hAnsi="Times New Roman" w:eastAsia="宋体"/>
                <w:color w:val="000000" w:themeColor="text1"/>
                <w:sz w:val="24"/>
              </w:rPr>
            </w:pPr>
            <w:r>
              <w:rPr>
                <w:rFonts w:hint="eastAsia" w:ascii="Times New Roman" w:hAnsi="Times New Roman" w:eastAsia="宋体"/>
                <w:color w:val="000000" w:themeColor="text1"/>
                <w:sz w:val="24"/>
              </w:rPr>
              <w:t>（3）质检、收卷</w:t>
            </w:r>
          </w:p>
          <w:p>
            <w:pPr>
              <w:pStyle w:val="79"/>
              <w:spacing w:line="440" w:lineRule="exact"/>
              <w:ind w:firstLine="480" w:firstLineChars="200"/>
              <w:rPr>
                <w:rFonts w:ascii="Times New Roman" w:hAnsi="Times New Roman" w:eastAsia="宋体"/>
                <w:color w:val="000000" w:themeColor="text1"/>
                <w:sz w:val="24"/>
              </w:rPr>
            </w:pPr>
            <w:r>
              <w:rPr>
                <w:rFonts w:hint="eastAsia" w:ascii="Times New Roman" w:hAnsi="Times New Roman" w:eastAsia="宋体"/>
                <w:color w:val="000000" w:themeColor="text1"/>
                <w:sz w:val="24"/>
              </w:rPr>
              <w:t>对压合后的工件整体，进行人工检验。检验合格后，再人工将其卷成一个圆卷。此工序主要污染物为噪声和不合格产品。</w:t>
            </w:r>
          </w:p>
          <w:p>
            <w:pPr>
              <w:pStyle w:val="79"/>
              <w:spacing w:line="440" w:lineRule="exact"/>
              <w:ind w:firstLine="480" w:firstLineChars="200"/>
              <w:rPr>
                <w:rFonts w:ascii="Times New Roman" w:hAnsi="Times New Roman" w:eastAsia="宋体"/>
                <w:color w:val="000000" w:themeColor="text1"/>
                <w:sz w:val="24"/>
              </w:rPr>
            </w:pPr>
            <w:r>
              <w:rPr>
                <w:rFonts w:hint="eastAsia" w:ascii="Times New Roman" w:hAnsi="Times New Roman" w:eastAsia="宋体"/>
                <w:color w:val="000000" w:themeColor="text1"/>
                <w:sz w:val="24"/>
              </w:rPr>
              <w:t>（4）包装</w:t>
            </w:r>
          </w:p>
          <w:p>
            <w:pPr>
              <w:pStyle w:val="79"/>
              <w:spacing w:line="440" w:lineRule="exact"/>
              <w:ind w:firstLine="480" w:firstLineChars="200"/>
              <w:rPr>
                <w:rFonts w:ascii="Times New Roman" w:hAnsi="Times New Roman" w:eastAsia="宋体"/>
                <w:color w:val="000000" w:themeColor="text1"/>
                <w:sz w:val="24"/>
              </w:rPr>
            </w:pPr>
            <w:r>
              <w:rPr>
                <w:rFonts w:hint="eastAsia" w:ascii="Times New Roman" w:hAnsi="Times New Roman" w:eastAsia="宋体"/>
                <w:color w:val="000000" w:themeColor="text1"/>
                <w:sz w:val="24"/>
              </w:rPr>
              <w:t>将产品使用纸箱进行包装，即为成品。此工序主要污染物为废包装物。</w:t>
            </w:r>
          </w:p>
          <w:p>
            <w:pPr>
              <w:pStyle w:val="79"/>
              <w:spacing w:line="440" w:lineRule="exact"/>
              <w:ind w:firstLine="480" w:firstLineChars="200"/>
              <w:rPr>
                <w:rFonts w:ascii="Times New Roman" w:hAnsi="Times New Roman" w:eastAsia="宋体"/>
                <w:color w:val="000000" w:themeColor="text1"/>
                <w:sz w:val="24"/>
              </w:rPr>
            </w:pPr>
          </w:p>
          <w:p>
            <w:pPr>
              <w:pStyle w:val="79"/>
              <w:spacing w:line="440" w:lineRule="exact"/>
              <w:ind w:firstLine="480" w:firstLineChars="200"/>
              <w:rPr>
                <w:rFonts w:ascii="Times New Roman" w:hAnsi="Times New Roman" w:eastAsia="宋体"/>
                <w:color w:val="000000" w:themeColor="text1"/>
                <w:sz w:val="24"/>
              </w:rPr>
            </w:pPr>
          </w:p>
          <w:p>
            <w:pPr>
              <w:pStyle w:val="79"/>
              <w:spacing w:line="440" w:lineRule="exact"/>
              <w:ind w:firstLine="480" w:firstLineChars="200"/>
              <w:rPr>
                <w:rFonts w:ascii="Times New Roman" w:hAnsi="Times New Roman" w:eastAsia="宋体"/>
                <w:color w:val="000000" w:themeColor="text1"/>
                <w:sz w:val="24"/>
              </w:rPr>
            </w:pPr>
          </w:p>
          <w:p>
            <w:pPr>
              <w:pStyle w:val="79"/>
              <w:spacing w:line="440" w:lineRule="exact"/>
              <w:ind w:firstLine="480" w:firstLineChars="200"/>
              <w:rPr>
                <w:rFonts w:ascii="Times New Roman" w:hAnsi="Times New Roman" w:eastAsia="宋体"/>
                <w:color w:val="000000" w:themeColor="text1"/>
                <w:sz w:val="24"/>
              </w:rPr>
            </w:pPr>
            <w:r>
              <w:rPr>
                <w:rFonts w:hint="eastAsia" w:ascii="Times New Roman" w:hAnsi="Times New Roman" w:eastAsia="宋体"/>
                <w:color w:val="000000" w:themeColor="text1"/>
                <w:sz w:val="24"/>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20" w:hRule="atLeast"/>
          <w:jc w:val="center"/>
        </w:trPr>
        <w:tc>
          <w:tcPr>
            <w:tcW w:w="9097" w:type="dxa"/>
            <w:tcBorders>
              <w:bottom w:val="single" w:color="auto" w:sz="6" w:space="0"/>
            </w:tcBorders>
          </w:tcPr>
          <w:p>
            <w:pPr>
              <w:pStyle w:val="79"/>
              <w:spacing w:line="440" w:lineRule="exact"/>
              <w:ind w:firstLine="482" w:firstLineChars="200"/>
              <w:rPr>
                <w:rFonts w:ascii="Times New Roman" w:hAnsi="Times New Roman" w:eastAsia="宋体"/>
                <w:color w:val="000000" w:themeColor="text1"/>
                <w:sz w:val="24"/>
              </w:rPr>
            </w:pPr>
            <w:r>
              <w:rPr>
                <w:rFonts w:ascii="Times New Roman" w:hAnsi="Times New Roman" w:eastAsia="宋体"/>
                <w:b/>
                <w:bCs/>
                <w:color w:val="000000" w:themeColor="text1"/>
                <w:sz w:val="24"/>
              </w:rPr>
              <w:t>主要污染工序：</w:t>
            </w:r>
          </w:p>
          <w:p>
            <w:pPr>
              <w:spacing w:line="440" w:lineRule="exact"/>
              <w:ind w:firstLine="482" w:firstLineChars="200"/>
              <w:rPr>
                <w:rFonts w:ascii="Times New Roman" w:hAnsi="Times New Roman" w:eastAsia="宋体"/>
                <w:b/>
                <w:color w:val="000000" w:themeColor="text1"/>
                <w:sz w:val="24"/>
              </w:rPr>
            </w:pPr>
            <w:r>
              <w:rPr>
                <w:rFonts w:hint="eastAsia" w:ascii="Times New Roman" w:eastAsia="宋体"/>
                <w:b/>
                <w:color w:val="000000" w:themeColor="text1"/>
                <w:sz w:val="24"/>
              </w:rPr>
              <w:t>一、</w:t>
            </w:r>
            <w:r>
              <w:rPr>
                <w:rFonts w:ascii="Times New Roman" w:eastAsia="宋体"/>
                <w:b/>
                <w:color w:val="000000" w:themeColor="text1"/>
                <w:sz w:val="24"/>
              </w:rPr>
              <w:t>施工期</w:t>
            </w:r>
          </w:p>
          <w:p>
            <w:pPr>
              <w:autoSpaceDE w:val="0"/>
              <w:autoSpaceDN w:val="0"/>
              <w:adjustRightInd w:val="0"/>
              <w:spacing w:line="440" w:lineRule="exact"/>
              <w:ind w:firstLine="480" w:firstLineChars="200"/>
              <w:rPr>
                <w:rFonts w:ascii="Times New Roman" w:hAnsi="Times New Roman" w:eastAsia="宋体"/>
                <w:color w:val="000000" w:themeColor="text1"/>
                <w:sz w:val="24"/>
              </w:rPr>
            </w:pPr>
            <w:r>
              <w:rPr>
                <w:rFonts w:hint="eastAsia" w:ascii="Times New Roman" w:eastAsia="宋体"/>
                <w:color w:val="000000" w:themeColor="text1"/>
                <w:sz w:val="24"/>
              </w:rPr>
              <w:t>本项目利用现有厂房进行建设，不需新建建筑物，不存在施工期污染，</w:t>
            </w:r>
            <w:r>
              <w:rPr>
                <w:rFonts w:ascii="Times New Roman" w:eastAsia="宋体"/>
                <w:color w:val="000000" w:themeColor="text1"/>
                <w:sz w:val="24"/>
              </w:rPr>
              <w:t>故本环评不对施工期</w:t>
            </w:r>
            <w:r>
              <w:rPr>
                <w:rFonts w:hint="eastAsia" w:ascii="Times New Roman" w:eastAsia="宋体"/>
                <w:color w:val="000000" w:themeColor="text1"/>
                <w:sz w:val="24"/>
              </w:rPr>
              <w:t>污染工序</w:t>
            </w:r>
            <w:r>
              <w:rPr>
                <w:rFonts w:ascii="Times New Roman" w:eastAsia="宋体"/>
                <w:color w:val="000000" w:themeColor="text1"/>
                <w:sz w:val="24"/>
              </w:rPr>
              <w:t>进行分析。</w:t>
            </w:r>
          </w:p>
          <w:p>
            <w:pPr>
              <w:spacing w:line="440" w:lineRule="exact"/>
              <w:ind w:firstLine="482" w:firstLineChars="200"/>
              <w:rPr>
                <w:rFonts w:ascii="Times New Roman" w:hAnsi="Times New Roman" w:eastAsia="宋体"/>
                <w:b/>
                <w:color w:val="000000" w:themeColor="text1"/>
                <w:sz w:val="24"/>
              </w:rPr>
            </w:pPr>
            <w:r>
              <w:rPr>
                <w:rFonts w:hint="eastAsia" w:ascii="Times New Roman" w:eastAsia="宋体"/>
                <w:b/>
                <w:color w:val="000000" w:themeColor="text1"/>
                <w:sz w:val="24"/>
              </w:rPr>
              <w:t>二、营运期</w:t>
            </w:r>
          </w:p>
          <w:p>
            <w:pPr>
              <w:pStyle w:val="79"/>
              <w:spacing w:line="440" w:lineRule="exact"/>
              <w:ind w:firstLine="480" w:firstLineChars="200"/>
              <w:rPr>
                <w:rFonts w:ascii="Times New Roman" w:hAnsi="Times New Roman" w:eastAsia="宋体"/>
                <w:color w:val="000000" w:themeColor="text1"/>
                <w:sz w:val="24"/>
              </w:rPr>
            </w:pPr>
            <w:r>
              <w:rPr>
                <w:rFonts w:ascii="Times New Roman" w:hAnsi="Times New Roman" w:eastAsia="宋体"/>
                <w:color w:val="000000" w:themeColor="text1"/>
                <w:sz w:val="24"/>
              </w:rPr>
              <w:t>通过工艺流程分析，可以看出该项目营运期产污环节见下表</w:t>
            </w:r>
            <w:r>
              <w:rPr>
                <w:rFonts w:hint="eastAsia" w:ascii="Times New Roman" w:hAnsi="Times New Roman" w:eastAsia="宋体"/>
                <w:color w:val="000000" w:themeColor="text1"/>
                <w:sz w:val="24"/>
              </w:rPr>
              <w:t>31</w:t>
            </w:r>
            <w:r>
              <w:rPr>
                <w:rFonts w:ascii="Times New Roman" w:hAnsi="Times New Roman" w:eastAsia="宋体"/>
                <w:color w:val="000000" w:themeColor="text1"/>
                <w:sz w:val="24"/>
              </w:rPr>
              <w:t>。</w:t>
            </w:r>
          </w:p>
          <w:p>
            <w:pPr>
              <w:pStyle w:val="79"/>
              <w:spacing w:line="440" w:lineRule="exact"/>
              <w:ind w:firstLine="0"/>
              <w:jc w:val="center"/>
              <w:rPr>
                <w:rFonts w:ascii="Times New Roman" w:hAnsi="Times New Roman" w:eastAsia="宋体"/>
                <w:b/>
                <w:bCs/>
                <w:color w:val="000000" w:themeColor="text1"/>
                <w:sz w:val="24"/>
              </w:rPr>
            </w:pPr>
            <w:r>
              <w:rPr>
                <w:rFonts w:ascii="Times New Roman" w:hAnsi="Times New Roman" w:eastAsia="宋体"/>
                <w:b/>
                <w:bCs/>
                <w:color w:val="000000" w:themeColor="text1"/>
                <w:sz w:val="24"/>
              </w:rPr>
              <w:t>表</w:t>
            </w:r>
            <w:r>
              <w:rPr>
                <w:rFonts w:hint="eastAsia" w:ascii="Times New Roman" w:hAnsi="Times New Roman" w:eastAsia="宋体"/>
                <w:b/>
                <w:bCs/>
                <w:color w:val="000000" w:themeColor="text1"/>
                <w:sz w:val="24"/>
              </w:rPr>
              <w:t xml:space="preserve">31    </w:t>
            </w:r>
            <w:r>
              <w:rPr>
                <w:rFonts w:ascii="Times New Roman" w:hAnsi="Times New Roman" w:eastAsia="宋体"/>
                <w:b/>
                <w:bCs/>
                <w:color w:val="000000" w:themeColor="text1"/>
                <w:sz w:val="24"/>
              </w:rPr>
              <w:t>产污环节一览表</w:t>
            </w:r>
          </w:p>
          <w:tbl>
            <w:tblPr>
              <w:tblStyle w:val="24"/>
              <w:tblpPr w:leftFromText="180" w:rightFromText="180" w:vertAnchor="text" w:horzAnchor="page" w:tblpXSpec="center" w:tblpY="110"/>
              <w:tblOverlap w:val="never"/>
              <w:tblW w:w="9072"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11"/>
              <w:gridCol w:w="1724"/>
              <w:gridCol w:w="1559"/>
              <w:gridCol w:w="4678"/>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3" w:type="pct"/>
                  <w:tcBorders>
                    <w:top w:val="single" w:color="auto" w:sz="8" w:space="0"/>
                    <w:bottom w:val="single" w:color="auto" w:sz="8" w:space="0"/>
                  </w:tcBorders>
                  <w:vAlign w:val="center"/>
                </w:tcPr>
                <w:p>
                  <w:pPr>
                    <w:adjustRightInd w:val="0"/>
                    <w:snapToGrid w:val="0"/>
                    <w:jc w:val="center"/>
                    <w:textAlignment w:val="baseline"/>
                    <w:rPr>
                      <w:rFonts w:ascii="Times New Roman" w:hAnsi="Times New Roman" w:eastAsia="宋体"/>
                      <w:b/>
                      <w:bCs/>
                      <w:color w:val="000000" w:themeColor="text1"/>
                      <w:szCs w:val="21"/>
                    </w:rPr>
                  </w:pPr>
                  <w:r>
                    <w:rPr>
                      <w:rFonts w:ascii="Times New Roman" w:hAnsi="Times New Roman" w:eastAsia="宋体"/>
                      <w:b/>
                      <w:bCs/>
                      <w:color w:val="000000" w:themeColor="text1"/>
                      <w:szCs w:val="21"/>
                    </w:rPr>
                    <w:t>污染因素</w:t>
                  </w:r>
                </w:p>
              </w:tc>
              <w:tc>
                <w:tcPr>
                  <w:tcW w:w="950" w:type="pct"/>
                  <w:tcBorders>
                    <w:top w:val="single" w:color="auto" w:sz="8" w:space="0"/>
                    <w:bottom w:val="single" w:color="auto" w:sz="8" w:space="0"/>
                  </w:tcBorders>
                  <w:vAlign w:val="center"/>
                </w:tcPr>
                <w:p>
                  <w:pPr>
                    <w:adjustRightInd w:val="0"/>
                    <w:snapToGrid w:val="0"/>
                    <w:jc w:val="center"/>
                    <w:textAlignment w:val="baseline"/>
                    <w:rPr>
                      <w:rFonts w:ascii="Times New Roman" w:hAnsi="Times New Roman" w:eastAsia="宋体"/>
                      <w:b/>
                      <w:bCs/>
                      <w:color w:val="000000" w:themeColor="text1"/>
                      <w:szCs w:val="21"/>
                    </w:rPr>
                  </w:pPr>
                  <w:r>
                    <w:rPr>
                      <w:rFonts w:ascii="Times New Roman" w:hAnsi="Times New Roman" w:eastAsia="宋体"/>
                      <w:b/>
                      <w:bCs/>
                      <w:color w:val="000000" w:themeColor="text1"/>
                      <w:szCs w:val="21"/>
                    </w:rPr>
                    <w:t>产污环节</w:t>
                  </w:r>
                </w:p>
              </w:tc>
              <w:tc>
                <w:tcPr>
                  <w:tcW w:w="859" w:type="pct"/>
                  <w:tcBorders>
                    <w:top w:val="single" w:color="auto" w:sz="8" w:space="0"/>
                    <w:bottom w:val="single" w:color="auto" w:sz="8" w:space="0"/>
                  </w:tcBorders>
                  <w:vAlign w:val="center"/>
                </w:tcPr>
                <w:p>
                  <w:pPr>
                    <w:adjustRightInd w:val="0"/>
                    <w:snapToGrid w:val="0"/>
                    <w:jc w:val="center"/>
                    <w:textAlignment w:val="baseline"/>
                    <w:rPr>
                      <w:rFonts w:ascii="Times New Roman" w:hAnsi="Times New Roman" w:eastAsia="宋体"/>
                      <w:b/>
                      <w:bCs/>
                      <w:color w:val="000000" w:themeColor="text1"/>
                      <w:szCs w:val="21"/>
                    </w:rPr>
                  </w:pPr>
                  <w:r>
                    <w:rPr>
                      <w:rFonts w:ascii="Times New Roman" w:hAnsi="Times New Roman" w:eastAsia="宋体"/>
                      <w:b/>
                      <w:bCs/>
                      <w:color w:val="000000" w:themeColor="text1"/>
                      <w:szCs w:val="21"/>
                    </w:rPr>
                    <w:t>污染物</w:t>
                  </w:r>
                </w:p>
              </w:tc>
              <w:tc>
                <w:tcPr>
                  <w:tcW w:w="2578" w:type="pct"/>
                  <w:tcBorders>
                    <w:top w:val="single" w:color="auto" w:sz="8" w:space="0"/>
                    <w:bottom w:val="single" w:color="auto" w:sz="8" w:space="0"/>
                  </w:tcBorders>
                  <w:vAlign w:val="center"/>
                </w:tcPr>
                <w:p>
                  <w:pPr>
                    <w:adjustRightInd w:val="0"/>
                    <w:snapToGrid w:val="0"/>
                    <w:jc w:val="center"/>
                    <w:textAlignment w:val="baseline"/>
                    <w:rPr>
                      <w:rFonts w:ascii="Times New Roman" w:hAnsi="Times New Roman" w:eastAsia="宋体"/>
                      <w:b/>
                      <w:bCs/>
                      <w:color w:val="000000" w:themeColor="text1"/>
                      <w:szCs w:val="21"/>
                    </w:rPr>
                  </w:pPr>
                  <w:r>
                    <w:rPr>
                      <w:rFonts w:ascii="Times New Roman" w:hAnsi="Times New Roman" w:eastAsia="宋体"/>
                      <w:b/>
                      <w:bCs/>
                      <w:color w:val="000000" w:themeColor="text1"/>
                      <w:szCs w:val="21"/>
                    </w:rPr>
                    <w:t>防治措施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3" w:type="pct"/>
                  <w:vAlign w:val="center"/>
                </w:tcPr>
                <w:p>
                  <w:pPr>
                    <w:pStyle w:val="11"/>
                    <w:spacing w:line="240" w:lineRule="auto"/>
                    <w:ind w:left="0" w:right="0" w:firstLine="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废水</w:t>
                  </w:r>
                </w:p>
              </w:tc>
              <w:tc>
                <w:tcPr>
                  <w:tcW w:w="950" w:type="pct"/>
                  <w:vAlign w:val="center"/>
                </w:tcPr>
                <w:p>
                  <w:pPr>
                    <w:pStyle w:val="11"/>
                    <w:spacing w:line="240" w:lineRule="auto"/>
                    <w:ind w:left="0" w:right="0" w:firstLine="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职工</w:t>
                  </w:r>
                  <w:r>
                    <w:rPr>
                      <w:rFonts w:ascii="Times New Roman" w:hAnsi="Times New Roman" w:eastAsia="宋体"/>
                      <w:color w:val="000000" w:themeColor="text1"/>
                      <w:sz w:val="21"/>
                      <w:szCs w:val="21"/>
                    </w:rPr>
                    <w:t>生活</w:t>
                  </w:r>
                </w:p>
              </w:tc>
              <w:tc>
                <w:tcPr>
                  <w:tcW w:w="859" w:type="pct"/>
                  <w:vAlign w:val="center"/>
                </w:tcPr>
                <w:p>
                  <w:pPr>
                    <w:pStyle w:val="11"/>
                    <w:spacing w:line="240" w:lineRule="auto"/>
                    <w:ind w:left="0" w:right="0" w:firstLine="0"/>
                    <w:jc w:val="center"/>
                    <w:rPr>
                      <w:rFonts w:ascii="Times New Roman" w:hAnsi="Times New Roman" w:eastAsia="宋体"/>
                      <w:color w:val="000000" w:themeColor="text1"/>
                      <w:sz w:val="21"/>
                      <w:szCs w:val="21"/>
                      <w:lang w:val="pt-BR"/>
                    </w:rPr>
                  </w:pPr>
                  <w:r>
                    <w:rPr>
                      <w:rFonts w:ascii="Times New Roman" w:hAnsi="Times New Roman" w:eastAsia="宋体"/>
                      <w:color w:val="000000" w:themeColor="text1"/>
                      <w:sz w:val="21"/>
                      <w:szCs w:val="21"/>
                      <w:lang w:val="pt-BR"/>
                    </w:rPr>
                    <w:t>生活污水</w:t>
                  </w:r>
                </w:p>
              </w:tc>
              <w:tc>
                <w:tcPr>
                  <w:tcW w:w="2578" w:type="pct"/>
                  <w:vAlign w:val="center"/>
                </w:tcPr>
                <w:p>
                  <w:pPr>
                    <w:jc w:val="center"/>
                    <w:rPr>
                      <w:rFonts w:ascii="Times New Roman" w:hAnsi="Times New Roman" w:eastAsia="宋体"/>
                      <w:color w:val="000000" w:themeColor="text1"/>
                      <w:szCs w:val="21"/>
                    </w:rPr>
                  </w:pPr>
                  <w:r>
                    <w:rPr>
                      <w:rFonts w:hint="eastAsia" w:ascii="Times New Roman" w:eastAsia="宋体"/>
                      <w:color w:val="000000" w:themeColor="text1"/>
                      <w:szCs w:val="21"/>
                    </w:rPr>
                    <w:t>本项目利用原有职工，不新增职工人数，不新增废水；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3" w:type="pct"/>
                  <w:vAlign w:val="center"/>
                </w:tcPr>
                <w:p>
                  <w:pPr>
                    <w:pStyle w:val="11"/>
                    <w:spacing w:line="240" w:lineRule="auto"/>
                    <w:ind w:left="0" w:right="0" w:firstLine="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废气</w:t>
                  </w:r>
                </w:p>
              </w:tc>
              <w:tc>
                <w:tcPr>
                  <w:tcW w:w="950" w:type="pct"/>
                  <w:vAlign w:val="center"/>
                </w:tcPr>
                <w:p>
                  <w:pPr>
                    <w:pStyle w:val="11"/>
                    <w:spacing w:line="240" w:lineRule="auto"/>
                    <w:ind w:left="0" w:right="0" w:firstLine="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压合工序</w:t>
                  </w:r>
                </w:p>
              </w:tc>
              <w:tc>
                <w:tcPr>
                  <w:tcW w:w="859" w:type="pct"/>
                  <w:vAlign w:val="center"/>
                </w:tcPr>
                <w:p>
                  <w:pPr>
                    <w:pStyle w:val="11"/>
                    <w:spacing w:line="240" w:lineRule="auto"/>
                    <w:ind w:left="0" w:right="0" w:firstLine="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非甲烷总烃</w:t>
                  </w:r>
                </w:p>
              </w:tc>
              <w:tc>
                <w:tcPr>
                  <w:tcW w:w="2578" w:type="pct"/>
                  <w:vAlign w:val="center"/>
                </w:tcPr>
                <w:p>
                  <w:pPr>
                    <w:pStyle w:val="11"/>
                    <w:spacing w:line="240" w:lineRule="auto"/>
                    <w:ind w:left="0" w:right="0" w:firstLine="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经</w:t>
                  </w:r>
                  <w:r>
                    <w:rPr>
                      <w:rFonts w:hint="eastAsia" w:ascii="Times New Roman" w:hAnsi="Times New Roman" w:eastAsia="宋体"/>
                      <w:color w:val="000000" w:themeColor="text1"/>
                      <w:sz w:val="21"/>
                      <w:szCs w:val="21"/>
                    </w:rPr>
                    <w:t>封闭集气罩（6个，新建）+“UV光催化氧化（原有）+活性炭吸附（原有）+油烟净化器（原有）+水喷淋（整改新建）”装置（1套）+15m高排气筒排放；</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3" w:type="pct"/>
                  <w:vAlign w:val="center"/>
                </w:tcPr>
                <w:p>
                  <w:pPr>
                    <w:adjustRightInd w:val="0"/>
                    <w:snapToGrid w:val="0"/>
                    <w:jc w:val="center"/>
                    <w:textAlignment w:val="baseline"/>
                    <w:rPr>
                      <w:rFonts w:ascii="Times New Roman" w:hAnsi="Times New Roman" w:eastAsia="宋体"/>
                      <w:color w:val="000000" w:themeColor="text1"/>
                      <w:szCs w:val="21"/>
                    </w:rPr>
                  </w:pPr>
                  <w:r>
                    <w:rPr>
                      <w:rFonts w:ascii="Times New Roman" w:hAnsi="Times New Roman" w:eastAsia="宋体"/>
                      <w:color w:val="000000" w:themeColor="text1"/>
                      <w:szCs w:val="21"/>
                    </w:rPr>
                    <w:t>噪 声</w:t>
                  </w:r>
                </w:p>
              </w:tc>
              <w:tc>
                <w:tcPr>
                  <w:tcW w:w="950" w:type="pct"/>
                  <w:vAlign w:val="center"/>
                </w:tcPr>
                <w:p>
                  <w:pPr>
                    <w:adjustRightInd w:val="0"/>
                    <w:snapToGrid w:val="0"/>
                    <w:jc w:val="center"/>
                    <w:textAlignment w:val="baseline"/>
                    <w:rPr>
                      <w:rFonts w:ascii="Times New Roman" w:hAnsi="Times New Roman" w:eastAsia="宋体"/>
                      <w:color w:val="000000" w:themeColor="text1"/>
                      <w:szCs w:val="21"/>
                    </w:rPr>
                  </w:pPr>
                  <w:r>
                    <w:rPr>
                      <w:rFonts w:hint="eastAsia" w:ascii="Times New Roman" w:hAnsi="宋体" w:eastAsia="宋体"/>
                      <w:bCs/>
                      <w:color w:val="000000" w:themeColor="text1"/>
                      <w:szCs w:val="21"/>
                    </w:rPr>
                    <w:t>高周波塑熔机和</w:t>
                  </w:r>
                  <w:r>
                    <w:rPr>
                      <w:rFonts w:hint="eastAsia" w:ascii="Times New Roman" w:hAnsi="Times New Roman" w:eastAsia="宋体"/>
                      <w:color w:val="000000" w:themeColor="text1"/>
                      <w:szCs w:val="21"/>
                    </w:rPr>
                    <w:t>空压机</w:t>
                  </w:r>
                  <w:r>
                    <w:rPr>
                      <w:rFonts w:ascii="Times New Roman" w:hAnsi="Times New Roman" w:eastAsia="宋体"/>
                      <w:color w:val="000000" w:themeColor="text1"/>
                      <w:szCs w:val="21"/>
                    </w:rPr>
                    <w:t>生产时</w:t>
                  </w:r>
                </w:p>
              </w:tc>
              <w:tc>
                <w:tcPr>
                  <w:tcW w:w="859" w:type="pct"/>
                  <w:vAlign w:val="center"/>
                </w:tcPr>
                <w:p>
                  <w:pPr>
                    <w:adjustRightInd w:val="0"/>
                    <w:snapToGrid w:val="0"/>
                    <w:jc w:val="center"/>
                    <w:textAlignment w:val="baseline"/>
                    <w:rPr>
                      <w:rFonts w:ascii="Times New Roman" w:hAnsi="Times New Roman" w:eastAsia="宋体"/>
                      <w:color w:val="000000" w:themeColor="text1"/>
                      <w:szCs w:val="21"/>
                    </w:rPr>
                  </w:pPr>
                  <w:r>
                    <w:rPr>
                      <w:rFonts w:ascii="Times New Roman" w:hAnsi="Times New Roman" w:eastAsia="宋体"/>
                      <w:color w:val="000000" w:themeColor="text1"/>
                      <w:szCs w:val="21"/>
                    </w:rPr>
                    <w:t>噪声</w:t>
                  </w:r>
                </w:p>
              </w:tc>
              <w:tc>
                <w:tcPr>
                  <w:tcW w:w="2578" w:type="pct"/>
                  <w:vAlign w:val="center"/>
                </w:tcPr>
                <w:p>
                  <w:pPr>
                    <w:adjustRightInd w:val="0"/>
                    <w:snapToGrid w:val="0"/>
                    <w:jc w:val="center"/>
                    <w:textAlignment w:val="baseline"/>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基础减振、距离衰减、厂房隔声等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3" w:type="pct"/>
                  <w:vMerge w:val="restart"/>
                  <w:vAlign w:val="center"/>
                </w:tcPr>
                <w:p>
                  <w:pPr>
                    <w:adjustRightInd w:val="0"/>
                    <w:snapToGrid w:val="0"/>
                    <w:jc w:val="center"/>
                    <w:textAlignment w:val="baseline"/>
                    <w:rPr>
                      <w:rFonts w:ascii="Times New Roman" w:hAnsi="Times New Roman" w:eastAsia="宋体"/>
                      <w:color w:val="000000" w:themeColor="text1"/>
                      <w:szCs w:val="21"/>
                    </w:rPr>
                  </w:pPr>
                  <w:r>
                    <w:rPr>
                      <w:rFonts w:ascii="Times New Roman" w:hAnsi="Times New Roman" w:eastAsia="宋体"/>
                      <w:color w:val="000000" w:themeColor="text1"/>
                      <w:szCs w:val="21"/>
                    </w:rPr>
                    <w:t>固 废</w:t>
                  </w:r>
                </w:p>
              </w:tc>
              <w:tc>
                <w:tcPr>
                  <w:tcW w:w="950" w:type="pct"/>
                  <w:vAlign w:val="center"/>
                </w:tcPr>
                <w:p>
                  <w:pPr>
                    <w:jc w:val="center"/>
                    <w:rPr>
                      <w:rFonts w:ascii="Times New Roman" w:hAnsi="Times New Roman" w:eastAsia="宋体"/>
                      <w:bCs/>
                      <w:color w:val="000000" w:themeColor="text1"/>
                      <w:szCs w:val="21"/>
                    </w:rPr>
                  </w:pPr>
                  <w:r>
                    <w:rPr>
                      <w:rFonts w:ascii="Times New Roman" w:hAnsi="Times New Roman" w:eastAsia="宋体"/>
                      <w:bCs/>
                      <w:color w:val="000000" w:themeColor="text1"/>
                      <w:szCs w:val="21"/>
                    </w:rPr>
                    <w:t>质检工序</w:t>
                  </w:r>
                </w:p>
              </w:tc>
              <w:tc>
                <w:tcPr>
                  <w:tcW w:w="859" w:type="pct"/>
                  <w:vAlign w:val="center"/>
                </w:tcPr>
                <w:p>
                  <w:pPr>
                    <w:jc w:val="center"/>
                    <w:rPr>
                      <w:rFonts w:ascii="Times New Roman" w:hAnsi="Times New Roman" w:eastAsia="宋体"/>
                      <w:bCs/>
                      <w:color w:val="000000" w:themeColor="text1"/>
                      <w:szCs w:val="21"/>
                    </w:rPr>
                  </w:pPr>
                  <w:r>
                    <w:rPr>
                      <w:rFonts w:ascii="Times New Roman" w:hAnsi="Times New Roman" w:eastAsia="宋体"/>
                      <w:bCs/>
                      <w:color w:val="000000" w:themeColor="text1"/>
                      <w:szCs w:val="21"/>
                    </w:rPr>
                    <w:t>不合格产品</w:t>
                  </w:r>
                </w:p>
              </w:tc>
              <w:tc>
                <w:tcPr>
                  <w:tcW w:w="2578" w:type="pct"/>
                  <w:vAlign w:val="center"/>
                </w:tcPr>
                <w:p>
                  <w:pPr>
                    <w:jc w:val="center"/>
                    <w:rPr>
                      <w:rFonts w:ascii="Times New Roman" w:hAnsi="Times New Roman" w:eastAsia="宋体"/>
                      <w:color w:val="000000" w:themeColor="text1"/>
                      <w:szCs w:val="21"/>
                      <w:highlight w:val="yellow"/>
                    </w:rPr>
                  </w:pPr>
                  <w:r>
                    <w:rPr>
                      <w:rFonts w:ascii="Times New Roman" w:hAnsi="Times New Roman" w:eastAsia="宋体"/>
                      <w:color w:val="000000" w:themeColor="text1"/>
                      <w:szCs w:val="21"/>
                    </w:rPr>
                    <w:t>集中收集后</w:t>
                  </w:r>
                  <w:r>
                    <w:rPr>
                      <w:rFonts w:hint="eastAsia" w:ascii="Times New Roman" w:hAnsi="Times New Roman" w:eastAsia="宋体"/>
                      <w:color w:val="000000" w:themeColor="text1"/>
                      <w:szCs w:val="21"/>
                    </w:rPr>
                    <w:t>，</w:t>
                  </w:r>
                  <w:r>
                    <w:rPr>
                      <w:rFonts w:ascii="Times New Roman" w:hAnsi="Times New Roman" w:eastAsia="宋体"/>
                      <w:color w:val="000000" w:themeColor="text1"/>
                      <w:szCs w:val="21"/>
                    </w:rPr>
                    <w:t>定期外售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3" w:type="pct"/>
                  <w:vMerge w:val="continue"/>
                  <w:vAlign w:val="center"/>
                </w:tcPr>
                <w:p>
                  <w:pPr>
                    <w:adjustRightInd w:val="0"/>
                    <w:snapToGrid w:val="0"/>
                    <w:jc w:val="center"/>
                    <w:textAlignment w:val="baseline"/>
                    <w:rPr>
                      <w:rFonts w:ascii="Times New Roman" w:hAnsi="Times New Roman" w:eastAsia="宋体"/>
                      <w:color w:val="000000" w:themeColor="text1"/>
                      <w:szCs w:val="21"/>
                    </w:rPr>
                  </w:pPr>
                </w:p>
              </w:tc>
              <w:tc>
                <w:tcPr>
                  <w:tcW w:w="950" w:type="pct"/>
                  <w:vAlign w:val="center"/>
                </w:tcPr>
                <w:p>
                  <w:pPr>
                    <w:jc w:val="center"/>
                    <w:rPr>
                      <w:rFonts w:ascii="Times New Roman" w:hAnsi="Times New Roman" w:eastAsia="宋体"/>
                      <w:bCs/>
                      <w:color w:val="000000" w:themeColor="text1"/>
                      <w:szCs w:val="21"/>
                    </w:rPr>
                  </w:pPr>
                  <w:r>
                    <w:rPr>
                      <w:rFonts w:ascii="Times New Roman" w:hAnsi="Times New Roman" w:eastAsia="宋体"/>
                      <w:bCs/>
                      <w:color w:val="000000" w:themeColor="text1"/>
                      <w:szCs w:val="21"/>
                    </w:rPr>
                    <w:t>包装工序</w:t>
                  </w:r>
                </w:p>
              </w:tc>
              <w:tc>
                <w:tcPr>
                  <w:tcW w:w="859" w:type="pct"/>
                  <w:vAlign w:val="center"/>
                </w:tcPr>
                <w:p>
                  <w:pPr>
                    <w:jc w:val="center"/>
                    <w:rPr>
                      <w:rFonts w:ascii="Times New Roman" w:hAnsi="Times New Roman" w:eastAsia="宋体"/>
                      <w:bCs/>
                      <w:color w:val="000000" w:themeColor="text1"/>
                      <w:szCs w:val="21"/>
                    </w:rPr>
                  </w:pPr>
                  <w:r>
                    <w:rPr>
                      <w:rFonts w:ascii="Times New Roman" w:hAnsi="Times New Roman" w:eastAsia="宋体"/>
                      <w:bCs/>
                      <w:color w:val="000000" w:themeColor="text1"/>
                      <w:szCs w:val="21"/>
                    </w:rPr>
                    <w:t>废包装物</w:t>
                  </w:r>
                </w:p>
              </w:tc>
              <w:tc>
                <w:tcPr>
                  <w:tcW w:w="2578"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集中收集后</w:t>
                  </w:r>
                  <w:r>
                    <w:rPr>
                      <w:rFonts w:hint="eastAsia" w:ascii="Times New Roman" w:hAnsi="Times New Roman" w:eastAsia="宋体"/>
                      <w:color w:val="000000" w:themeColor="text1"/>
                      <w:szCs w:val="21"/>
                    </w:rPr>
                    <w:t>，</w:t>
                  </w:r>
                  <w:r>
                    <w:rPr>
                      <w:rFonts w:ascii="Times New Roman" w:hAnsi="Times New Roman" w:eastAsia="宋体"/>
                      <w:color w:val="000000" w:themeColor="text1"/>
                      <w:szCs w:val="21"/>
                    </w:rPr>
                    <w:t>定期外售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3" w:type="pct"/>
                  <w:vMerge w:val="continue"/>
                  <w:vAlign w:val="center"/>
                </w:tcPr>
                <w:p>
                  <w:pPr>
                    <w:adjustRightInd w:val="0"/>
                    <w:snapToGrid w:val="0"/>
                    <w:jc w:val="center"/>
                    <w:textAlignment w:val="baseline"/>
                    <w:rPr>
                      <w:rFonts w:ascii="Times New Roman" w:hAnsi="Times New Roman" w:eastAsia="宋体"/>
                      <w:color w:val="000000" w:themeColor="text1"/>
                      <w:szCs w:val="21"/>
                    </w:rPr>
                  </w:pPr>
                </w:p>
              </w:tc>
              <w:tc>
                <w:tcPr>
                  <w:tcW w:w="950" w:type="pct"/>
                  <w:vMerge w:val="restart"/>
                  <w:vAlign w:val="center"/>
                </w:tcPr>
                <w:p>
                  <w:pPr>
                    <w:jc w:val="center"/>
                    <w:rPr>
                      <w:rFonts w:ascii="Times New Roman" w:hAnsi="Times New Roman" w:eastAsia="宋体"/>
                      <w:bCs/>
                      <w:color w:val="000000" w:themeColor="text1"/>
                      <w:szCs w:val="21"/>
                    </w:rPr>
                  </w:pPr>
                  <w:r>
                    <w:rPr>
                      <w:rFonts w:ascii="Times New Roman" w:hAnsi="Times New Roman" w:eastAsia="宋体"/>
                      <w:bCs/>
                      <w:color w:val="000000" w:themeColor="text1"/>
                      <w:szCs w:val="21"/>
                    </w:rPr>
                    <w:t>废气处理过程</w:t>
                  </w:r>
                </w:p>
              </w:tc>
              <w:tc>
                <w:tcPr>
                  <w:tcW w:w="859" w:type="pct"/>
                  <w:vAlign w:val="center"/>
                </w:tcPr>
                <w:p>
                  <w:pPr>
                    <w:jc w:val="center"/>
                    <w:rPr>
                      <w:rFonts w:ascii="Times New Roman" w:hAnsi="Times New Roman" w:eastAsia="宋体"/>
                      <w:bCs/>
                      <w:color w:val="000000" w:themeColor="text1"/>
                      <w:szCs w:val="21"/>
                    </w:rPr>
                  </w:pPr>
                  <w:r>
                    <w:rPr>
                      <w:rFonts w:ascii="Times New Roman" w:hAnsi="Times New Roman" w:eastAsia="宋体"/>
                      <w:bCs/>
                      <w:color w:val="000000" w:themeColor="text1"/>
                      <w:szCs w:val="21"/>
                    </w:rPr>
                    <w:t>废催化剂</w:t>
                  </w:r>
                </w:p>
              </w:tc>
              <w:tc>
                <w:tcPr>
                  <w:tcW w:w="2578"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集中收集后</w:t>
                  </w:r>
                  <w:r>
                    <w:rPr>
                      <w:rFonts w:hint="eastAsia" w:ascii="Times New Roman" w:hAnsi="Times New Roman" w:eastAsia="宋体"/>
                      <w:color w:val="000000" w:themeColor="text1"/>
                      <w:szCs w:val="21"/>
                    </w:rPr>
                    <w:t>，</w:t>
                  </w:r>
                  <w:r>
                    <w:rPr>
                      <w:rFonts w:ascii="Times New Roman" w:hAnsi="Times New Roman" w:eastAsia="宋体"/>
                      <w:color w:val="000000" w:themeColor="text1"/>
                      <w:szCs w:val="21"/>
                    </w:rPr>
                    <w:t>定期交由厂家回收</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3" w:type="pct"/>
                  <w:vMerge w:val="continue"/>
                  <w:tcBorders>
                    <w:bottom w:val="single" w:color="auto" w:sz="8" w:space="0"/>
                  </w:tcBorders>
                  <w:vAlign w:val="center"/>
                </w:tcPr>
                <w:p>
                  <w:pPr>
                    <w:adjustRightInd w:val="0"/>
                    <w:snapToGrid w:val="0"/>
                    <w:jc w:val="center"/>
                    <w:textAlignment w:val="baseline"/>
                    <w:rPr>
                      <w:rFonts w:ascii="Times New Roman" w:hAnsi="Times New Roman" w:eastAsia="宋体"/>
                      <w:color w:val="000000" w:themeColor="text1"/>
                      <w:szCs w:val="21"/>
                    </w:rPr>
                  </w:pPr>
                </w:p>
              </w:tc>
              <w:tc>
                <w:tcPr>
                  <w:tcW w:w="950" w:type="pct"/>
                  <w:vMerge w:val="continue"/>
                  <w:vAlign w:val="center"/>
                </w:tcPr>
                <w:p>
                  <w:pPr>
                    <w:jc w:val="center"/>
                    <w:rPr>
                      <w:rFonts w:ascii="Times New Roman" w:hAnsi="Times New Roman" w:eastAsia="宋体"/>
                      <w:bCs/>
                      <w:color w:val="000000" w:themeColor="text1"/>
                      <w:szCs w:val="21"/>
                    </w:rPr>
                  </w:pPr>
                </w:p>
              </w:tc>
              <w:tc>
                <w:tcPr>
                  <w:tcW w:w="859" w:type="pct"/>
                  <w:tcBorders>
                    <w:bottom w:val="single" w:color="auto" w:sz="8" w:space="0"/>
                  </w:tcBorders>
                  <w:vAlign w:val="center"/>
                </w:tcPr>
                <w:p>
                  <w:pPr>
                    <w:jc w:val="center"/>
                    <w:rPr>
                      <w:rFonts w:ascii="Times New Roman" w:hAnsi="Times New Roman" w:eastAsia="宋体"/>
                      <w:bCs/>
                      <w:color w:val="000000" w:themeColor="text1"/>
                      <w:szCs w:val="21"/>
                    </w:rPr>
                  </w:pPr>
                  <w:r>
                    <w:rPr>
                      <w:rFonts w:ascii="Times New Roman" w:hAnsi="Times New Roman" w:eastAsia="宋体"/>
                      <w:bCs/>
                      <w:color w:val="000000" w:themeColor="text1"/>
                      <w:szCs w:val="21"/>
                    </w:rPr>
                    <w:t>废紫外灯管</w:t>
                  </w:r>
                </w:p>
              </w:tc>
              <w:tc>
                <w:tcPr>
                  <w:tcW w:w="2578" w:type="pct"/>
                  <w:tcBorders>
                    <w:bottom w:val="single" w:color="auto" w:sz="8" w:space="0"/>
                  </w:tcBorders>
                  <w:vAlign w:val="center"/>
                </w:tcPr>
                <w:p>
                  <w:pPr>
                    <w:jc w:val="center"/>
                    <w:rPr>
                      <w:rFonts w:ascii="Times New Roman" w:hAnsi="宋体" w:eastAsia="宋体"/>
                      <w:color w:val="000000" w:themeColor="text1"/>
                      <w:szCs w:val="21"/>
                    </w:rPr>
                  </w:pPr>
                  <w:r>
                    <w:rPr>
                      <w:rFonts w:hint="eastAsia" w:ascii="Times New Roman" w:hAnsi="宋体" w:eastAsia="宋体"/>
                      <w:color w:val="000000" w:themeColor="text1"/>
                      <w:szCs w:val="21"/>
                    </w:rPr>
                    <w:t>经收集后，暂存于危废暂存间，定期交由有资质单位处置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3" w:type="pct"/>
                  <w:vMerge w:val="continue"/>
                  <w:tcBorders>
                    <w:bottom w:val="single" w:color="auto" w:sz="8" w:space="0"/>
                  </w:tcBorders>
                  <w:vAlign w:val="center"/>
                </w:tcPr>
                <w:p>
                  <w:pPr>
                    <w:adjustRightInd w:val="0"/>
                    <w:snapToGrid w:val="0"/>
                    <w:jc w:val="center"/>
                    <w:textAlignment w:val="baseline"/>
                    <w:rPr>
                      <w:rFonts w:ascii="Times New Roman" w:hAnsi="Times New Roman" w:eastAsia="宋体"/>
                      <w:color w:val="000000" w:themeColor="text1"/>
                      <w:szCs w:val="21"/>
                    </w:rPr>
                  </w:pPr>
                </w:p>
              </w:tc>
              <w:tc>
                <w:tcPr>
                  <w:tcW w:w="950" w:type="pct"/>
                  <w:vMerge w:val="continue"/>
                  <w:tcBorders>
                    <w:bottom w:val="single" w:color="auto" w:sz="8" w:space="0"/>
                  </w:tcBorders>
                  <w:vAlign w:val="center"/>
                </w:tcPr>
                <w:p>
                  <w:pPr>
                    <w:jc w:val="center"/>
                    <w:rPr>
                      <w:rFonts w:ascii="Times New Roman" w:hAnsi="Times New Roman" w:eastAsia="宋体"/>
                      <w:bCs/>
                      <w:color w:val="000000" w:themeColor="text1"/>
                      <w:szCs w:val="21"/>
                    </w:rPr>
                  </w:pPr>
                </w:p>
              </w:tc>
              <w:tc>
                <w:tcPr>
                  <w:tcW w:w="859" w:type="pct"/>
                  <w:tcBorders>
                    <w:bottom w:val="single" w:color="auto" w:sz="8" w:space="0"/>
                  </w:tcBorders>
                  <w:vAlign w:val="center"/>
                </w:tcPr>
                <w:p>
                  <w:pPr>
                    <w:jc w:val="center"/>
                    <w:rPr>
                      <w:rFonts w:ascii="Times New Roman" w:hAnsi="Times New Roman" w:eastAsia="宋体"/>
                      <w:bCs/>
                      <w:color w:val="000000" w:themeColor="text1"/>
                      <w:szCs w:val="21"/>
                    </w:rPr>
                  </w:pPr>
                  <w:r>
                    <w:rPr>
                      <w:rFonts w:ascii="Times New Roman" w:hAnsi="Times New Roman" w:eastAsia="宋体"/>
                      <w:bCs/>
                      <w:color w:val="000000" w:themeColor="text1"/>
                      <w:szCs w:val="21"/>
                    </w:rPr>
                    <w:t>废活性炭</w:t>
                  </w:r>
                </w:p>
              </w:tc>
              <w:tc>
                <w:tcPr>
                  <w:tcW w:w="2578" w:type="pct"/>
                  <w:tcBorders>
                    <w:bottom w:val="single" w:color="auto" w:sz="8" w:space="0"/>
                  </w:tcBorders>
                  <w:vAlign w:val="center"/>
                </w:tcPr>
                <w:p>
                  <w:pPr>
                    <w:jc w:val="center"/>
                    <w:rPr>
                      <w:rFonts w:ascii="Times New Roman" w:hAnsi="Times New Roman" w:eastAsia="宋体"/>
                      <w:color w:val="000000" w:themeColor="text1"/>
                      <w:szCs w:val="21"/>
                    </w:rPr>
                  </w:pPr>
                  <w:r>
                    <w:rPr>
                      <w:rFonts w:hint="eastAsia" w:ascii="Times New Roman" w:hAnsi="宋体" w:eastAsia="宋体"/>
                      <w:color w:val="000000" w:themeColor="text1"/>
                      <w:szCs w:val="21"/>
                    </w:rPr>
                    <w:t>经收集后，暂存于危废暂存间，定期交由有资质单位处置</w:t>
                  </w:r>
                </w:p>
              </w:tc>
            </w:tr>
          </w:tbl>
          <w:p>
            <w:pPr>
              <w:pStyle w:val="79"/>
              <w:ind w:firstLine="0"/>
              <w:rPr>
                <w:rFonts w:ascii="Times New Roman" w:hAnsi="Times New Roman" w:eastAsia="宋体"/>
                <w:color w:val="000000" w:themeColor="text1"/>
                <w:sz w:val="24"/>
              </w:rPr>
            </w:pPr>
          </w:p>
          <w:p>
            <w:pPr>
              <w:rPr>
                <w:color w:val="000000" w:themeColor="text1"/>
              </w:rPr>
            </w:pPr>
          </w:p>
          <w:p>
            <w:pPr>
              <w:pStyle w:val="2"/>
              <w:rPr>
                <w:color w:val="000000" w:themeColor="text1"/>
              </w:rPr>
            </w:pPr>
          </w:p>
          <w:p>
            <w:pPr>
              <w:rPr>
                <w:color w:val="000000" w:themeColor="text1"/>
              </w:rPr>
            </w:pPr>
          </w:p>
          <w:p>
            <w:pPr>
              <w:pStyle w:val="2"/>
              <w:rPr>
                <w:color w:val="000000" w:themeColor="text1"/>
              </w:rPr>
            </w:pPr>
          </w:p>
          <w:p>
            <w:pPr>
              <w:rPr>
                <w:color w:val="000000" w:themeColor="text1"/>
              </w:rPr>
            </w:pPr>
          </w:p>
          <w:p>
            <w:pPr>
              <w:pStyle w:val="2"/>
              <w:rPr>
                <w:color w:val="000000" w:themeColor="text1"/>
              </w:rPr>
            </w:pPr>
          </w:p>
          <w:p>
            <w:pPr>
              <w:rPr>
                <w:color w:val="000000" w:themeColor="text1"/>
              </w:rPr>
            </w:pPr>
          </w:p>
          <w:p>
            <w:pPr>
              <w:pStyle w:val="2"/>
              <w:rPr>
                <w:color w:val="000000" w:themeColor="text1"/>
              </w:rPr>
            </w:pPr>
          </w:p>
          <w:p>
            <w:pPr>
              <w:rPr>
                <w:color w:val="000000" w:themeColor="text1"/>
              </w:rPr>
            </w:pPr>
          </w:p>
          <w:p>
            <w:pPr>
              <w:pStyle w:val="2"/>
              <w:rPr>
                <w:color w:val="000000" w:themeColor="text1"/>
              </w:rPr>
            </w:pPr>
          </w:p>
          <w:p>
            <w:pPr>
              <w:rPr>
                <w:color w:val="000000" w:themeColor="text1"/>
              </w:rPr>
            </w:pPr>
          </w:p>
          <w:p>
            <w:pPr>
              <w:pStyle w:val="2"/>
              <w:rPr>
                <w:color w:val="000000" w:themeColor="text1"/>
              </w:rPr>
            </w:pPr>
          </w:p>
          <w:p>
            <w:pPr>
              <w:rPr>
                <w:color w:val="000000" w:themeColor="text1"/>
              </w:rPr>
            </w:pPr>
          </w:p>
          <w:p>
            <w:pPr>
              <w:pStyle w:val="2"/>
              <w:rPr>
                <w:color w:val="000000" w:themeColor="text1"/>
              </w:rPr>
            </w:pPr>
          </w:p>
          <w:p>
            <w:pPr>
              <w:rPr>
                <w:color w:val="000000" w:themeColor="text1"/>
              </w:rPr>
            </w:pPr>
          </w:p>
          <w:p>
            <w:pPr>
              <w:rPr>
                <w:color w:val="000000" w:themeColor="text1"/>
              </w:rPr>
            </w:pPr>
          </w:p>
        </w:tc>
      </w:tr>
    </w:tbl>
    <w:p>
      <w:pPr>
        <w:spacing w:line="500" w:lineRule="exact"/>
        <w:outlineLvl w:val="0"/>
        <w:rPr>
          <w:rFonts w:hAnsi="宋体"/>
          <w:b/>
          <w:color w:val="000000" w:themeColor="text1"/>
          <w:sz w:val="32"/>
          <w:szCs w:val="32"/>
        </w:rPr>
      </w:pPr>
      <w:r>
        <w:rPr>
          <w:rFonts w:hint="eastAsia" w:hAnsi="宋体"/>
          <w:b/>
          <w:color w:val="000000" w:themeColor="text1"/>
          <w:sz w:val="32"/>
          <w:szCs w:val="32"/>
        </w:rPr>
        <w:t>项目主要污染物产生及预计排放情况</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1280"/>
        <w:gridCol w:w="1241"/>
        <w:gridCol w:w="1661"/>
        <w:gridCol w:w="1295"/>
        <w:gridCol w:w="1576"/>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934" w:type="dxa"/>
            <w:vMerge w:val="restart"/>
            <w:vAlign w:val="center"/>
          </w:tcPr>
          <w:p>
            <w:pPr>
              <w:jc w:val="center"/>
              <w:rPr>
                <w:rFonts w:ascii="Times New Roman" w:hAnsi="Times New Roman" w:eastAsia="宋体"/>
                <w:b/>
                <w:bCs/>
                <w:color w:val="000000" w:themeColor="text1"/>
                <w:sz w:val="24"/>
              </w:rPr>
            </w:pPr>
            <w:r>
              <w:rPr>
                <w:rFonts w:ascii="Times New Roman" w:hAnsi="Times New Roman" w:eastAsia="宋体"/>
                <w:color w:val="000000" w:themeColor="text1"/>
                <w:sz w:val="24"/>
              </w:rPr>
              <w:pict>
                <v:line id="_x0000_s1106" o:spid="_x0000_s1106" o:spt="20" style="position:absolute;left:0pt;margin-left:-4.5pt;margin-top:1.65pt;height:48.55pt;width:47pt;z-index:251641856;mso-width-relative:page;mso-height-relative:page;" coordsize="21600,21600">
                  <v:path arrowok="t"/>
                  <v:fill focussize="0,0"/>
                  <v:stroke/>
                  <v:imagedata o:title=""/>
                  <o:lock v:ext="edit"/>
                </v:line>
              </w:pict>
            </w:r>
            <w:r>
              <w:rPr>
                <w:rFonts w:ascii="Times New Roman" w:hAnsi="Times New Roman" w:eastAsia="宋体"/>
                <w:b/>
                <w:bCs/>
                <w:color w:val="000000" w:themeColor="text1"/>
                <w:sz w:val="24"/>
              </w:rPr>
              <w:t xml:space="preserve"> 内容</w:t>
            </w:r>
          </w:p>
          <w:p>
            <w:pPr>
              <w:jc w:val="center"/>
              <w:rPr>
                <w:rFonts w:ascii="Times New Roman" w:hAnsi="Times New Roman" w:eastAsia="宋体"/>
                <w:b/>
                <w:bCs/>
                <w:color w:val="000000" w:themeColor="text1"/>
                <w:sz w:val="24"/>
              </w:rPr>
            </w:pPr>
          </w:p>
          <w:p>
            <w:pPr>
              <w:rPr>
                <w:rFonts w:ascii="Times New Roman" w:hAnsi="Times New Roman" w:eastAsia="宋体"/>
                <w:b/>
                <w:bCs/>
                <w:color w:val="000000" w:themeColor="text1"/>
                <w:sz w:val="24"/>
              </w:rPr>
            </w:pPr>
            <w:r>
              <w:rPr>
                <w:rFonts w:ascii="Times New Roman" w:hAnsi="Times New Roman" w:eastAsia="宋体"/>
                <w:b/>
                <w:bCs/>
                <w:color w:val="000000" w:themeColor="text1"/>
                <w:sz w:val="24"/>
              </w:rPr>
              <w:t>类型</w:t>
            </w:r>
          </w:p>
        </w:tc>
        <w:tc>
          <w:tcPr>
            <w:tcW w:w="1280" w:type="dxa"/>
            <w:vMerge w:val="restart"/>
            <w:vAlign w:val="center"/>
          </w:tcPr>
          <w:p>
            <w:pPr>
              <w:jc w:val="center"/>
              <w:rPr>
                <w:rFonts w:ascii="Times New Roman" w:hAnsi="Times New Roman" w:eastAsia="宋体"/>
                <w:b/>
                <w:bCs/>
                <w:color w:val="000000" w:themeColor="text1"/>
                <w:sz w:val="24"/>
              </w:rPr>
            </w:pPr>
            <w:r>
              <w:rPr>
                <w:rFonts w:ascii="Times New Roman" w:hAnsi="Times New Roman" w:eastAsia="宋体"/>
                <w:b/>
                <w:bCs/>
                <w:color w:val="000000" w:themeColor="text1"/>
                <w:sz w:val="24"/>
              </w:rPr>
              <w:t>排放源</w:t>
            </w:r>
          </w:p>
          <w:p>
            <w:pPr>
              <w:jc w:val="center"/>
              <w:rPr>
                <w:rFonts w:ascii="Times New Roman" w:hAnsi="Times New Roman" w:eastAsia="宋体"/>
                <w:b/>
                <w:bCs/>
                <w:color w:val="000000" w:themeColor="text1"/>
                <w:sz w:val="24"/>
              </w:rPr>
            </w:pPr>
            <w:r>
              <w:rPr>
                <w:rFonts w:ascii="Times New Roman" w:hAnsi="Times New Roman" w:eastAsia="宋体"/>
                <w:b/>
                <w:bCs/>
                <w:color w:val="000000" w:themeColor="text1"/>
                <w:sz w:val="24"/>
              </w:rPr>
              <w:t>（编号）</w:t>
            </w:r>
          </w:p>
        </w:tc>
        <w:tc>
          <w:tcPr>
            <w:tcW w:w="1241" w:type="dxa"/>
            <w:vMerge w:val="restart"/>
            <w:vAlign w:val="center"/>
          </w:tcPr>
          <w:p>
            <w:pPr>
              <w:jc w:val="center"/>
              <w:rPr>
                <w:rFonts w:ascii="Times New Roman" w:hAnsi="Times New Roman" w:eastAsia="宋体"/>
                <w:b/>
                <w:bCs/>
                <w:color w:val="000000" w:themeColor="text1"/>
                <w:sz w:val="24"/>
              </w:rPr>
            </w:pPr>
            <w:r>
              <w:rPr>
                <w:rFonts w:ascii="Times New Roman" w:hAnsi="Times New Roman" w:eastAsia="宋体"/>
                <w:b/>
                <w:bCs/>
                <w:color w:val="000000" w:themeColor="text1"/>
                <w:sz w:val="24"/>
              </w:rPr>
              <w:t>污染物</w:t>
            </w:r>
          </w:p>
          <w:p>
            <w:pPr>
              <w:jc w:val="center"/>
              <w:rPr>
                <w:rFonts w:ascii="Times New Roman" w:hAnsi="Times New Roman" w:eastAsia="宋体"/>
                <w:b/>
                <w:bCs/>
                <w:color w:val="000000" w:themeColor="text1"/>
                <w:sz w:val="24"/>
              </w:rPr>
            </w:pPr>
            <w:r>
              <w:rPr>
                <w:rFonts w:ascii="Times New Roman" w:hAnsi="Times New Roman" w:eastAsia="宋体"/>
                <w:b/>
                <w:bCs/>
                <w:color w:val="000000" w:themeColor="text1"/>
                <w:sz w:val="24"/>
              </w:rPr>
              <w:t>名称</w:t>
            </w:r>
          </w:p>
        </w:tc>
        <w:tc>
          <w:tcPr>
            <w:tcW w:w="2956" w:type="dxa"/>
            <w:gridSpan w:val="2"/>
            <w:vAlign w:val="center"/>
          </w:tcPr>
          <w:p>
            <w:pPr>
              <w:jc w:val="center"/>
              <w:rPr>
                <w:rFonts w:ascii="Times New Roman" w:hAnsi="Times New Roman" w:eastAsia="宋体"/>
                <w:b/>
                <w:bCs/>
                <w:color w:val="000000" w:themeColor="text1"/>
                <w:sz w:val="24"/>
              </w:rPr>
            </w:pPr>
            <w:r>
              <w:rPr>
                <w:rFonts w:ascii="Times New Roman" w:hAnsi="Times New Roman" w:eastAsia="宋体"/>
                <w:b/>
                <w:bCs/>
                <w:color w:val="000000" w:themeColor="text1"/>
                <w:sz w:val="24"/>
              </w:rPr>
              <w:t>产生浓度及产生量</w:t>
            </w:r>
          </w:p>
        </w:tc>
        <w:tc>
          <w:tcPr>
            <w:tcW w:w="2767" w:type="dxa"/>
            <w:gridSpan w:val="2"/>
            <w:vAlign w:val="center"/>
          </w:tcPr>
          <w:p>
            <w:pPr>
              <w:jc w:val="center"/>
              <w:rPr>
                <w:rFonts w:ascii="Times New Roman" w:hAnsi="Times New Roman" w:eastAsia="宋体"/>
                <w:b/>
                <w:bCs/>
                <w:color w:val="000000" w:themeColor="text1"/>
                <w:sz w:val="24"/>
              </w:rPr>
            </w:pPr>
            <w:r>
              <w:rPr>
                <w:rFonts w:ascii="Times New Roman" w:hAnsi="Times New Roman" w:eastAsia="宋体"/>
                <w:b/>
                <w:bCs/>
                <w:color w:val="000000" w:themeColor="text1"/>
                <w:sz w:val="24"/>
              </w:rPr>
              <w:t>排放浓度及排放量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934" w:type="dxa"/>
            <w:vMerge w:val="continue"/>
            <w:vAlign w:val="center"/>
          </w:tcPr>
          <w:p>
            <w:pPr>
              <w:jc w:val="center"/>
              <w:rPr>
                <w:rFonts w:ascii="Times New Roman" w:hAnsi="Times New Roman" w:eastAsia="宋体"/>
                <w:b/>
                <w:bCs/>
                <w:color w:val="000000" w:themeColor="text1"/>
                <w:sz w:val="24"/>
              </w:rPr>
            </w:pPr>
          </w:p>
        </w:tc>
        <w:tc>
          <w:tcPr>
            <w:tcW w:w="1280" w:type="dxa"/>
            <w:vMerge w:val="continue"/>
            <w:vAlign w:val="center"/>
          </w:tcPr>
          <w:p>
            <w:pPr>
              <w:jc w:val="center"/>
              <w:rPr>
                <w:rFonts w:ascii="Times New Roman" w:hAnsi="Times New Roman" w:eastAsia="宋体"/>
                <w:b/>
                <w:bCs/>
                <w:color w:val="000000" w:themeColor="text1"/>
                <w:sz w:val="24"/>
              </w:rPr>
            </w:pPr>
          </w:p>
        </w:tc>
        <w:tc>
          <w:tcPr>
            <w:tcW w:w="1241" w:type="dxa"/>
            <w:vMerge w:val="continue"/>
            <w:vAlign w:val="center"/>
          </w:tcPr>
          <w:p>
            <w:pPr>
              <w:jc w:val="center"/>
              <w:rPr>
                <w:rFonts w:ascii="Times New Roman" w:hAnsi="Times New Roman" w:eastAsia="宋体"/>
                <w:b/>
                <w:bCs/>
                <w:color w:val="000000" w:themeColor="text1"/>
                <w:sz w:val="24"/>
              </w:rPr>
            </w:pPr>
          </w:p>
        </w:tc>
        <w:tc>
          <w:tcPr>
            <w:tcW w:w="1661" w:type="dxa"/>
            <w:vAlign w:val="center"/>
          </w:tcPr>
          <w:p>
            <w:pPr>
              <w:jc w:val="center"/>
              <w:rPr>
                <w:rFonts w:ascii="Times New Roman" w:hAnsi="Times New Roman" w:eastAsia="宋体"/>
                <w:b/>
                <w:bCs/>
                <w:color w:val="000000" w:themeColor="text1"/>
                <w:sz w:val="24"/>
              </w:rPr>
            </w:pPr>
            <w:r>
              <w:rPr>
                <w:rFonts w:ascii="Times New Roman" w:hAnsi="Times New Roman" w:eastAsia="宋体"/>
                <w:b/>
                <w:bCs/>
                <w:color w:val="000000" w:themeColor="text1"/>
                <w:sz w:val="24"/>
              </w:rPr>
              <w:t>浓度</w:t>
            </w:r>
          </w:p>
        </w:tc>
        <w:tc>
          <w:tcPr>
            <w:tcW w:w="1295" w:type="dxa"/>
            <w:vAlign w:val="center"/>
          </w:tcPr>
          <w:p>
            <w:pPr>
              <w:jc w:val="center"/>
              <w:rPr>
                <w:rFonts w:ascii="Times New Roman" w:hAnsi="Times New Roman" w:eastAsia="宋体"/>
                <w:b/>
                <w:bCs/>
                <w:color w:val="000000" w:themeColor="text1"/>
                <w:sz w:val="24"/>
              </w:rPr>
            </w:pPr>
            <w:r>
              <w:rPr>
                <w:rFonts w:ascii="Times New Roman" w:hAnsi="Times New Roman" w:eastAsia="宋体"/>
                <w:b/>
                <w:bCs/>
                <w:color w:val="000000" w:themeColor="text1"/>
                <w:sz w:val="24"/>
              </w:rPr>
              <w:t>产生量</w:t>
            </w:r>
          </w:p>
        </w:tc>
        <w:tc>
          <w:tcPr>
            <w:tcW w:w="1576" w:type="dxa"/>
            <w:vAlign w:val="center"/>
          </w:tcPr>
          <w:p>
            <w:pPr>
              <w:jc w:val="center"/>
              <w:rPr>
                <w:rFonts w:ascii="Times New Roman" w:hAnsi="Times New Roman" w:eastAsia="宋体"/>
                <w:b/>
                <w:bCs/>
                <w:color w:val="000000" w:themeColor="text1"/>
                <w:sz w:val="24"/>
              </w:rPr>
            </w:pPr>
            <w:r>
              <w:rPr>
                <w:rFonts w:ascii="Times New Roman" w:hAnsi="Times New Roman" w:eastAsia="宋体"/>
                <w:b/>
                <w:bCs/>
                <w:color w:val="000000" w:themeColor="text1"/>
                <w:sz w:val="24"/>
              </w:rPr>
              <w:t>浓度</w:t>
            </w:r>
          </w:p>
        </w:tc>
        <w:tc>
          <w:tcPr>
            <w:tcW w:w="1191" w:type="dxa"/>
            <w:vAlign w:val="center"/>
          </w:tcPr>
          <w:p>
            <w:pPr>
              <w:jc w:val="center"/>
              <w:rPr>
                <w:rFonts w:ascii="Times New Roman" w:hAnsi="Times New Roman" w:eastAsia="宋体"/>
                <w:b/>
                <w:bCs/>
                <w:color w:val="000000" w:themeColor="text1"/>
                <w:sz w:val="24"/>
              </w:rPr>
            </w:pPr>
            <w:r>
              <w:rPr>
                <w:rFonts w:ascii="Times New Roman" w:hAnsi="Times New Roman" w:eastAsia="宋体"/>
                <w:b/>
                <w:bCs/>
                <w:color w:val="000000" w:themeColor="text1"/>
                <w:sz w:val="24"/>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934" w:type="dxa"/>
            <w:vMerge w:val="restart"/>
            <w:vAlign w:val="center"/>
          </w:tcPr>
          <w:p>
            <w:pPr>
              <w:spacing w:line="300" w:lineRule="exact"/>
              <w:jc w:val="center"/>
              <w:rPr>
                <w:rFonts w:ascii="Times New Roman" w:hAnsi="Times New Roman" w:eastAsia="宋体"/>
                <w:b/>
                <w:bCs/>
                <w:color w:val="000000" w:themeColor="text1"/>
                <w:sz w:val="24"/>
              </w:rPr>
            </w:pPr>
            <w:r>
              <w:rPr>
                <w:rFonts w:ascii="Times New Roman" w:hAnsi="Times New Roman" w:eastAsia="宋体"/>
                <w:b/>
                <w:bCs/>
                <w:color w:val="000000" w:themeColor="text1"/>
                <w:sz w:val="24"/>
              </w:rPr>
              <w:t>大</w:t>
            </w:r>
          </w:p>
          <w:p>
            <w:pPr>
              <w:spacing w:line="300" w:lineRule="exact"/>
              <w:jc w:val="center"/>
              <w:rPr>
                <w:rFonts w:ascii="Times New Roman" w:hAnsi="Times New Roman" w:eastAsia="宋体"/>
                <w:b/>
                <w:bCs/>
                <w:color w:val="000000" w:themeColor="text1"/>
                <w:sz w:val="24"/>
              </w:rPr>
            </w:pPr>
            <w:r>
              <w:rPr>
                <w:rFonts w:ascii="Times New Roman" w:hAnsi="Times New Roman" w:eastAsia="宋体"/>
                <w:b/>
                <w:bCs/>
                <w:color w:val="000000" w:themeColor="text1"/>
                <w:sz w:val="24"/>
              </w:rPr>
              <w:t>气</w:t>
            </w:r>
          </w:p>
          <w:p>
            <w:pPr>
              <w:spacing w:line="300" w:lineRule="exact"/>
              <w:jc w:val="center"/>
              <w:rPr>
                <w:rFonts w:ascii="Times New Roman" w:hAnsi="Times New Roman" w:eastAsia="宋体"/>
                <w:b/>
                <w:bCs/>
                <w:color w:val="000000" w:themeColor="text1"/>
                <w:sz w:val="24"/>
              </w:rPr>
            </w:pPr>
            <w:r>
              <w:rPr>
                <w:rFonts w:ascii="Times New Roman" w:hAnsi="Times New Roman" w:eastAsia="宋体"/>
                <w:b/>
                <w:bCs/>
                <w:color w:val="000000" w:themeColor="text1"/>
                <w:sz w:val="24"/>
              </w:rPr>
              <w:t>污</w:t>
            </w:r>
          </w:p>
          <w:p>
            <w:pPr>
              <w:spacing w:line="300" w:lineRule="exact"/>
              <w:jc w:val="center"/>
              <w:rPr>
                <w:rFonts w:ascii="Times New Roman" w:hAnsi="Times New Roman" w:eastAsia="宋体"/>
                <w:b/>
                <w:bCs/>
                <w:color w:val="000000" w:themeColor="text1"/>
                <w:sz w:val="24"/>
              </w:rPr>
            </w:pPr>
            <w:r>
              <w:rPr>
                <w:rFonts w:ascii="Times New Roman" w:hAnsi="Times New Roman" w:eastAsia="宋体"/>
                <w:b/>
                <w:bCs/>
                <w:color w:val="000000" w:themeColor="text1"/>
                <w:sz w:val="24"/>
              </w:rPr>
              <w:t>染</w:t>
            </w:r>
          </w:p>
          <w:p>
            <w:pPr>
              <w:spacing w:line="300" w:lineRule="exact"/>
              <w:jc w:val="center"/>
              <w:rPr>
                <w:rFonts w:ascii="Times New Roman" w:hAnsi="Times New Roman" w:eastAsia="宋体"/>
                <w:b/>
                <w:bCs/>
                <w:color w:val="000000" w:themeColor="text1"/>
                <w:sz w:val="24"/>
              </w:rPr>
            </w:pPr>
            <w:r>
              <w:rPr>
                <w:rFonts w:ascii="Times New Roman" w:hAnsi="Times New Roman" w:eastAsia="宋体"/>
                <w:b/>
                <w:bCs/>
                <w:color w:val="000000" w:themeColor="text1"/>
                <w:sz w:val="24"/>
              </w:rPr>
              <w:t>物</w:t>
            </w:r>
          </w:p>
        </w:tc>
        <w:tc>
          <w:tcPr>
            <w:tcW w:w="1280" w:type="dxa"/>
            <w:vMerge w:val="restart"/>
            <w:vAlign w:val="center"/>
          </w:tcPr>
          <w:p>
            <w:pPr>
              <w:adjustRightInd w:val="0"/>
              <w:snapToGrid w:val="0"/>
              <w:jc w:val="center"/>
              <w:rPr>
                <w:rFonts w:ascii="Times New Roman" w:hAnsi="Times New Roman" w:eastAsia="宋体"/>
                <w:color w:val="000000" w:themeColor="text1"/>
                <w:sz w:val="24"/>
              </w:rPr>
            </w:pPr>
            <w:r>
              <w:rPr>
                <w:rFonts w:ascii="Times New Roman" w:hAnsi="Times New Roman" w:eastAsia="宋体"/>
                <w:color w:val="000000" w:themeColor="text1"/>
                <w:sz w:val="24"/>
              </w:rPr>
              <w:t>压合工序非甲烷总烃</w:t>
            </w:r>
          </w:p>
        </w:tc>
        <w:tc>
          <w:tcPr>
            <w:tcW w:w="1241" w:type="dxa"/>
            <w:vAlign w:val="center"/>
          </w:tcPr>
          <w:p>
            <w:pPr>
              <w:snapToGrid w:val="0"/>
              <w:jc w:val="center"/>
              <w:rPr>
                <w:rFonts w:ascii="Times New Roman" w:hAnsi="Times New Roman" w:eastAsia="宋体"/>
                <w:color w:val="000000" w:themeColor="text1"/>
                <w:sz w:val="24"/>
              </w:rPr>
            </w:pPr>
            <w:r>
              <w:rPr>
                <w:rFonts w:ascii="Times New Roman" w:hAnsi="Times New Roman" w:eastAsia="宋体"/>
                <w:color w:val="000000" w:themeColor="text1"/>
                <w:sz w:val="24"/>
              </w:rPr>
              <w:t>有组织非甲烷总烃</w:t>
            </w:r>
          </w:p>
        </w:tc>
        <w:tc>
          <w:tcPr>
            <w:tcW w:w="1661" w:type="dxa"/>
            <w:vAlign w:val="center"/>
          </w:tcPr>
          <w:p>
            <w:pPr>
              <w:snapToGrid w:val="0"/>
              <w:jc w:val="center"/>
              <w:rPr>
                <w:rFonts w:ascii="Times New Roman" w:hAnsi="Times New Roman" w:eastAsia="宋体"/>
                <w:color w:val="000000" w:themeColor="text1"/>
                <w:sz w:val="24"/>
              </w:rPr>
            </w:pPr>
            <w:r>
              <w:rPr>
                <w:rFonts w:hint="eastAsia" w:ascii="Times New Roman" w:hAnsi="Times New Roman" w:eastAsia="宋体"/>
                <w:color w:val="000000" w:themeColor="text1"/>
                <w:sz w:val="24"/>
              </w:rPr>
              <w:t>75.3</w:t>
            </w:r>
            <w:r>
              <w:rPr>
                <w:rFonts w:ascii="Times New Roman" w:hAnsi="Times New Roman" w:eastAsia="宋体"/>
                <w:color w:val="000000" w:themeColor="text1"/>
                <w:sz w:val="24"/>
              </w:rPr>
              <w:t>5mg/m</w:t>
            </w:r>
            <w:r>
              <w:rPr>
                <w:rFonts w:ascii="Times New Roman" w:hAnsi="Times New Roman" w:eastAsia="宋体"/>
                <w:color w:val="000000" w:themeColor="text1"/>
                <w:sz w:val="24"/>
                <w:vertAlign w:val="superscript"/>
              </w:rPr>
              <w:t>3</w:t>
            </w:r>
          </w:p>
        </w:tc>
        <w:tc>
          <w:tcPr>
            <w:tcW w:w="1295" w:type="dxa"/>
            <w:vAlign w:val="center"/>
          </w:tcPr>
          <w:p>
            <w:pPr>
              <w:snapToGrid w:val="0"/>
              <w:jc w:val="center"/>
              <w:rPr>
                <w:rFonts w:ascii="Times New Roman" w:hAnsi="Times New Roman" w:eastAsia="宋体"/>
                <w:color w:val="000000" w:themeColor="text1"/>
                <w:sz w:val="24"/>
              </w:rPr>
            </w:pPr>
            <w:r>
              <w:rPr>
                <w:rFonts w:hint="eastAsia" w:ascii="Times New Roman" w:hAnsi="Times New Roman" w:eastAsia="宋体"/>
                <w:color w:val="000000" w:themeColor="text1"/>
                <w:sz w:val="24"/>
              </w:rPr>
              <w:t>0.2713</w:t>
            </w:r>
            <w:r>
              <w:rPr>
                <w:rFonts w:ascii="Times New Roman" w:hAnsi="Times New Roman" w:eastAsia="宋体"/>
                <w:color w:val="000000" w:themeColor="text1"/>
                <w:sz w:val="24"/>
              </w:rPr>
              <w:t>t/a</w:t>
            </w:r>
          </w:p>
        </w:tc>
        <w:tc>
          <w:tcPr>
            <w:tcW w:w="1576" w:type="dxa"/>
            <w:vAlign w:val="center"/>
          </w:tcPr>
          <w:p>
            <w:pPr>
              <w:snapToGrid w:val="0"/>
              <w:jc w:val="center"/>
              <w:rPr>
                <w:rFonts w:ascii="Times New Roman" w:hAnsi="Times New Roman" w:eastAsia="宋体"/>
                <w:color w:val="000000" w:themeColor="text1"/>
                <w:sz w:val="24"/>
              </w:rPr>
            </w:pPr>
            <w:r>
              <w:rPr>
                <w:rFonts w:hint="eastAsia" w:ascii="Times New Roman" w:hAnsi="Times New Roman" w:eastAsia="宋体"/>
                <w:color w:val="000000" w:themeColor="text1"/>
                <w:sz w:val="24"/>
              </w:rPr>
              <w:t>15.1</w:t>
            </w:r>
            <w:r>
              <w:rPr>
                <w:rFonts w:ascii="Times New Roman" w:hAnsi="Times New Roman" w:eastAsia="宋体"/>
                <w:color w:val="000000" w:themeColor="text1"/>
                <w:sz w:val="24"/>
              </w:rPr>
              <w:t>mg/m</w:t>
            </w:r>
            <w:r>
              <w:rPr>
                <w:rFonts w:ascii="Times New Roman" w:hAnsi="Times New Roman" w:eastAsia="宋体"/>
                <w:color w:val="000000" w:themeColor="text1"/>
                <w:sz w:val="24"/>
                <w:vertAlign w:val="superscript"/>
              </w:rPr>
              <w:t>3</w:t>
            </w:r>
          </w:p>
        </w:tc>
        <w:tc>
          <w:tcPr>
            <w:tcW w:w="1191" w:type="dxa"/>
            <w:vAlign w:val="center"/>
          </w:tcPr>
          <w:p>
            <w:pPr>
              <w:snapToGrid w:val="0"/>
              <w:jc w:val="center"/>
              <w:rPr>
                <w:rFonts w:ascii="Times New Roman" w:hAnsi="Times New Roman" w:eastAsia="宋体"/>
                <w:color w:val="000000" w:themeColor="text1"/>
                <w:sz w:val="24"/>
              </w:rPr>
            </w:pPr>
            <w:r>
              <w:rPr>
                <w:rFonts w:ascii="Times New Roman" w:hAnsi="Times New Roman" w:eastAsia="宋体"/>
                <w:color w:val="000000" w:themeColor="text1"/>
                <w:sz w:val="24"/>
              </w:rPr>
              <w:t>0.</w:t>
            </w:r>
            <w:r>
              <w:rPr>
                <w:rFonts w:hint="eastAsia" w:ascii="Times New Roman" w:hAnsi="Times New Roman" w:eastAsia="宋体"/>
                <w:color w:val="000000" w:themeColor="text1"/>
                <w:sz w:val="24"/>
              </w:rPr>
              <w:t>0543</w:t>
            </w:r>
            <w:r>
              <w:rPr>
                <w:rFonts w:ascii="Times New Roman" w:hAnsi="Times New Roman" w:eastAsia="宋体"/>
                <w:color w:val="000000" w:themeColor="text1"/>
                <w:sz w:val="24"/>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934" w:type="dxa"/>
            <w:vMerge w:val="continue"/>
            <w:vAlign w:val="center"/>
          </w:tcPr>
          <w:p>
            <w:pPr>
              <w:spacing w:line="300" w:lineRule="exact"/>
              <w:jc w:val="center"/>
              <w:rPr>
                <w:rFonts w:ascii="Times New Roman" w:hAnsi="Times New Roman" w:eastAsia="宋体"/>
                <w:b/>
                <w:bCs/>
                <w:color w:val="000000" w:themeColor="text1"/>
                <w:sz w:val="24"/>
              </w:rPr>
            </w:pPr>
          </w:p>
        </w:tc>
        <w:tc>
          <w:tcPr>
            <w:tcW w:w="1280" w:type="dxa"/>
            <w:vMerge w:val="continue"/>
            <w:vAlign w:val="center"/>
          </w:tcPr>
          <w:p>
            <w:pPr>
              <w:adjustRightInd w:val="0"/>
              <w:snapToGrid w:val="0"/>
              <w:jc w:val="center"/>
              <w:rPr>
                <w:rFonts w:ascii="Times New Roman" w:hAnsi="Times New Roman" w:eastAsia="宋体"/>
                <w:color w:val="000000" w:themeColor="text1"/>
                <w:sz w:val="24"/>
              </w:rPr>
            </w:pPr>
          </w:p>
        </w:tc>
        <w:tc>
          <w:tcPr>
            <w:tcW w:w="1241" w:type="dxa"/>
            <w:vAlign w:val="center"/>
          </w:tcPr>
          <w:p>
            <w:pPr>
              <w:snapToGrid w:val="0"/>
              <w:jc w:val="center"/>
              <w:rPr>
                <w:rFonts w:ascii="Times New Roman" w:hAnsi="Times New Roman" w:eastAsia="宋体"/>
                <w:color w:val="000000" w:themeColor="text1"/>
                <w:sz w:val="24"/>
              </w:rPr>
            </w:pPr>
            <w:r>
              <w:rPr>
                <w:rFonts w:ascii="Times New Roman" w:hAnsi="Times New Roman" w:eastAsia="宋体"/>
                <w:color w:val="000000" w:themeColor="text1"/>
                <w:sz w:val="24"/>
              </w:rPr>
              <w:t>无组织非甲烷总烃</w:t>
            </w:r>
          </w:p>
        </w:tc>
        <w:tc>
          <w:tcPr>
            <w:tcW w:w="1661" w:type="dxa"/>
            <w:vAlign w:val="center"/>
          </w:tcPr>
          <w:p>
            <w:pPr>
              <w:snapToGrid w:val="0"/>
              <w:jc w:val="center"/>
              <w:rPr>
                <w:rFonts w:ascii="Times New Roman" w:hAnsi="Times New Roman" w:eastAsia="宋体"/>
                <w:color w:val="000000" w:themeColor="text1"/>
                <w:sz w:val="24"/>
              </w:rPr>
            </w:pPr>
            <w:r>
              <w:rPr>
                <w:rFonts w:hint="eastAsia" w:ascii="Times New Roman" w:hAnsi="Times New Roman" w:eastAsia="宋体"/>
                <w:color w:val="000000" w:themeColor="text1"/>
                <w:sz w:val="24"/>
              </w:rPr>
              <w:t>/</w:t>
            </w:r>
          </w:p>
        </w:tc>
        <w:tc>
          <w:tcPr>
            <w:tcW w:w="1295" w:type="dxa"/>
            <w:vAlign w:val="center"/>
          </w:tcPr>
          <w:p>
            <w:pPr>
              <w:snapToGrid w:val="0"/>
              <w:jc w:val="center"/>
              <w:rPr>
                <w:rFonts w:ascii="Times New Roman" w:hAnsi="Times New Roman" w:eastAsia="宋体"/>
                <w:color w:val="000000" w:themeColor="text1"/>
                <w:sz w:val="24"/>
              </w:rPr>
            </w:pPr>
            <w:r>
              <w:rPr>
                <w:rFonts w:hint="eastAsia" w:ascii="Times New Roman" w:hAnsi="Times New Roman" w:eastAsia="宋体"/>
                <w:color w:val="000000" w:themeColor="text1"/>
                <w:sz w:val="24"/>
              </w:rPr>
              <w:t>0.0143t/a</w:t>
            </w:r>
          </w:p>
        </w:tc>
        <w:tc>
          <w:tcPr>
            <w:tcW w:w="1576" w:type="dxa"/>
            <w:vAlign w:val="center"/>
          </w:tcPr>
          <w:p>
            <w:pPr>
              <w:snapToGrid w:val="0"/>
              <w:jc w:val="center"/>
              <w:rPr>
                <w:rFonts w:ascii="Times New Roman" w:hAnsi="Times New Roman" w:eastAsia="宋体"/>
                <w:color w:val="000000" w:themeColor="text1"/>
                <w:sz w:val="24"/>
              </w:rPr>
            </w:pPr>
            <w:r>
              <w:rPr>
                <w:rFonts w:hint="eastAsia" w:ascii="Times New Roman" w:hAnsi="Times New Roman" w:eastAsia="宋体"/>
                <w:color w:val="000000" w:themeColor="text1"/>
                <w:sz w:val="24"/>
              </w:rPr>
              <w:t>/</w:t>
            </w:r>
          </w:p>
        </w:tc>
        <w:tc>
          <w:tcPr>
            <w:tcW w:w="1191" w:type="dxa"/>
            <w:vAlign w:val="center"/>
          </w:tcPr>
          <w:p>
            <w:pPr>
              <w:snapToGrid w:val="0"/>
              <w:jc w:val="center"/>
              <w:rPr>
                <w:rFonts w:ascii="Times New Roman" w:hAnsi="Times New Roman" w:eastAsia="宋体"/>
                <w:color w:val="000000" w:themeColor="text1"/>
                <w:sz w:val="24"/>
              </w:rPr>
            </w:pPr>
            <w:r>
              <w:rPr>
                <w:rFonts w:hint="eastAsia" w:ascii="Times New Roman" w:hAnsi="Times New Roman" w:eastAsia="宋体"/>
                <w:color w:val="000000" w:themeColor="text1"/>
                <w:sz w:val="24"/>
              </w:rPr>
              <w:t>0.0143t/a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0" w:hRule="atLeast"/>
          <w:jc w:val="center"/>
        </w:trPr>
        <w:tc>
          <w:tcPr>
            <w:tcW w:w="934" w:type="dxa"/>
            <w:vAlign w:val="center"/>
          </w:tcPr>
          <w:p>
            <w:pPr>
              <w:spacing w:line="300" w:lineRule="exact"/>
              <w:jc w:val="center"/>
              <w:rPr>
                <w:rFonts w:ascii="Times New Roman" w:hAnsi="Times New Roman" w:eastAsia="宋体"/>
                <w:b/>
                <w:bCs/>
                <w:color w:val="000000" w:themeColor="text1"/>
                <w:sz w:val="24"/>
              </w:rPr>
            </w:pPr>
            <w:r>
              <w:rPr>
                <w:rFonts w:ascii="Times New Roman" w:hAnsi="Times New Roman" w:eastAsia="宋体"/>
                <w:b/>
                <w:bCs/>
                <w:color w:val="000000" w:themeColor="text1"/>
                <w:sz w:val="24"/>
              </w:rPr>
              <w:t>水</w:t>
            </w:r>
          </w:p>
          <w:p>
            <w:pPr>
              <w:spacing w:line="300" w:lineRule="exact"/>
              <w:jc w:val="center"/>
              <w:rPr>
                <w:rFonts w:ascii="Times New Roman" w:hAnsi="Times New Roman" w:eastAsia="宋体"/>
                <w:b/>
                <w:bCs/>
                <w:color w:val="000000" w:themeColor="text1"/>
                <w:sz w:val="24"/>
              </w:rPr>
            </w:pPr>
            <w:r>
              <w:rPr>
                <w:rFonts w:ascii="Times New Roman" w:hAnsi="Times New Roman" w:eastAsia="宋体"/>
                <w:b/>
                <w:bCs/>
                <w:color w:val="000000" w:themeColor="text1"/>
                <w:sz w:val="24"/>
              </w:rPr>
              <w:t>污</w:t>
            </w:r>
          </w:p>
          <w:p>
            <w:pPr>
              <w:spacing w:line="300" w:lineRule="exact"/>
              <w:jc w:val="center"/>
              <w:rPr>
                <w:rFonts w:ascii="Times New Roman" w:hAnsi="Times New Roman" w:eastAsia="宋体"/>
                <w:b/>
                <w:bCs/>
                <w:color w:val="000000" w:themeColor="text1"/>
                <w:sz w:val="24"/>
              </w:rPr>
            </w:pPr>
            <w:r>
              <w:rPr>
                <w:rFonts w:ascii="Times New Roman" w:hAnsi="Times New Roman" w:eastAsia="宋体"/>
                <w:b/>
                <w:bCs/>
                <w:color w:val="000000" w:themeColor="text1"/>
                <w:sz w:val="24"/>
              </w:rPr>
              <w:t>染</w:t>
            </w:r>
          </w:p>
          <w:p>
            <w:pPr>
              <w:spacing w:line="300" w:lineRule="exact"/>
              <w:jc w:val="center"/>
              <w:rPr>
                <w:rFonts w:ascii="Times New Roman" w:hAnsi="Times New Roman" w:eastAsia="宋体"/>
                <w:b/>
                <w:bCs/>
                <w:color w:val="000000" w:themeColor="text1"/>
                <w:sz w:val="24"/>
              </w:rPr>
            </w:pPr>
            <w:r>
              <w:rPr>
                <w:rFonts w:ascii="Times New Roman" w:hAnsi="Times New Roman" w:eastAsia="宋体"/>
                <w:b/>
                <w:bCs/>
                <w:color w:val="000000" w:themeColor="text1"/>
                <w:sz w:val="24"/>
              </w:rPr>
              <w:t>物</w:t>
            </w:r>
          </w:p>
        </w:tc>
        <w:tc>
          <w:tcPr>
            <w:tcW w:w="1280" w:type="dxa"/>
            <w:vAlign w:val="center"/>
          </w:tcPr>
          <w:p>
            <w:pPr>
              <w:jc w:val="center"/>
              <w:rPr>
                <w:rFonts w:ascii="Times New Roman" w:hAnsi="Times New Roman" w:eastAsia="宋体"/>
                <w:color w:val="000000" w:themeColor="text1"/>
                <w:sz w:val="24"/>
                <w:highlight w:val="yellow"/>
              </w:rPr>
            </w:pPr>
            <w:r>
              <w:rPr>
                <w:rFonts w:hint="eastAsia" w:ascii="Times New Roman" w:hAnsi="Times New Roman" w:eastAsia="宋体"/>
                <w:color w:val="000000" w:themeColor="text1"/>
                <w:sz w:val="24"/>
              </w:rPr>
              <w:t>/</w:t>
            </w:r>
          </w:p>
        </w:tc>
        <w:tc>
          <w:tcPr>
            <w:tcW w:w="1241" w:type="dxa"/>
            <w:vAlign w:val="center"/>
          </w:tcPr>
          <w:p>
            <w:pPr>
              <w:jc w:val="center"/>
              <w:rPr>
                <w:rFonts w:ascii="Times New Roman" w:hAnsi="Times New Roman" w:eastAsia="宋体"/>
                <w:color w:val="000000" w:themeColor="text1"/>
                <w:sz w:val="24"/>
              </w:rPr>
            </w:pPr>
            <w:r>
              <w:rPr>
                <w:rFonts w:hint="eastAsia" w:ascii="Times New Roman" w:hAnsi="Times New Roman" w:eastAsia="宋体"/>
                <w:color w:val="000000" w:themeColor="text1"/>
                <w:sz w:val="24"/>
              </w:rPr>
              <w:t>/</w:t>
            </w:r>
          </w:p>
        </w:tc>
        <w:tc>
          <w:tcPr>
            <w:tcW w:w="1661" w:type="dxa"/>
            <w:vAlign w:val="center"/>
          </w:tcPr>
          <w:p>
            <w:pPr>
              <w:snapToGrid w:val="0"/>
              <w:jc w:val="center"/>
              <w:rPr>
                <w:rFonts w:ascii="Times New Roman" w:hAnsi="Times New Roman" w:eastAsia="宋体"/>
                <w:color w:val="000000" w:themeColor="text1"/>
                <w:sz w:val="24"/>
              </w:rPr>
            </w:pPr>
            <w:r>
              <w:rPr>
                <w:rFonts w:hint="eastAsia" w:ascii="Times New Roman" w:hAnsi="Times New Roman" w:eastAsia="宋体"/>
                <w:color w:val="000000" w:themeColor="text1"/>
                <w:sz w:val="24"/>
              </w:rPr>
              <w:t>/</w:t>
            </w:r>
          </w:p>
        </w:tc>
        <w:tc>
          <w:tcPr>
            <w:tcW w:w="1295" w:type="dxa"/>
            <w:vAlign w:val="center"/>
          </w:tcPr>
          <w:p>
            <w:pPr>
              <w:snapToGrid w:val="0"/>
              <w:jc w:val="center"/>
              <w:rPr>
                <w:rFonts w:ascii="Times New Roman" w:hAnsi="Times New Roman" w:eastAsia="宋体"/>
                <w:color w:val="000000" w:themeColor="text1"/>
                <w:sz w:val="24"/>
              </w:rPr>
            </w:pPr>
            <w:r>
              <w:rPr>
                <w:rFonts w:hint="eastAsia" w:ascii="Times New Roman" w:hAnsi="Times New Roman" w:eastAsia="宋体"/>
                <w:color w:val="000000" w:themeColor="text1"/>
                <w:sz w:val="24"/>
              </w:rPr>
              <w:t>/</w:t>
            </w:r>
          </w:p>
        </w:tc>
        <w:tc>
          <w:tcPr>
            <w:tcW w:w="1576" w:type="dxa"/>
            <w:vAlign w:val="center"/>
          </w:tcPr>
          <w:p>
            <w:pPr>
              <w:snapToGrid w:val="0"/>
              <w:jc w:val="center"/>
              <w:rPr>
                <w:rFonts w:ascii="Times New Roman" w:hAnsi="Times New Roman" w:eastAsia="宋体"/>
                <w:color w:val="000000" w:themeColor="text1"/>
                <w:sz w:val="24"/>
              </w:rPr>
            </w:pPr>
            <w:r>
              <w:rPr>
                <w:rFonts w:hint="eastAsia" w:ascii="Times New Roman" w:hAnsi="Times New Roman" w:eastAsia="宋体"/>
                <w:color w:val="000000" w:themeColor="text1"/>
                <w:sz w:val="24"/>
              </w:rPr>
              <w:t>/</w:t>
            </w:r>
          </w:p>
        </w:tc>
        <w:tc>
          <w:tcPr>
            <w:tcW w:w="1191" w:type="dxa"/>
            <w:vAlign w:val="center"/>
          </w:tcPr>
          <w:p>
            <w:pPr>
              <w:snapToGrid w:val="0"/>
              <w:jc w:val="center"/>
              <w:rPr>
                <w:rFonts w:ascii="Times New Roman" w:hAnsi="Times New Roman" w:eastAsia="宋体"/>
                <w:color w:val="000000" w:themeColor="text1"/>
                <w:sz w:val="24"/>
              </w:rPr>
            </w:pPr>
            <w:r>
              <w:rPr>
                <w:rFonts w:hint="eastAsia" w:ascii="Times New Roman" w:hAnsi="Times New Roman" w:eastAsia="宋体"/>
                <w:color w:val="000000" w:themeColor="text1"/>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atLeast"/>
          <w:jc w:val="center"/>
        </w:trPr>
        <w:tc>
          <w:tcPr>
            <w:tcW w:w="934" w:type="dxa"/>
            <w:vMerge w:val="restart"/>
            <w:vAlign w:val="center"/>
          </w:tcPr>
          <w:p>
            <w:pPr>
              <w:spacing w:line="240" w:lineRule="atLeast"/>
              <w:jc w:val="center"/>
              <w:rPr>
                <w:rFonts w:ascii="Times New Roman" w:hAnsi="Times New Roman" w:eastAsia="宋体"/>
                <w:b/>
                <w:bCs/>
                <w:color w:val="000000" w:themeColor="text1"/>
                <w:sz w:val="24"/>
              </w:rPr>
            </w:pPr>
            <w:r>
              <w:rPr>
                <w:rFonts w:ascii="Times New Roman" w:hAnsi="Times New Roman" w:eastAsia="宋体"/>
                <w:b/>
                <w:bCs/>
                <w:color w:val="000000" w:themeColor="text1"/>
                <w:sz w:val="24"/>
              </w:rPr>
              <w:t>固</w:t>
            </w:r>
          </w:p>
          <w:p>
            <w:pPr>
              <w:spacing w:line="240" w:lineRule="atLeast"/>
              <w:jc w:val="center"/>
              <w:rPr>
                <w:rFonts w:ascii="Times New Roman" w:hAnsi="Times New Roman" w:eastAsia="宋体"/>
                <w:b/>
                <w:bCs/>
                <w:color w:val="000000" w:themeColor="text1"/>
                <w:sz w:val="24"/>
              </w:rPr>
            </w:pPr>
            <w:r>
              <w:rPr>
                <w:rFonts w:ascii="Times New Roman" w:hAnsi="Times New Roman" w:eastAsia="宋体"/>
                <w:b/>
                <w:bCs/>
                <w:color w:val="000000" w:themeColor="text1"/>
                <w:sz w:val="24"/>
              </w:rPr>
              <w:t>体</w:t>
            </w:r>
          </w:p>
          <w:p>
            <w:pPr>
              <w:spacing w:line="240" w:lineRule="atLeast"/>
              <w:jc w:val="center"/>
              <w:rPr>
                <w:rFonts w:ascii="Times New Roman" w:hAnsi="Times New Roman" w:eastAsia="宋体"/>
                <w:b/>
                <w:bCs/>
                <w:color w:val="000000" w:themeColor="text1"/>
                <w:sz w:val="24"/>
              </w:rPr>
            </w:pPr>
            <w:r>
              <w:rPr>
                <w:rFonts w:ascii="Times New Roman" w:hAnsi="Times New Roman" w:eastAsia="宋体"/>
                <w:b/>
                <w:bCs/>
                <w:color w:val="000000" w:themeColor="text1"/>
                <w:sz w:val="24"/>
              </w:rPr>
              <w:t>废</w:t>
            </w:r>
          </w:p>
          <w:p>
            <w:pPr>
              <w:spacing w:line="240" w:lineRule="atLeast"/>
              <w:jc w:val="center"/>
              <w:rPr>
                <w:rFonts w:ascii="Times New Roman" w:hAnsi="Times New Roman" w:eastAsia="宋体"/>
                <w:b/>
                <w:bCs/>
                <w:color w:val="000000" w:themeColor="text1"/>
                <w:sz w:val="24"/>
              </w:rPr>
            </w:pPr>
            <w:r>
              <w:rPr>
                <w:rFonts w:ascii="Times New Roman" w:hAnsi="Times New Roman" w:eastAsia="宋体"/>
                <w:b/>
                <w:bCs/>
                <w:color w:val="000000" w:themeColor="text1"/>
                <w:sz w:val="24"/>
              </w:rPr>
              <w:t>物</w:t>
            </w:r>
          </w:p>
        </w:tc>
        <w:tc>
          <w:tcPr>
            <w:tcW w:w="1280" w:type="dxa"/>
            <w:vAlign w:val="center"/>
          </w:tcPr>
          <w:p>
            <w:pPr>
              <w:jc w:val="center"/>
              <w:rPr>
                <w:rFonts w:ascii="Times New Roman" w:hAnsi="Times New Roman" w:eastAsia="宋体"/>
                <w:bCs/>
                <w:color w:val="000000" w:themeColor="text1"/>
                <w:sz w:val="24"/>
              </w:rPr>
            </w:pPr>
            <w:r>
              <w:rPr>
                <w:rFonts w:ascii="Times New Roman" w:hAnsi="Times New Roman" w:eastAsia="宋体"/>
                <w:bCs/>
                <w:color w:val="000000" w:themeColor="text1"/>
                <w:sz w:val="24"/>
              </w:rPr>
              <w:t>质检工序</w:t>
            </w:r>
          </w:p>
        </w:tc>
        <w:tc>
          <w:tcPr>
            <w:tcW w:w="1241" w:type="dxa"/>
            <w:vAlign w:val="center"/>
          </w:tcPr>
          <w:p>
            <w:pPr>
              <w:jc w:val="center"/>
              <w:rPr>
                <w:rFonts w:ascii="Times New Roman" w:hAnsi="Times New Roman" w:eastAsia="宋体"/>
                <w:bCs/>
                <w:color w:val="000000" w:themeColor="text1"/>
                <w:sz w:val="24"/>
              </w:rPr>
            </w:pPr>
            <w:r>
              <w:rPr>
                <w:rFonts w:ascii="Times New Roman" w:hAnsi="Times New Roman" w:eastAsia="宋体"/>
                <w:bCs/>
                <w:color w:val="000000" w:themeColor="text1"/>
                <w:sz w:val="24"/>
              </w:rPr>
              <w:t>不合格产品</w:t>
            </w:r>
          </w:p>
        </w:tc>
        <w:tc>
          <w:tcPr>
            <w:tcW w:w="2956" w:type="dxa"/>
            <w:gridSpan w:val="2"/>
            <w:vAlign w:val="center"/>
          </w:tcPr>
          <w:p>
            <w:pPr>
              <w:adjustRightInd w:val="0"/>
              <w:snapToGrid w:val="0"/>
              <w:jc w:val="center"/>
              <w:rPr>
                <w:rFonts w:ascii="Times New Roman" w:hAnsi="Times New Roman" w:eastAsia="宋体"/>
                <w:color w:val="000000" w:themeColor="text1"/>
                <w:sz w:val="24"/>
              </w:rPr>
            </w:pPr>
            <w:r>
              <w:rPr>
                <w:rFonts w:ascii="Times New Roman" w:hAnsi="Times New Roman" w:eastAsia="宋体"/>
                <w:color w:val="000000" w:themeColor="text1"/>
                <w:sz w:val="24"/>
              </w:rPr>
              <w:t>3</w:t>
            </w:r>
            <w:r>
              <w:rPr>
                <w:rFonts w:hint="eastAsia" w:ascii="Times New Roman" w:hAnsi="Times New Roman" w:eastAsia="宋体"/>
                <w:color w:val="000000" w:themeColor="text1"/>
                <w:sz w:val="24"/>
              </w:rPr>
              <w:t>6</w:t>
            </w:r>
            <w:r>
              <w:rPr>
                <w:rFonts w:ascii="Times New Roman" w:hAnsi="Times New Roman" w:eastAsia="宋体"/>
                <w:color w:val="000000" w:themeColor="text1"/>
                <w:sz w:val="24"/>
              </w:rPr>
              <w:t>t/a</w:t>
            </w:r>
          </w:p>
        </w:tc>
        <w:tc>
          <w:tcPr>
            <w:tcW w:w="2767" w:type="dxa"/>
            <w:gridSpan w:val="2"/>
            <w:vAlign w:val="center"/>
          </w:tcPr>
          <w:p>
            <w:pPr>
              <w:adjustRightInd w:val="0"/>
              <w:snapToGrid w:val="0"/>
              <w:jc w:val="center"/>
              <w:rPr>
                <w:rFonts w:ascii="Times New Roman" w:hAnsi="Times New Roman" w:eastAsia="宋体"/>
                <w:color w:val="000000" w:themeColor="text1"/>
                <w:sz w:val="24"/>
                <w:highlight w:val="yellow"/>
              </w:rPr>
            </w:pPr>
            <w:r>
              <w:rPr>
                <w:rFonts w:ascii="Times New Roman" w:hAnsi="Times New Roman" w:eastAsia="宋体"/>
                <w:color w:val="000000" w:themeColor="text1"/>
                <w:sz w:val="24"/>
              </w:rPr>
              <w:t>集中收集后定期外售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atLeast"/>
          <w:jc w:val="center"/>
        </w:trPr>
        <w:tc>
          <w:tcPr>
            <w:tcW w:w="934" w:type="dxa"/>
            <w:vMerge w:val="continue"/>
            <w:vAlign w:val="center"/>
          </w:tcPr>
          <w:p>
            <w:pPr>
              <w:spacing w:line="240" w:lineRule="atLeast"/>
              <w:jc w:val="center"/>
              <w:rPr>
                <w:rFonts w:ascii="Times New Roman" w:hAnsi="Times New Roman" w:eastAsia="宋体"/>
                <w:b/>
                <w:bCs/>
                <w:color w:val="000000" w:themeColor="text1"/>
                <w:sz w:val="24"/>
              </w:rPr>
            </w:pPr>
          </w:p>
        </w:tc>
        <w:tc>
          <w:tcPr>
            <w:tcW w:w="1280" w:type="dxa"/>
            <w:vAlign w:val="center"/>
          </w:tcPr>
          <w:p>
            <w:pPr>
              <w:jc w:val="center"/>
              <w:rPr>
                <w:rFonts w:ascii="Times New Roman" w:hAnsi="Times New Roman" w:eastAsia="宋体"/>
                <w:bCs/>
                <w:color w:val="000000" w:themeColor="text1"/>
                <w:sz w:val="24"/>
              </w:rPr>
            </w:pPr>
            <w:r>
              <w:rPr>
                <w:rFonts w:ascii="Times New Roman" w:hAnsi="Times New Roman" w:eastAsia="宋体"/>
                <w:bCs/>
                <w:color w:val="000000" w:themeColor="text1"/>
                <w:sz w:val="24"/>
              </w:rPr>
              <w:t>包装工序</w:t>
            </w:r>
          </w:p>
        </w:tc>
        <w:tc>
          <w:tcPr>
            <w:tcW w:w="1241" w:type="dxa"/>
            <w:vAlign w:val="center"/>
          </w:tcPr>
          <w:p>
            <w:pPr>
              <w:jc w:val="center"/>
              <w:rPr>
                <w:rFonts w:ascii="Times New Roman" w:hAnsi="Times New Roman" w:eastAsia="宋体"/>
                <w:bCs/>
                <w:color w:val="000000" w:themeColor="text1"/>
                <w:sz w:val="24"/>
              </w:rPr>
            </w:pPr>
            <w:r>
              <w:rPr>
                <w:rFonts w:ascii="Times New Roman" w:hAnsi="Times New Roman" w:eastAsia="宋体"/>
                <w:bCs/>
                <w:color w:val="000000" w:themeColor="text1"/>
                <w:sz w:val="24"/>
              </w:rPr>
              <w:t>废包装物</w:t>
            </w:r>
          </w:p>
        </w:tc>
        <w:tc>
          <w:tcPr>
            <w:tcW w:w="2956" w:type="dxa"/>
            <w:gridSpan w:val="2"/>
            <w:vAlign w:val="center"/>
          </w:tcPr>
          <w:p>
            <w:pPr>
              <w:adjustRightInd w:val="0"/>
              <w:snapToGrid w:val="0"/>
              <w:jc w:val="center"/>
              <w:rPr>
                <w:rFonts w:ascii="Times New Roman" w:hAnsi="Times New Roman" w:eastAsia="宋体"/>
                <w:color w:val="000000" w:themeColor="text1"/>
                <w:sz w:val="24"/>
              </w:rPr>
            </w:pPr>
            <w:r>
              <w:rPr>
                <w:rFonts w:hint="eastAsia" w:ascii="Times New Roman" w:hAnsi="Times New Roman" w:eastAsia="宋体"/>
                <w:color w:val="000000" w:themeColor="text1"/>
                <w:sz w:val="24"/>
              </w:rPr>
              <w:t>1</w:t>
            </w:r>
            <w:r>
              <w:rPr>
                <w:rFonts w:ascii="Times New Roman" w:hAnsi="Times New Roman" w:eastAsia="宋体"/>
                <w:color w:val="000000" w:themeColor="text1"/>
                <w:sz w:val="24"/>
              </w:rPr>
              <w:t>t/a</w:t>
            </w:r>
          </w:p>
        </w:tc>
        <w:tc>
          <w:tcPr>
            <w:tcW w:w="2767" w:type="dxa"/>
            <w:gridSpan w:val="2"/>
            <w:vAlign w:val="center"/>
          </w:tcPr>
          <w:p>
            <w:pPr>
              <w:adjustRightInd w:val="0"/>
              <w:snapToGrid w:val="0"/>
              <w:jc w:val="center"/>
              <w:rPr>
                <w:rFonts w:ascii="Times New Roman" w:hAnsi="Times New Roman" w:eastAsia="宋体"/>
                <w:color w:val="000000" w:themeColor="text1"/>
                <w:sz w:val="24"/>
              </w:rPr>
            </w:pPr>
            <w:r>
              <w:rPr>
                <w:rFonts w:ascii="Times New Roman" w:hAnsi="Times New Roman" w:eastAsia="宋体"/>
                <w:color w:val="000000" w:themeColor="text1"/>
                <w:sz w:val="24"/>
              </w:rPr>
              <w:t>集中收集后定期外售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atLeast"/>
          <w:jc w:val="center"/>
        </w:trPr>
        <w:tc>
          <w:tcPr>
            <w:tcW w:w="934" w:type="dxa"/>
            <w:vMerge w:val="continue"/>
            <w:vAlign w:val="center"/>
          </w:tcPr>
          <w:p>
            <w:pPr>
              <w:spacing w:line="240" w:lineRule="atLeast"/>
              <w:jc w:val="center"/>
              <w:rPr>
                <w:rFonts w:ascii="Times New Roman" w:hAnsi="Times New Roman" w:eastAsia="宋体"/>
                <w:b/>
                <w:bCs/>
                <w:color w:val="000000" w:themeColor="text1"/>
                <w:sz w:val="24"/>
              </w:rPr>
            </w:pPr>
          </w:p>
        </w:tc>
        <w:tc>
          <w:tcPr>
            <w:tcW w:w="1280" w:type="dxa"/>
            <w:vMerge w:val="restart"/>
            <w:vAlign w:val="center"/>
          </w:tcPr>
          <w:p>
            <w:pPr>
              <w:jc w:val="center"/>
              <w:rPr>
                <w:rFonts w:ascii="Times New Roman" w:hAnsi="Times New Roman" w:eastAsia="宋体"/>
                <w:bCs/>
                <w:color w:val="000000" w:themeColor="text1"/>
                <w:sz w:val="24"/>
              </w:rPr>
            </w:pPr>
            <w:r>
              <w:rPr>
                <w:rFonts w:ascii="Times New Roman" w:hAnsi="Times New Roman" w:eastAsia="宋体"/>
                <w:bCs/>
                <w:color w:val="000000" w:themeColor="text1"/>
                <w:sz w:val="24"/>
              </w:rPr>
              <w:t>废气处理过程</w:t>
            </w:r>
          </w:p>
        </w:tc>
        <w:tc>
          <w:tcPr>
            <w:tcW w:w="1241" w:type="dxa"/>
            <w:vAlign w:val="center"/>
          </w:tcPr>
          <w:p>
            <w:pPr>
              <w:jc w:val="center"/>
              <w:rPr>
                <w:rFonts w:ascii="Times New Roman" w:hAnsi="Times New Roman" w:eastAsia="宋体"/>
                <w:bCs/>
                <w:color w:val="000000" w:themeColor="text1"/>
                <w:sz w:val="24"/>
              </w:rPr>
            </w:pPr>
            <w:r>
              <w:rPr>
                <w:rFonts w:ascii="Times New Roman" w:hAnsi="Times New Roman" w:eastAsia="宋体"/>
                <w:bCs/>
                <w:color w:val="000000" w:themeColor="text1"/>
                <w:sz w:val="24"/>
              </w:rPr>
              <w:t>废催化剂</w:t>
            </w:r>
          </w:p>
        </w:tc>
        <w:tc>
          <w:tcPr>
            <w:tcW w:w="2956" w:type="dxa"/>
            <w:gridSpan w:val="2"/>
            <w:vAlign w:val="center"/>
          </w:tcPr>
          <w:p>
            <w:pPr>
              <w:adjustRightInd w:val="0"/>
              <w:snapToGrid w:val="0"/>
              <w:jc w:val="center"/>
              <w:rPr>
                <w:rFonts w:ascii="Times New Roman" w:hAnsi="Times New Roman" w:eastAsia="宋体"/>
                <w:color w:val="000000" w:themeColor="text1"/>
                <w:sz w:val="24"/>
              </w:rPr>
            </w:pPr>
            <w:r>
              <w:rPr>
                <w:rFonts w:hint="eastAsia" w:ascii="Times New Roman" w:hAnsi="Times New Roman" w:eastAsia="宋体"/>
                <w:color w:val="000000" w:themeColor="text1"/>
                <w:sz w:val="24"/>
              </w:rPr>
              <w:t>0.02t/a</w:t>
            </w:r>
          </w:p>
        </w:tc>
        <w:tc>
          <w:tcPr>
            <w:tcW w:w="2767" w:type="dxa"/>
            <w:gridSpan w:val="2"/>
            <w:vAlign w:val="center"/>
          </w:tcPr>
          <w:p>
            <w:pPr>
              <w:adjustRightInd w:val="0"/>
              <w:snapToGrid w:val="0"/>
              <w:jc w:val="center"/>
              <w:rPr>
                <w:rFonts w:ascii="Times New Roman" w:hAnsi="Times New Roman" w:eastAsia="宋体"/>
                <w:color w:val="000000" w:themeColor="text1"/>
                <w:sz w:val="24"/>
              </w:rPr>
            </w:pPr>
            <w:r>
              <w:rPr>
                <w:rFonts w:hint="eastAsia" w:ascii="Times New Roman" w:eastAsiaTheme="minorEastAsia"/>
                <w:color w:val="000000" w:themeColor="text1"/>
                <w:sz w:val="24"/>
              </w:rPr>
              <w:t>经收集后，定期交由厂家回收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atLeast"/>
          <w:jc w:val="center"/>
        </w:trPr>
        <w:tc>
          <w:tcPr>
            <w:tcW w:w="934" w:type="dxa"/>
            <w:vMerge w:val="continue"/>
            <w:vAlign w:val="center"/>
          </w:tcPr>
          <w:p>
            <w:pPr>
              <w:spacing w:line="240" w:lineRule="atLeast"/>
              <w:jc w:val="center"/>
              <w:rPr>
                <w:rFonts w:ascii="Times New Roman" w:hAnsi="Times New Roman" w:eastAsia="宋体"/>
                <w:b/>
                <w:bCs/>
                <w:color w:val="000000" w:themeColor="text1"/>
                <w:sz w:val="24"/>
              </w:rPr>
            </w:pPr>
          </w:p>
        </w:tc>
        <w:tc>
          <w:tcPr>
            <w:tcW w:w="1280" w:type="dxa"/>
            <w:vMerge w:val="continue"/>
            <w:vAlign w:val="center"/>
          </w:tcPr>
          <w:p>
            <w:pPr>
              <w:jc w:val="center"/>
              <w:rPr>
                <w:rFonts w:ascii="Times New Roman" w:hAnsi="Times New Roman" w:eastAsia="宋体"/>
                <w:bCs/>
                <w:color w:val="000000" w:themeColor="text1"/>
                <w:sz w:val="24"/>
              </w:rPr>
            </w:pPr>
          </w:p>
        </w:tc>
        <w:tc>
          <w:tcPr>
            <w:tcW w:w="1241" w:type="dxa"/>
            <w:vAlign w:val="center"/>
          </w:tcPr>
          <w:p>
            <w:pPr>
              <w:jc w:val="center"/>
              <w:rPr>
                <w:rFonts w:ascii="Times New Roman" w:hAnsi="Times New Roman" w:eastAsia="宋体"/>
                <w:bCs/>
                <w:color w:val="000000" w:themeColor="text1"/>
                <w:sz w:val="24"/>
              </w:rPr>
            </w:pPr>
            <w:r>
              <w:rPr>
                <w:rFonts w:ascii="Times New Roman" w:hAnsi="Times New Roman" w:eastAsia="宋体"/>
                <w:bCs/>
                <w:color w:val="000000" w:themeColor="text1"/>
                <w:sz w:val="24"/>
              </w:rPr>
              <w:t>废紫外灯管</w:t>
            </w:r>
          </w:p>
        </w:tc>
        <w:tc>
          <w:tcPr>
            <w:tcW w:w="2956" w:type="dxa"/>
            <w:gridSpan w:val="2"/>
            <w:vAlign w:val="center"/>
          </w:tcPr>
          <w:p>
            <w:pPr>
              <w:adjustRightInd w:val="0"/>
              <w:snapToGrid w:val="0"/>
              <w:jc w:val="center"/>
              <w:rPr>
                <w:rFonts w:ascii="Times New Roman" w:hAnsi="Times New Roman" w:eastAsia="宋体"/>
                <w:color w:val="000000" w:themeColor="text1"/>
                <w:sz w:val="24"/>
              </w:rPr>
            </w:pPr>
            <w:r>
              <w:rPr>
                <w:rFonts w:hint="eastAsia" w:ascii="Times New Roman" w:hAnsi="Times New Roman" w:eastAsia="宋体"/>
                <w:color w:val="000000" w:themeColor="text1"/>
                <w:sz w:val="24"/>
              </w:rPr>
              <w:t>7根/a</w:t>
            </w:r>
          </w:p>
        </w:tc>
        <w:tc>
          <w:tcPr>
            <w:tcW w:w="2767" w:type="dxa"/>
            <w:gridSpan w:val="2"/>
            <w:vAlign w:val="center"/>
          </w:tcPr>
          <w:p>
            <w:pPr>
              <w:adjustRightInd w:val="0"/>
              <w:snapToGrid w:val="0"/>
              <w:jc w:val="center"/>
              <w:rPr>
                <w:rFonts w:ascii="Times New Roman" w:hAnsi="Times New Roman" w:eastAsia="宋体"/>
                <w:color w:val="000000" w:themeColor="text1"/>
                <w:sz w:val="24"/>
              </w:rPr>
            </w:pPr>
            <w:r>
              <w:rPr>
                <w:rFonts w:hint="eastAsia" w:ascii="Times New Roman" w:eastAsiaTheme="minorEastAsia"/>
                <w:color w:val="000000" w:themeColor="text1"/>
                <w:sz w:val="24"/>
              </w:rPr>
              <w:t>经收集后，定期交由有资质单位处置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atLeast"/>
          <w:jc w:val="center"/>
        </w:trPr>
        <w:tc>
          <w:tcPr>
            <w:tcW w:w="934" w:type="dxa"/>
            <w:vMerge w:val="continue"/>
            <w:vAlign w:val="center"/>
          </w:tcPr>
          <w:p>
            <w:pPr>
              <w:spacing w:line="240" w:lineRule="atLeast"/>
              <w:jc w:val="center"/>
              <w:rPr>
                <w:rFonts w:ascii="Times New Roman" w:hAnsi="Times New Roman" w:eastAsia="宋体"/>
                <w:b/>
                <w:bCs/>
                <w:color w:val="000000" w:themeColor="text1"/>
                <w:sz w:val="24"/>
              </w:rPr>
            </w:pPr>
          </w:p>
        </w:tc>
        <w:tc>
          <w:tcPr>
            <w:tcW w:w="1280" w:type="dxa"/>
            <w:vMerge w:val="continue"/>
            <w:vAlign w:val="center"/>
          </w:tcPr>
          <w:p>
            <w:pPr>
              <w:jc w:val="center"/>
              <w:rPr>
                <w:rFonts w:ascii="Times New Roman" w:hAnsi="Times New Roman" w:eastAsia="宋体"/>
                <w:bCs/>
                <w:color w:val="000000" w:themeColor="text1"/>
                <w:sz w:val="24"/>
              </w:rPr>
            </w:pPr>
          </w:p>
        </w:tc>
        <w:tc>
          <w:tcPr>
            <w:tcW w:w="1241" w:type="dxa"/>
            <w:vAlign w:val="center"/>
          </w:tcPr>
          <w:p>
            <w:pPr>
              <w:jc w:val="center"/>
              <w:rPr>
                <w:rFonts w:ascii="Times New Roman" w:hAnsi="Times New Roman" w:eastAsia="宋体"/>
                <w:bCs/>
                <w:color w:val="000000" w:themeColor="text1"/>
                <w:sz w:val="24"/>
              </w:rPr>
            </w:pPr>
            <w:r>
              <w:rPr>
                <w:rFonts w:ascii="Times New Roman" w:hAnsi="Times New Roman" w:eastAsia="宋体"/>
                <w:bCs/>
                <w:color w:val="000000" w:themeColor="text1"/>
                <w:sz w:val="24"/>
              </w:rPr>
              <w:t>废活性炭</w:t>
            </w:r>
          </w:p>
        </w:tc>
        <w:tc>
          <w:tcPr>
            <w:tcW w:w="2956" w:type="dxa"/>
            <w:gridSpan w:val="2"/>
            <w:vAlign w:val="center"/>
          </w:tcPr>
          <w:p>
            <w:pPr>
              <w:adjustRightInd w:val="0"/>
              <w:snapToGrid w:val="0"/>
              <w:jc w:val="center"/>
              <w:rPr>
                <w:rFonts w:ascii="Times New Roman" w:hAnsi="Times New Roman" w:eastAsia="宋体"/>
                <w:color w:val="000000" w:themeColor="text1"/>
                <w:sz w:val="24"/>
              </w:rPr>
            </w:pPr>
            <w:r>
              <w:rPr>
                <w:rFonts w:hint="eastAsia" w:ascii="Times New Roman" w:hAnsi="Times New Roman" w:eastAsia="宋体"/>
                <w:color w:val="000000" w:themeColor="text1"/>
                <w:sz w:val="24"/>
              </w:rPr>
              <w:t>0.217</w:t>
            </w:r>
            <w:r>
              <w:rPr>
                <w:rFonts w:ascii="Times New Roman" w:hAnsi="Times New Roman" w:eastAsia="宋体"/>
                <w:color w:val="000000" w:themeColor="text1"/>
                <w:sz w:val="24"/>
              </w:rPr>
              <w:t>t/a</w:t>
            </w:r>
          </w:p>
        </w:tc>
        <w:tc>
          <w:tcPr>
            <w:tcW w:w="2767" w:type="dxa"/>
            <w:gridSpan w:val="2"/>
            <w:vAlign w:val="center"/>
          </w:tcPr>
          <w:p>
            <w:pPr>
              <w:adjustRightInd w:val="0"/>
              <w:snapToGrid w:val="0"/>
              <w:jc w:val="center"/>
              <w:rPr>
                <w:rFonts w:ascii="Times New Roman" w:hAnsi="Times New Roman" w:eastAsia="宋体"/>
                <w:color w:val="000000" w:themeColor="text1"/>
                <w:sz w:val="24"/>
              </w:rPr>
            </w:pPr>
            <w:r>
              <w:rPr>
                <w:rFonts w:hint="eastAsia" w:ascii="Times New Roman" w:eastAsiaTheme="minorEastAsia"/>
                <w:color w:val="000000" w:themeColor="text1"/>
                <w:sz w:val="24"/>
              </w:rPr>
              <w:t>经收集后，定期交由有资质单位处置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8" w:hRule="atLeast"/>
          <w:jc w:val="center"/>
        </w:trPr>
        <w:tc>
          <w:tcPr>
            <w:tcW w:w="934" w:type="dxa"/>
            <w:vAlign w:val="center"/>
          </w:tcPr>
          <w:p>
            <w:pPr>
              <w:spacing w:line="440" w:lineRule="exact"/>
              <w:jc w:val="center"/>
              <w:rPr>
                <w:rFonts w:ascii="Times New Roman" w:hAnsi="Times New Roman" w:eastAsia="宋体"/>
                <w:b/>
                <w:bCs/>
                <w:color w:val="000000" w:themeColor="text1"/>
                <w:sz w:val="24"/>
              </w:rPr>
            </w:pPr>
            <w:r>
              <w:rPr>
                <w:rFonts w:ascii="Times New Roman" w:hAnsi="Times New Roman" w:eastAsia="宋体"/>
                <w:b/>
                <w:bCs/>
                <w:color w:val="000000" w:themeColor="text1"/>
                <w:sz w:val="24"/>
              </w:rPr>
              <w:t>噪</w:t>
            </w:r>
          </w:p>
          <w:p>
            <w:pPr>
              <w:spacing w:line="440" w:lineRule="exact"/>
              <w:jc w:val="center"/>
              <w:rPr>
                <w:rFonts w:ascii="Times New Roman" w:hAnsi="Times New Roman" w:eastAsia="宋体"/>
                <w:b/>
                <w:bCs/>
                <w:color w:val="000000" w:themeColor="text1"/>
                <w:sz w:val="24"/>
              </w:rPr>
            </w:pPr>
            <w:r>
              <w:rPr>
                <w:rFonts w:ascii="Times New Roman" w:hAnsi="Times New Roman" w:eastAsia="宋体"/>
                <w:b/>
                <w:bCs/>
                <w:color w:val="000000" w:themeColor="text1"/>
                <w:sz w:val="24"/>
              </w:rPr>
              <w:t>声</w:t>
            </w:r>
          </w:p>
        </w:tc>
        <w:tc>
          <w:tcPr>
            <w:tcW w:w="8244" w:type="dxa"/>
            <w:gridSpan w:val="6"/>
            <w:vAlign w:val="center"/>
          </w:tcPr>
          <w:p>
            <w:pPr>
              <w:ind w:firstLine="480" w:firstLineChars="200"/>
              <w:jc w:val="left"/>
              <w:rPr>
                <w:rFonts w:ascii="Times New Roman" w:hAnsi="Times New Roman" w:eastAsia="宋体"/>
                <w:color w:val="000000" w:themeColor="text1"/>
                <w:sz w:val="24"/>
              </w:rPr>
            </w:pPr>
            <w:r>
              <w:rPr>
                <w:rFonts w:ascii="Times New Roman" w:hAnsi="Times New Roman" w:eastAsia="宋体"/>
                <w:color w:val="000000" w:themeColor="text1"/>
                <w:sz w:val="24"/>
              </w:rPr>
              <w:t>本项目噪声主要是</w:t>
            </w:r>
            <w:r>
              <w:rPr>
                <w:rFonts w:hint="eastAsia" w:ascii="Times New Roman" w:hAnsi="宋体" w:eastAsia="宋体"/>
                <w:bCs/>
                <w:color w:val="000000" w:themeColor="text1"/>
                <w:sz w:val="24"/>
              </w:rPr>
              <w:t>高周波塑熔机和</w:t>
            </w:r>
            <w:r>
              <w:rPr>
                <w:rFonts w:hint="eastAsia" w:ascii="Times New Roman" w:hAnsi="Times New Roman" w:eastAsia="宋体"/>
                <w:color w:val="000000" w:themeColor="text1"/>
                <w:sz w:val="24"/>
              </w:rPr>
              <w:t>空压机</w:t>
            </w:r>
            <w:r>
              <w:rPr>
                <w:rFonts w:ascii="Times New Roman" w:hAnsi="Times New Roman" w:eastAsia="宋体"/>
                <w:color w:val="000000" w:themeColor="text1"/>
                <w:sz w:val="24"/>
              </w:rPr>
              <w:t>设备运行时产生的噪声，噪声源强在60~75dB(A)之间。经采取</w:t>
            </w:r>
            <w:r>
              <w:rPr>
                <w:rFonts w:hint="eastAsia" w:asciiTheme="minorEastAsia" w:hAnsiTheme="minorEastAsia" w:eastAsiaTheme="minorEastAsia"/>
                <w:color w:val="000000" w:themeColor="text1"/>
                <w:sz w:val="24"/>
              </w:rPr>
              <w:t>基础减振、距离衰减、厂房隔声</w:t>
            </w:r>
            <w:r>
              <w:rPr>
                <w:rFonts w:ascii="Times New Roman" w:hAnsi="Times New Roman" w:eastAsia="宋体"/>
                <w:color w:val="000000" w:themeColor="text1"/>
                <w:sz w:val="24"/>
              </w:rPr>
              <w:t>措施后，厂界噪声能达到《工业企业厂界环境噪声排放标准》（GB12348 -2008）</w:t>
            </w:r>
            <w:r>
              <w:rPr>
                <w:rFonts w:hint="eastAsia" w:ascii="Times New Roman" w:hAnsi="Times New Roman" w:eastAsia="宋体"/>
                <w:color w:val="000000" w:themeColor="text1"/>
                <w:sz w:val="24"/>
              </w:rPr>
              <w:t>3</w:t>
            </w:r>
            <w:r>
              <w:rPr>
                <w:rFonts w:ascii="Times New Roman" w:hAnsi="Times New Roman" w:eastAsia="宋体"/>
                <w:color w:val="000000" w:themeColor="text1"/>
                <w:sz w:val="24"/>
              </w:rPr>
              <w:t>类标准要求，对周围声环境影响较小。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34" w:type="dxa"/>
            <w:vAlign w:val="center"/>
          </w:tcPr>
          <w:p>
            <w:pPr>
              <w:jc w:val="center"/>
              <w:rPr>
                <w:rFonts w:ascii="Times New Roman" w:hAnsi="Times New Roman" w:eastAsia="宋体"/>
                <w:b/>
                <w:bCs/>
                <w:color w:val="000000" w:themeColor="text1"/>
                <w:sz w:val="24"/>
              </w:rPr>
            </w:pPr>
            <w:r>
              <w:rPr>
                <w:rFonts w:ascii="Times New Roman" w:hAnsi="Times New Roman" w:eastAsia="宋体"/>
                <w:b/>
                <w:bCs/>
                <w:color w:val="000000" w:themeColor="text1"/>
                <w:sz w:val="24"/>
              </w:rPr>
              <w:t>其他</w:t>
            </w:r>
          </w:p>
        </w:tc>
        <w:tc>
          <w:tcPr>
            <w:tcW w:w="8244" w:type="dxa"/>
            <w:gridSpan w:val="6"/>
            <w:vAlign w:val="center"/>
          </w:tcPr>
          <w:p>
            <w:pPr>
              <w:jc w:val="center"/>
              <w:rPr>
                <w:rFonts w:ascii="Times New Roman" w:hAnsi="Times New Roman" w:eastAsia="宋体"/>
                <w:color w:val="000000" w:themeColor="text1"/>
                <w:sz w:val="24"/>
              </w:rPr>
            </w:pPr>
            <w:r>
              <w:rPr>
                <w:rFonts w:ascii="Times New Roman" w:hAnsi="Times New Roman" w:eastAsia="宋体"/>
                <w:color w:val="000000" w:themeColor="text1"/>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8" w:hRule="atLeast"/>
          <w:jc w:val="center"/>
        </w:trPr>
        <w:tc>
          <w:tcPr>
            <w:tcW w:w="9178" w:type="dxa"/>
            <w:gridSpan w:val="7"/>
            <w:vAlign w:val="center"/>
          </w:tcPr>
          <w:p>
            <w:pPr>
              <w:spacing w:line="400" w:lineRule="exact"/>
              <w:jc w:val="left"/>
              <w:rPr>
                <w:rFonts w:ascii="Times New Roman" w:hAnsi="Times New Roman" w:eastAsia="宋体"/>
                <w:b/>
                <w:bCs/>
                <w:color w:val="000000" w:themeColor="text1"/>
                <w:sz w:val="24"/>
              </w:rPr>
            </w:pPr>
            <w:r>
              <w:rPr>
                <w:rFonts w:ascii="Times New Roman" w:hAnsi="Times New Roman" w:eastAsia="宋体"/>
                <w:b/>
                <w:bCs/>
                <w:color w:val="000000" w:themeColor="text1"/>
                <w:sz w:val="24"/>
              </w:rPr>
              <w:t>主要生态影响：</w:t>
            </w:r>
          </w:p>
          <w:p>
            <w:pPr>
              <w:spacing w:line="400" w:lineRule="exact"/>
              <w:ind w:firstLine="420"/>
              <w:jc w:val="left"/>
              <w:rPr>
                <w:rFonts w:ascii="Times New Roman" w:hAnsi="Times New Roman" w:eastAsia="宋体"/>
                <w:color w:val="000000" w:themeColor="text1"/>
                <w:sz w:val="24"/>
              </w:rPr>
            </w:pPr>
            <w:r>
              <w:rPr>
                <w:rFonts w:ascii="Times New Roman" w:hAnsi="Times New Roman" w:eastAsia="宋体"/>
                <w:color w:val="000000" w:themeColor="text1"/>
                <w:sz w:val="24"/>
              </w:rPr>
              <w:t>本项目运营期各污染物得到有效处理，不会对生态造成明显的影响，项目实施后，随着绿化措施的实施，区域生物量损失将得到一定补偿，起到美化环境、降尘、降噪的作用。</w:t>
            </w:r>
          </w:p>
          <w:p>
            <w:pPr>
              <w:pStyle w:val="2"/>
              <w:jc w:val="both"/>
              <w:rPr>
                <w:color w:val="000000" w:themeColor="text1"/>
              </w:rPr>
            </w:pPr>
          </w:p>
          <w:p>
            <w:pPr>
              <w:rPr>
                <w:color w:val="000000" w:themeColor="text1"/>
              </w:rPr>
            </w:pPr>
          </w:p>
          <w:p>
            <w:pPr>
              <w:pStyle w:val="2"/>
              <w:rPr>
                <w:color w:val="000000" w:themeColor="text1"/>
              </w:rPr>
            </w:pPr>
          </w:p>
          <w:p>
            <w:pPr>
              <w:rPr>
                <w:color w:val="000000" w:themeColor="text1"/>
              </w:rPr>
            </w:pPr>
          </w:p>
          <w:p>
            <w:pPr>
              <w:pStyle w:val="2"/>
              <w:rPr>
                <w:color w:val="000000" w:themeColor="text1"/>
              </w:rPr>
            </w:pPr>
          </w:p>
          <w:p>
            <w:pPr>
              <w:rPr>
                <w:color w:val="000000" w:themeColor="text1"/>
              </w:rPr>
            </w:pPr>
          </w:p>
          <w:p>
            <w:pPr>
              <w:pStyle w:val="2"/>
              <w:rPr>
                <w:color w:val="000000" w:themeColor="text1"/>
              </w:rPr>
            </w:pPr>
          </w:p>
          <w:p>
            <w:pPr>
              <w:rPr>
                <w:color w:val="000000" w:themeColor="text1"/>
              </w:rPr>
            </w:pPr>
          </w:p>
        </w:tc>
      </w:tr>
    </w:tbl>
    <w:p>
      <w:pPr>
        <w:spacing w:line="500" w:lineRule="exact"/>
        <w:outlineLvl w:val="0"/>
        <w:rPr>
          <w:b/>
          <w:color w:val="000000" w:themeColor="text1"/>
          <w:sz w:val="32"/>
          <w:szCs w:val="32"/>
        </w:rPr>
      </w:pPr>
      <w:r>
        <w:rPr>
          <w:rFonts w:hint="eastAsia" w:hAnsi="宋体"/>
          <w:b/>
          <w:color w:val="000000" w:themeColor="text1"/>
          <w:sz w:val="32"/>
          <w:szCs w:val="32"/>
        </w:rPr>
        <w:t>环境影响分析</w:t>
      </w:r>
    </w:p>
    <w:tbl>
      <w:tblPr>
        <w:tblStyle w:val="24"/>
        <w:tblW w:w="497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57" w:type="dxa"/>
          <w:bottom w:w="0" w:type="dxa"/>
          <w:right w:w="57" w:type="dxa"/>
        </w:tblCellMar>
      </w:tblPr>
      <w:tblGrid>
        <w:gridCol w:w="91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225" w:hRule="atLeast"/>
          <w:jc w:val="center"/>
        </w:trPr>
        <w:tc>
          <w:tcPr>
            <w:tcW w:w="5000" w:type="pct"/>
          </w:tcPr>
          <w:p>
            <w:pPr>
              <w:adjustRightInd w:val="0"/>
              <w:snapToGrid w:val="0"/>
              <w:spacing w:line="440" w:lineRule="exact"/>
              <w:rPr>
                <w:rFonts w:ascii="Times New Roman" w:hAnsi="Times New Roman" w:eastAsia="宋体"/>
                <w:b/>
                <w:color w:val="000000" w:themeColor="text1"/>
                <w:sz w:val="24"/>
              </w:rPr>
            </w:pPr>
            <w:r>
              <w:rPr>
                <w:rFonts w:ascii="Times New Roman" w:hAnsi="Times New Roman" w:eastAsia="宋体"/>
                <w:b/>
                <w:color w:val="000000" w:themeColor="text1"/>
                <w:sz w:val="24"/>
              </w:rPr>
              <w:t>施工期环境影响分析：</w:t>
            </w:r>
          </w:p>
          <w:p>
            <w:pPr>
              <w:pStyle w:val="47"/>
              <w:spacing w:line="440" w:lineRule="exact"/>
              <w:ind w:firstLine="480"/>
              <w:rPr>
                <w:rFonts w:ascii="Times New Roman" w:hAnsi="Times New Roman" w:eastAsia="宋体"/>
                <w:color w:val="000000" w:themeColor="text1"/>
                <w:szCs w:val="24"/>
              </w:rPr>
            </w:pPr>
            <w:r>
              <w:rPr>
                <w:rFonts w:ascii="Times New Roman" w:hAnsi="Times New Roman" w:eastAsia="宋体"/>
                <w:color w:val="000000" w:themeColor="text1"/>
                <w:szCs w:val="24"/>
              </w:rPr>
              <w:t>本项目</w:t>
            </w:r>
            <w:r>
              <w:rPr>
                <w:rFonts w:hint="eastAsia" w:ascii="Times New Roman" w:eastAsia="宋体"/>
                <w:color w:val="000000" w:themeColor="text1"/>
              </w:rPr>
              <w:t>利用现有厂房进行建设</w:t>
            </w:r>
            <w:r>
              <w:rPr>
                <w:rFonts w:ascii="Times New Roman" w:hAnsi="Times New Roman" w:eastAsia="宋体"/>
                <w:color w:val="000000" w:themeColor="text1"/>
                <w:szCs w:val="24"/>
              </w:rPr>
              <w:t>，不涉及到建筑物的施工建设，只需要安装设备，故本评价不对施工期环境影响进行分析。</w:t>
            </w:r>
          </w:p>
          <w:p>
            <w:pPr>
              <w:spacing w:line="440" w:lineRule="exact"/>
              <w:rPr>
                <w:rFonts w:ascii="Times New Roman" w:hAnsi="Times New Roman" w:eastAsia="宋体"/>
                <w:b/>
                <w:color w:val="000000" w:themeColor="text1"/>
                <w:sz w:val="24"/>
              </w:rPr>
            </w:pPr>
            <w:r>
              <w:rPr>
                <w:rFonts w:ascii="Times New Roman" w:hAnsi="Times New Roman" w:eastAsia="宋体"/>
                <w:b/>
                <w:color w:val="000000" w:themeColor="text1"/>
                <w:sz w:val="24"/>
              </w:rPr>
              <w:pict>
                <v:shape id="自选图形 140" o:spid="_x0000_s1093" o:spt="32" type="#_x0000_t32" style="position:absolute;left:0pt;margin-left:-1.85pt;margin-top:4.5pt;height:0pt;width:459.2pt;z-index:251640832;mso-width-relative:page;mso-height-relative:page;" filled="f" coordsize="21600,21600" adj="-3262,-1,-3262">
                  <v:path arrowok="t"/>
                  <v:fill on="f" focussize="0,0"/>
                  <v:stroke/>
                  <v:imagedata o:title=""/>
                  <o:lock v:ext="edit"/>
                </v:shape>
              </w:pict>
            </w:r>
            <w:r>
              <w:rPr>
                <w:rFonts w:ascii="Times New Roman" w:hAnsi="Times New Roman" w:eastAsia="宋体"/>
                <w:b/>
                <w:color w:val="000000" w:themeColor="text1"/>
                <w:sz w:val="24"/>
              </w:rPr>
              <w:t>营运期环境影响分析：</w:t>
            </w:r>
          </w:p>
          <w:p>
            <w:pPr>
              <w:adjustRightInd w:val="0"/>
              <w:snapToGrid w:val="0"/>
              <w:spacing w:line="440" w:lineRule="exact"/>
              <w:ind w:firstLine="480" w:firstLineChars="200"/>
              <w:rPr>
                <w:rFonts w:ascii="Times New Roman" w:hAnsi="Times New Roman" w:eastAsia="宋体"/>
                <w:color w:val="000000" w:themeColor="text1"/>
                <w:sz w:val="24"/>
              </w:rPr>
            </w:pPr>
            <w:r>
              <w:rPr>
                <w:rFonts w:ascii="Times New Roman" w:hAnsi="Times New Roman" w:eastAsia="宋体"/>
                <w:color w:val="000000" w:themeColor="text1"/>
                <w:sz w:val="24"/>
              </w:rPr>
              <w:t>本项目营运期对环境的影响主要是生产过程中产生的废气、废水、噪声、固废。全厂运营后的环境影响分析如下：</w:t>
            </w:r>
          </w:p>
          <w:p>
            <w:pPr>
              <w:pStyle w:val="113"/>
              <w:adjustRightInd w:val="0"/>
              <w:snapToGrid w:val="0"/>
              <w:spacing w:line="440" w:lineRule="exact"/>
              <w:ind w:firstLine="482"/>
              <w:rPr>
                <w:rFonts w:ascii="Times New Roman" w:hAnsi="Times New Roman" w:eastAsia="宋体"/>
                <w:b/>
                <w:color w:val="000000" w:themeColor="text1"/>
                <w:sz w:val="24"/>
              </w:rPr>
            </w:pPr>
            <w:r>
              <w:rPr>
                <w:rFonts w:ascii="Times New Roman" w:hAnsi="Times New Roman" w:eastAsia="宋体"/>
                <w:b/>
                <w:color w:val="000000" w:themeColor="text1"/>
                <w:sz w:val="24"/>
              </w:rPr>
              <w:t>一、大气环境影响分析</w:t>
            </w:r>
          </w:p>
          <w:p>
            <w:pPr>
              <w:pStyle w:val="106"/>
              <w:spacing w:line="440" w:lineRule="exact"/>
              <w:ind w:firstLine="480"/>
              <w:rPr>
                <w:rFonts w:ascii="Times New Roman" w:hAnsi="Times New Roman" w:eastAsia="宋体"/>
                <w:color w:val="000000" w:themeColor="text1"/>
              </w:rPr>
            </w:pPr>
            <w:r>
              <w:rPr>
                <w:rFonts w:ascii="Times New Roman" w:hAnsi="Times New Roman" w:eastAsia="宋体"/>
                <w:color w:val="000000" w:themeColor="text1"/>
              </w:rPr>
              <w:t>本项目运营期产生的废气主要为压合工序产生的非甲烷总烃。</w:t>
            </w:r>
          </w:p>
          <w:p>
            <w:pPr>
              <w:pStyle w:val="106"/>
              <w:spacing w:line="440" w:lineRule="exact"/>
              <w:ind w:firstLine="482" w:firstLineChars="200"/>
              <w:jc w:val="both"/>
              <w:rPr>
                <w:rFonts w:ascii="Times New Roman" w:hAnsi="Times New Roman" w:eastAsia="宋体"/>
                <w:b/>
                <w:bCs/>
                <w:color w:val="000000" w:themeColor="text1"/>
              </w:rPr>
            </w:pPr>
            <w:r>
              <w:rPr>
                <w:rFonts w:ascii="Times New Roman" w:hAnsi="Times New Roman" w:eastAsia="宋体"/>
                <w:b/>
                <w:bCs/>
                <w:color w:val="000000" w:themeColor="text1"/>
              </w:rPr>
              <w:t>1、废气分析</w:t>
            </w:r>
          </w:p>
          <w:p>
            <w:pPr>
              <w:pStyle w:val="106"/>
              <w:spacing w:line="440" w:lineRule="exact"/>
              <w:ind w:firstLine="482" w:firstLineChars="200"/>
              <w:jc w:val="both"/>
              <w:rPr>
                <w:rFonts w:ascii="Times New Roman" w:hAnsi="Times New Roman" w:eastAsia="宋体"/>
                <w:b/>
                <w:bCs/>
                <w:color w:val="000000" w:themeColor="text1"/>
                <w:spacing w:val="-7"/>
              </w:rPr>
            </w:pPr>
            <w:r>
              <w:rPr>
                <w:rFonts w:ascii="Times New Roman" w:hAnsi="Times New Roman" w:eastAsia="宋体"/>
                <w:b/>
                <w:bCs/>
                <w:color w:val="000000" w:themeColor="text1"/>
              </w:rPr>
              <w:t>（1） 压合工序产生的非甲烷总烃</w:t>
            </w:r>
          </w:p>
          <w:p>
            <w:pPr>
              <w:spacing w:line="440" w:lineRule="exact"/>
              <w:ind w:firstLine="480" w:firstLineChars="200"/>
              <w:rPr>
                <w:rFonts w:ascii="Times New Roman" w:hAnsi="Times New Roman" w:eastAsia="宋体"/>
                <w:color w:val="000000" w:themeColor="text1"/>
                <w:sz w:val="24"/>
              </w:rPr>
            </w:pPr>
            <w:r>
              <w:rPr>
                <w:rFonts w:ascii="Times New Roman" w:hAnsi="Times New Roman" w:eastAsia="宋体"/>
                <w:color w:val="000000" w:themeColor="text1"/>
                <w:sz w:val="24"/>
              </w:rPr>
              <w:fldChar w:fldCharType="begin"/>
            </w:r>
            <w:r>
              <w:rPr>
                <w:rFonts w:ascii="Times New Roman" w:hAnsi="Times New Roman" w:eastAsia="宋体"/>
                <w:color w:val="000000" w:themeColor="text1"/>
                <w:sz w:val="24"/>
              </w:rPr>
              <w:instrText xml:space="preserve"> </w:instrText>
            </w:r>
            <w:r>
              <w:rPr>
                <w:rFonts w:hint="eastAsia" w:ascii="Times New Roman" w:hAnsi="Times New Roman" w:eastAsia="宋体"/>
                <w:color w:val="000000" w:themeColor="text1"/>
                <w:sz w:val="24"/>
              </w:rPr>
              <w:instrText xml:space="preserve">= 1 \* GB3</w:instrText>
            </w:r>
            <w:r>
              <w:rPr>
                <w:rFonts w:ascii="Times New Roman" w:hAnsi="Times New Roman" w:eastAsia="宋体"/>
                <w:color w:val="000000" w:themeColor="text1"/>
                <w:sz w:val="24"/>
              </w:rPr>
              <w:instrText xml:space="preserve"> </w:instrText>
            </w:r>
            <w:r>
              <w:rPr>
                <w:rFonts w:ascii="Times New Roman" w:hAnsi="Times New Roman" w:eastAsia="宋体"/>
                <w:color w:val="000000" w:themeColor="text1"/>
                <w:sz w:val="24"/>
              </w:rPr>
              <w:fldChar w:fldCharType="separate"/>
            </w:r>
            <w:r>
              <w:rPr>
                <w:rFonts w:hint="eastAsia" w:ascii="Times New Roman" w:hAnsi="Times New Roman" w:eastAsia="宋体"/>
                <w:color w:val="000000" w:themeColor="text1"/>
                <w:sz w:val="24"/>
              </w:rPr>
              <w:t>①</w:t>
            </w:r>
            <w:r>
              <w:rPr>
                <w:rFonts w:ascii="Times New Roman" w:hAnsi="Times New Roman" w:eastAsia="宋体"/>
                <w:color w:val="000000" w:themeColor="text1"/>
                <w:sz w:val="24"/>
              </w:rPr>
              <w:fldChar w:fldCharType="end"/>
            </w:r>
            <w:r>
              <w:rPr>
                <w:rFonts w:ascii="Times New Roman" w:hAnsi="Times New Roman" w:eastAsia="宋体"/>
                <w:color w:val="000000" w:themeColor="text1"/>
                <w:sz w:val="24"/>
              </w:rPr>
              <w:t>废气分析</w:t>
            </w:r>
          </w:p>
          <w:p>
            <w:pPr>
              <w:spacing w:line="440" w:lineRule="exact"/>
              <w:ind w:firstLine="480" w:firstLineChars="200"/>
              <w:rPr>
                <w:rFonts w:ascii="Times New Roman" w:hAnsi="Times New Roman" w:eastAsia="宋体" w:cs="宋体"/>
                <w:color w:val="000000" w:themeColor="text1"/>
                <w:kern w:val="0"/>
                <w:sz w:val="24"/>
              </w:rPr>
            </w:pPr>
            <w:r>
              <w:rPr>
                <w:rFonts w:hint="eastAsia" w:ascii="Times New Roman" w:hAnsi="Times New Roman" w:eastAsia="宋体"/>
                <w:color w:val="000000" w:themeColor="text1"/>
                <w:sz w:val="24"/>
              </w:rPr>
              <w:t>本项目在压合工序会产生一定量的非甲烷总烃。本项目塑料皮帘的使用量为816t/a，</w:t>
            </w:r>
            <w:r>
              <w:rPr>
                <w:rFonts w:hint="eastAsia" w:ascii="Times New Roman" w:eastAsia="宋体"/>
                <w:color w:val="000000" w:themeColor="text1"/>
                <w:sz w:val="24"/>
              </w:rPr>
              <w:t>根据《空气污染物排放和控制手册》（美国国家环保局）中推荐的公式，该手册认为在无控制措施时，非甲烷总烃的排放系数为</w:t>
            </w:r>
            <w:r>
              <w:rPr>
                <w:rFonts w:ascii="Times New Roman" w:hAnsi="Times New Roman" w:eastAsia="宋体"/>
                <w:color w:val="000000" w:themeColor="text1"/>
                <w:sz w:val="24"/>
              </w:rPr>
              <w:t>0.35kg/t</w:t>
            </w:r>
            <w:r>
              <w:rPr>
                <w:rFonts w:hint="eastAsia" w:ascii="Times New Roman" w:eastAsia="宋体"/>
                <w:color w:val="000000" w:themeColor="text1"/>
                <w:sz w:val="24"/>
              </w:rPr>
              <w:t>原料。</w:t>
            </w:r>
            <w:r>
              <w:rPr>
                <w:rFonts w:hint="eastAsia" w:ascii="Times New Roman" w:eastAsia="宋体"/>
                <w:snapToGrid w:val="0"/>
                <w:color w:val="000000" w:themeColor="text1"/>
                <w:sz w:val="24"/>
              </w:rPr>
              <w:t>经计算，本项目</w:t>
            </w:r>
            <w:r>
              <w:rPr>
                <w:rFonts w:hint="eastAsia" w:ascii="Times New Roman" w:hAnsi="Times New Roman" w:eastAsia="宋体"/>
                <w:color w:val="000000" w:themeColor="text1"/>
                <w:sz w:val="24"/>
              </w:rPr>
              <w:t>压合工序非甲烷总烃的产生量为0.2856t/a，</w:t>
            </w:r>
            <w:r>
              <w:rPr>
                <w:rFonts w:hint="eastAsia" w:ascii="Times New Roman" w:eastAsia="宋体"/>
                <w:color w:val="000000" w:themeColor="text1"/>
                <w:sz w:val="24"/>
              </w:rPr>
              <w:t>压合工序运行时间按</w:t>
            </w:r>
            <w:r>
              <w:rPr>
                <w:rFonts w:hint="eastAsia" w:ascii="Times New Roman" w:hAnsi="Times New Roman" w:eastAsia="宋体"/>
                <w:color w:val="000000" w:themeColor="text1"/>
                <w:sz w:val="24"/>
              </w:rPr>
              <w:t>1800</w:t>
            </w:r>
            <w:r>
              <w:rPr>
                <w:rFonts w:ascii="Times New Roman" w:hAnsi="Times New Roman" w:eastAsia="宋体"/>
                <w:color w:val="000000" w:themeColor="text1"/>
                <w:sz w:val="24"/>
              </w:rPr>
              <w:t>h/a</w:t>
            </w:r>
            <w:r>
              <w:rPr>
                <w:rFonts w:hint="eastAsia" w:ascii="Times New Roman" w:eastAsia="宋体"/>
                <w:color w:val="000000" w:themeColor="text1"/>
                <w:sz w:val="24"/>
              </w:rPr>
              <w:t>计，则压合工序非甲烷总烃产生速率为</w:t>
            </w:r>
            <w:r>
              <w:rPr>
                <w:rFonts w:hint="eastAsia" w:ascii="Times New Roman" w:hAnsi="Times New Roman" w:eastAsia="宋体"/>
                <w:color w:val="000000" w:themeColor="text1"/>
                <w:sz w:val="24"/>
              </w:rPr>
              <w:t>0.1587</w:t>
            </w:r>
            <w:r>
              <w:rPr>
                <w:rFonts w:ascii="Times New Roman" w:hAnsi="Times New Roman" w:eastAsia="宋体"/>
                <w:color w:val="000000" w:themeColor="text1"/>
                <w:sz w:val="24"/>
              </w:rPr>
              <w:t>kg/h</w:t>
            </w:r>
            <w:r>
              <w:rPr>
                <w:rFonts w:hint="eastAsia" w:ascii="Times New Roman" w:eastAsia="宋体"/>
                <w:color w:val="000000" w:themeColor="text1"/>
                <w:sz w:val="24"/>
              </w:rPr>
              <w:t>。</w:t>
            </w:r>
          </w:p>
          <w:p>
            <w:pPr>
              <w:adjustRightInd w:val="0"/>
              <w:snapToGrid w:val="0"/>
              <w:spacing w:line="440" w:lineRule="exact"/>
              <w:ind w:firstLine="480" w:firstLineChars="200"/>
              <w:rPr>
                <w:rFonts w:ascii="Times New Roman" w:eastAsia="宋体"/>
                <w:color w:val="000000" w:themeColor="text1"/>
                <w:sz w:val="24"/>
              </w:rPr>
            </w:pPr>
            <w:r>
              <w:rPr>
                <w:rFonts w:hint="eastAsia" w:ascii="Times New Roman" w:hAnsi="Times New Roman" w:eastAsia="宋体"/>
                <w:color w:val="000000" w:themeColor="text1"/>
                <w:sz w:val="24"/>
              </w:rPr>
              <w:t>为减少非甲烷总烃对员工及周边环境的不利影响，评价要求</w:t>
            </w:r>
            <w:r>
              <w:rPr>
                <w:rFonts w:hint="eastAsia" w:ascii="Times New Roman" w:hAnsi="Times New Roman" w:eastAsia="宋体"/>
                <w:bCs/>
                <w:color w:val="000000" w:themeColor="text1"/>
                <w:kern w:val="21"/>
                <w:sz w:val="24"/>
              </w:rPr>
              <w:t>压合工序位于封闭的生产车间内，</w:t>
            </w:r>
            <w:r>
              <w:rPr>
                <w:rFonts w:hint="eastAsia" w:ascii="Times New Roman" w:hAnsi="Times New Roman" w:eastAsia="宋体"/>
                <w:bCs/>
                <w:color w:val="000000" w:themeColor="text1"/>
                <w:sz w:val="24"/>
              </w:rPr>
              <w:t>高周波塑熔机</w:t>
            </w:r>
            <w:r>
              <w:rPr>
                <w:rFonts w:hint="eastAsia" w:ascii="Times New Roman" w:hAnsi="Times New Roman" w:eastAsia="宋体"/>
                <w:color w:val="000000" w:themeColor="text1"/>
                <w:sz w:val="24"/>
              </w:rPr>
              <w:t>工作平台顶部安装封闭罩；</w:t>
            </w:r>
            <w:r>
              <w:rPr>
                <w:rFonts w:hint="eastAsia" w:ascii="Times New Roman" w:hAnsi="Times New Roman" w:eastAsia="宋体"/>
                <w:color w:val="000000" w:themeColor="text1"/>
                <w:spacing w:val="-4"/>
                <w:sz w:val="24"/>
              </w:rPr>
              <w:t>集气装置的进风口和设备顶部封闭罩连接；企业在</w:t>
            </w:r>
            <w:r>
              <w:rPr>
                <w:rFonts w:hint="eastAsia" w:ascii="Times New Roman" w:hAnsi="Times New Roman" w:eastAsia="宋体"/>
                <w:bCs/>
                <w:color w:val="000000" w:themeColor="text1"/>
                <w:sz w:val="24"/>
              </w:rPr>
              <w:t>高周波塑熔机</w:t>
            </w:r>
            <w:r>
              <w:rPr>
                <w:rFonts w:hint="eastAsia" w:ascii="Times New Roman" w:hAnsi="Times New Roman" w:eastAsia="宋体"/>
                <w:color w:val="000000" w:themeColor="text1"/>
                <w:sz w:val="24"/>
              </w:rPr>
              <w:t>工作平台顶部安装封闭罩（6个封闭集气罩，风量约为2000</w:t>
            </w:r>
            <w:r>
              <w:rPr>
                <w:rFonts w:ascii="Times New Roman" w:hAnsi="Times New Roman" w:eastAsia="宋体"/>
                <w:color w:val="000000" w:themeColor="text1"/>
                <w:sz w:val="24"/>
              </w:rPr>
              <w:t>m</w:t>
            </w:r>
            <w:r>
              <w:rPr>
                <w:rFonts w:ascii="Times New Roman" w:hAnsi="Times New Roman" w:eastAsia="宋体"/>
                <w:color w:val="000000" w:themeColor="text1"/>
                <w:sz w:val="24"/>
                <w:vertAlign w:val="superscript"/>
              </w:rPr>
              <w:t>3</w:t>
            </w:r>
            <w:r>
              <w:rPr>
                <w:rFonts w:ascii="Times New Roman" w:hAnsi="Times New Roman" w:eastAsia="宋体"/>
                <w:color w:val="000000" w:themeColor="text1"/>
                <w:sz w:val="24"/>
              </w:rPr>
              <w:t>/h</w:t>
            </w:r>
            <w:r>
              <w:rPr>
                <w:rFonts w:hint="eastAsia" w:ascii="Times New Roman" w:hAnsi="Times New Roman" w:eastAsia="宋体"/>
                <w:color w:val="000000" w:themeColor="text1"/>
                <w:sz w:val="24"/>
              </w:rPr>
              <w:t>、集气效率为</w:t>
            </w:r>
            <w:r>
              <w:rPr>
                <w:rFonts w:ascii="Times New Roman" w:hAnsi="Times New Roman" w:eastAsia="宋体"/>
                <w:color w:val="000000" w:themeColor="text1"/>
                <w:sz w:val="24"/>
              </w:rPr>
              <w:t>95%</w:t>
            </w:r>
            <w:r>
              <w:rPr>
                <w:rFonts w:hint="eastAsia" w:ascii="Times New Roman" w:hAnsi="Times New Roman" w:eastAsia="宋体"/>
                <w:color w:val="000000" w:themeColor="text1"/>
                <w:sz w:val="24"/>
              </w:rPr>
              <w:t>、年工作18</w:t>
            </w:r>
            <w:r>
              <w:rPr>
                <w:rFonts w:ascii="Times New Roman" w:hAnsi="Times New Roman" w:eastAsia="宋体"/>
                <w:color w:val="000000" w:themeColor="text1"/>
                <w:sz w:val="24"/>
              </w:rPr>
              <w:t>00h</w:t>
            </w:r>
            <w:r>
              <w:rPr>
                <w:rFonts w:hint="eastAsia" w:ascii="Times New Roman" w:hAnsi="Times New Roman" w:eastAsia="宋体"/>
                <w:color w:val="000000" w:themeColor="text1"/>
                <w:sz w:val="24"/>
              </w:rPr>
              <w:t>）。</w:t>
            </w:r>
            <w:r>
              <w:rPr>
                <w:rFonts w:hint="eastAsia" w:ascii="Times New Roman" w:hAnsi="Times New Roman" w:eastAsia="宋体"/>
                <w:bCs/>
                <w:color w:val="000000" w:themeColor="text1"/>
                <w:sz w:val="24"/>
              </w:rPr>
              <w:t>本项目</w:t>
            </w:r>
            <w:r>
              <w:rPr>
                <w:rFonts w:hint="eastAsia" w:ascii="Times New Roman" w:hAnsi="Times New Roman" w:eastAsia="宋体"/>
                <w:color w:val="000000" w:themeColor="text1"/>
                <w:sz w:val="24"/>
              </w:rPr>
              <w:t>压合工序</w:t>
            </w:r>
            <w:r>
              <w:rPr>
                <w:rFonts w:hint="eastAsia" w:ascii="Times New Roman" w:hAnsi="Times New Roman" w:eastAsia="宋体"/>
                <w:bCs/>
                <w:color w:val="000000" w:themeColor="text1"/>
                <w:sz w:val="24"/>
              </w:rPr>
              <w:t>有组织</w:t>
            </w:r>
            <w:r>
              <w:rPr>
                <w:rFonts w:hint="eastAsia" w:ascii="Times New Roman" w:hAnsi="Times New Roman" w:eastAsia="宋体"/>
                <w:color w:val="000000" w:themeColor="text1"/>
                <w:sz w:val="24"/>
              </w:rPr>
              <w:t>非甲烷总烃产生量为0.2713</w:t>
            </w:r>
            <w:r>
              <w:rPr>
                <w:rFonts w:ascii="Times New Roman" w:hAnsi="Times New Roman" w:eastAsia="宋体"/>
                <w:color w:val="000000" w:themeColor="text1"/>
                <w:sz w:val="24"/>
              </w:rPr>
              <w:t>t/a</w:t>
            </w:r>
            <w:r>
              <w:rPr>
                <w:rFonts w:hint="eastAsia" w:ascii="Times New Roman" w:hAnsi="Times New Roman" w:eastAsia="宋体"/>
                <w:color w:val="000000" w:themeColor="text1"/>
                <w:sz w:val="24"/>
              </w:rPr>
              <w:t>，产生速率为0.1507</w:t>
            </w:r>
            <w:r>
              <w:rPr>
                <w:rFonts w:ascii="Times New Roman" w:hAnsi="Times New Roman" w:eastAsia="宋体"/>
                <w:color w:val="000000" w:themeColor="text1"/>
                <w:sz w:val="24"/>
              </w:rPr>
              <w:t>kg/h</w:t>
            </w:r>
            <w:r>
              <w:rPr>
                <w:rFonts w:hint="eastAsia" w:ascii="Times New Roman" w:hAnsi="Times New Roman" w:eastAsia="宋体"/>
                <w:color w:val="000000" w:themeColor="text1"/>
                <w:sz w:val="24"/>
              </w:rPr>
              <w:t>，产生浓度为75.35</w:t>
            </w:r>
            <w:r>
              <w:rPr>
                <w:rFonts w:ascii="Times New Roman" w:hAnsi="Times New Roman" w:eastAsia="宋体"/>
                <w:color w:val="000000" w:themeColor="text1"/>
                <w:sz w:val="24"/>
              </w:rPr>
              <w:t>mg/</w:t>
            </w:r>
            <w:r>
              <w:rPr>
                <w:rFonts w:ascii="Times New Roman" w:hAnsi="Times New Roman" w:eastAsia="宋体"/>
                <w:bCs/>
                <w:color w:val="000000" w:themeColor="text1"/>
                <w:sz w:val="24"/>
              </w:rPr>
              <w:t>m</w:t>
            </w:r>
            <w:r>
              <w:rPr>
                <w:rFonts w:ascii="Times New Roman" w:hAnsi="Times New Roman" w:eastAsia="宋体"/>
                <w:bCs/>
                <w:color w:val="000000" w:themeColor="text1"/>
                <w:sz w:val="24"/>
                <w:vertAlign w:val="superscript"/>
              </w:rPr>
              <w:t>3</w:t>
            </w:r>
            <w:r>
              <w:rPr>
                <w:rFonts w:hint="eastAsia" w:ascii="Times New Roman" w:hAnsi="Times New Roman" w:eastAsia="宋体"/>
                <w:bCs/>
                <w:color w:val="000000" w:themeColor="text1"/>
                <w:sz w:val="24"/>
              </w:rPr>
              <w:t>。</w:t>
            </w:r>
            <w:r>
              <w:rPr>
                <w:rFonts w:hint="eastAsia" w:ascii="Times New Roman" w:hAnsi="Times New Roman" w:eastAsia="宋体"/>
                <w:color w:val="000000" w:themeColor="text1"/>
                <w:sz w:val="24"/>
              </w:rPr>
              <w:t>非甲烷总烃经封闭集气罩收集后进入“</w:t>
            </w:r>
            <w:r>
              <w:rPr>
                <w:rFonts w:ascii="Times New Roman" w:hAnsi="Times New Roman" w:eastAsia="宋体"/>
                <w:color w:val="000000" w:themeColor="text1"/>
                <w:sz w:val="24"/>
              </w:rPr>
              <w:t>UV光催化氧化</w:t>
            </w:r>
            <w:r>
              <w:rPr>
                <w:rFonts w:hint="eastAsia" w:ascii="Times New Roman" w:hAnsi="Times New Roman" w:eastAsia="宋体"/>
                <w:color w:val="000000" w:themeColor="text1"/>
                <w:sz w:val="24"/>
              </w:rPr>
              <w:t>（原有）</w:t>
            </w:r>
            <w:r>
              <w:rPr>
                <w:rFonts w:ascii="Times New Roman" w:hAnsi="Times New Roman" w:eastAsia="宋体"/>
                <w:color w:val="000000" w:themeColor="text1"/>
                <w:sz w:val="24"/>
              </w:rPr>
              <w:t>+活性炭吸附</w:t>
            </w:r>
            <w:r>
              <w:rPr>
                <w:rFonts w:hint="eastAsia" w:ascii="Times New Roman" w:hAnsi="Times New Roman" w:eastAsia="宋体"/>
                <w:color w:val="000000" w:themeColor="text1"/>
                <w:sz w:val="24"/>
              </w:rPr>
              <w:t>（原有）+油烟净化器（原有）+水喷淋（整改新建）”装置</w:t>
            </w:r>
            <w:r>
              <w:rPr>
                <w:rFonts w:hint="eastAsia" w:ascii="Times New Roman" w:hAnsi="Times New Roman" w:eastAsia="宋体"/>
                <w:bCs/>
                <w:color w:val="000000" w:themeColor="text1"/>
                <w:sz w:val="24"/>
              </w:rPr>
              <w:t>（1套，</w:t>
            </w:r>
            <w:r>
              <w:rPr>
                <w:rFonts w:hint="eastAsia" w:ascii="Times New Roman" w:hAnsi="Times New Roman" w:eastAsia="宋体"/>
                <w:color w:val="000000" w:themeColor="text1"/>
                <w:sz w:val="24"/>
              </w:rPr>
              <w:t>非甲烷总烃净化效率为80%</w:t>
            </w:r>
            <w:r>
              <w:rPr>
                <w:rFonts w:hint="eastAsia" w:ascii="Times New Roman" w:hAnsi="Times New Roman" w:eastAsia="宋体"/>
                <w:bCs/>
                <w:color w:val="000000" w:themeColor="text1"/>
                <w:sz w:val="24"/>
              </w:rPr>
              <w:t>）中进行处理，</w:t>
            </w:r>
            <w:r>
              <w:rPr>
                <w:rFonts w:hint="eastAsia" w:ascii="Times New Roman" w:hAnsi="Times New Roman" w:eastAsia="宋体"/>
                <w:color w:val="000000" w:themeColor="text1"/>
                <w:sz w:val="24"/>
              </w:rPr>
              <w:t>处理后经</w:t>
            </w:r>
            <w:r>
              <w:rPr>
                <w:rFonts w:hint="eastAsia" w:ascii="Times New Roman" w:hAnsi="Times New Roman" w:eastAsia="宋体"/>
                <w:color w:val="000000" w:themeColor="text1"/>
                <w:spacing w:val="-4"/>
                <w:sz w:val="24"/>
              </w:rPr>
              <w:t>15m排气筒排放</w:t>
            </w:r>
            <w:r>
              <w:rPr>
                <w:rFonts w:hint="eastAsia" w:ascii="Times New Roman" w:hAnsi="Times New Roman" w:eastAsia="宋体"/>
                <w:color w:val="000000" w:themeColor="text1"/>
                <w:sz w:val="24"/>
              </w:rPr>
              <w:t>。因此经“</w:t>
            </w:r>
            <w:r>
              <w:rPr>
                <w:rFonts w:ascii="Times New Roman" w:hAnsi="Times New Roman" w:eastAsia="宋体"/>
                <w:color w:val="000000" w:themeColor="text1"/>
                <w:sz w:val="24"/>
              </w:rPr>
              <w:t>UV光催化氧化+活性炭吸附</w:t>
            </w:r>
            <w:r>
              <w:rPr>
                <w:rFonts w:hint="eastAsia" w:ascii="Times New Roman" w:hAnsi="Times New Roman" w:eastAsia="宋体"/>
                <w:color w:val="000000" w:themeColor="text1"/>
                <w:sz w:val="24"/>
              </w:rPr>
              <w:t>+油烟净化器+水喷淋”装置处理后非甲烷总烃排放量为</w:t>
            </w:r>
            <w:r>
              <w:rPr>
                <w:rFonts w:ascii="Times New Roman" w:hAnsi="Times New Roman" w:eastAsia="宋体"/>
                <w:color w:val="000000" w:themeColor="text1"/>
                <w:sz w:val="24"/>
              </w:rPr>
              <w:t>0.</w:t>
            </w:r>
            <w:r>
              <w:rPr>
                <w:rFonts w:hint="eastAsia" w:ascii="Times New Roman" w:hAnsi="Times New Roman" w:eastAsia="宋体"/>
                <w:color w:val="000000" w:themeColor="text1"/>
                <w:sz w:val="24"/>
              </w:rPr>
              <w:t>0543</w:t>
            </w:r>
            <w:r>
              <w:rPr>
                <w:rFonts w:ascii="Times New Roman" w:hAnsi="Times New Roman" w:eastAsia="宋体"/>
                <w:color w:val="000000" w:themeColor="text1"/>
                <w:sz w:val="24"/>
              </w:rPr>
              <w:t>t/a</w:t>
            </w:r>
            <w:r>
              <w:rPr>
                <w:rFonts w:hint="eastAsia" w:ascii="Times New Roman" w:hAnsi="Times New Roman" w:eastAsia="宋体"/>
                <w:color w:val="000000" w:themeColor="text1"/>
                <w:sz w:val="24"/>
              </w:rPr>
              <w:t>，排放速率为</w:t>
            </w:r>
            <w:r>
              <w:rPr>
                <w:rFonts w:ascii="Times New Roman" w:hAnsi="Times New Roman" w:eastAsia="宋体"/>
                <w:color w:val="000000" w:themeColor="text1"/>
                <w:sz w:val="24"/>
              </w:rPr>
              <w:t>0.0</w:t>
            </w:r>
            <w:r>
              <w:rPr>
                <w:rFonts w:hint="eastAsia" w:ascii="Times New Roman" w:hAnsi="Times New Roman" w:eastAsia="宋体"/>
                <w:color w:val="000000" w:themeColor="text1"/>
                <w:sz w:val="24"/>
              </w:rPr>
              <w:t>302</w:t>
            </w:r>
            <w:r>
              <w:rPr>
                <w:rFonts w:ascii="Times New Roman" w:hAnsi="Times New Roman" w:eastAsia="宋体"/>
                <w:color w:val="000000" w:themeColor="text1"/>
                <w:sz w:val="24"/>
              </w:rPr>
              <w:t>kg/h</w:t>
            </w:r>
            <w:r>
              <w:rPr>
                <w:rFonts w:hint="eastAsia" w:ascii="Times New Roman" w:hAnsi="Times New Roman" w:eastAsia="宋体"/>
                <w:color w:val="000000" w:themeColor="text1"/>
                <w:sz w:val="24"/>
              </w:rPr>
              <w:t>，排放浓度为15.1</w:t>
            </w:r>
            <w:r>
              <w:rPr>
                <w:rFonts w:ascii="Times New Roman" w:hAnsi="Times New Roman" w:eastAsia="宋体"/>
                <w:color w:val="000000" w:themeColor="text1"/>
                <w:sz w:val="24"/>
              </w:rPr>
              <w:t>mg/</w:t>
            </w:r>
            <w:r>
              <w:rPr>
                <w:rFonts w:ascii="Times New Roman" w:hAnsi="Times New Roman" w:eastAsia="宋体"/>
                <w:bCs/>
                <w:color w:val="000000" w:themeColor="text1"/>
                <w:sz w:val="24"/>
              </w:rPr>
              <w:t>m</w:t>
            </w:r>
            <w:r>
              <w:rPr>
                <w:rFonts w:ascii="Times New Roman" w:hAnsi="Times New Roman" w:eastAsia="宋体"/>
                <w:bCs/>
                <w:color w:val="000000" w:themeColor="text1"/>
                <w:sz w:val="24"/>
                <w:vertAlign w:val="superscript"/>
              </w:rPr>
              <w:t>3</w:t>
            </w:r>
            <w:r>
              <w:rPr>
                <w:rFonts w:hint="eastAsia" w:ascii="Times New Roman" w:hAnsi="Times New Roman" w:eastAsia="宋体"/>
                <w:color w:val="000000" w:themeColor="text1"/>
                <w:sz w:val="24"/>
              </w:rPr>
              <w:t>。</w:t>
            </w:r>
            <w:r>
              <w:rPr>
                <w:rFonts w:hint="eastAsia" w:ascii="Times New Roman" w:eastAsia="宋体"/>
                <w:color w:val="000000" w:themeColor="text1"/>
                <w:sz w:val="24"/>
              </w:rPr>
              <w:t>能够满足</w:t>
            </w:r>
            <w:r>
              <w:rPr>
                <w:rFonts w:hint="eastAsia" w:ascii="Times New Roman" w:eastAsia="宋体"/>
                <w:b/>
                <w:color w:val="000000" w:themeColor="text1"/>
                <w:sz w:val="24"/>
                <w:u w:val="single"/>
              </w:rPr>
              <w:t>《关于全省开展工业企业挥发性有机物专项治理工作中排放建议值的通知》（豫环攻坚办</w:t>
            </w:r>
            <w:r>
              <w:rPr>
                <w:rFonts w:hint="eastAsia" w:ascii="Times New Roman" w:hAnsi="Times New Roman" w:eastAsia="宋体"/>
                <w:b/>
                <w:color w:val="000000" w:themeColor="text1"/>
                <w:sz w:val="24"/>
                <w:u w:val="single"/>
              </w:rPr>
              <w:t>[2017]162</w:t>
            </w:r>
            <w:r>
              <w:rPr>
                <w:rFonts w:hint="eastAsia" w:ascii="Times New Roman" w:eastAsia="宋体"/>
                <w:b/>
                <w:color w:val="000000" w:themeColor="text1"/>
                <w:sz w:val="24"/>
                <w:u w:val="single"/>
              </w:rPr>
              <w:t>号文）中工业企业挥发性有机物排放口非甲烷总烃排放建议值（有机废气排放口</w:t>
            </w:r>
            <w:r>
              <w:rPr>
                <w:rFonts w:hint="eastAsia" w:ascii="Times New Roman" w:hAnsi="Times New Roman" w:eastAsia="宋体"/>
                <w:b/>
                <w:color w:val="000000" w:themeColor="text1"/>
                <w:sz w:val="24"/>
                <w:u w:val="single"/>
              </w:rPr>
              <w:t>80mg/m</w:t>
            </w:r>
            <w:r>
              <w:rPr>
                <w:rFonts w:hint="eastAsia" w:ascii="Times New Roman" w:hAnsi="Times New Roman" w:eastAsia="宋体"/>
                <w:b/>
                <w:color w:val="000000" w:themeColor="text1"/>
                <w:sz w:val="24"/>
                <w:u w:val="single"/>
                <w:vertAlign w:val="superscript"/>
              </w:rPr>
              <w:t>3</w:t>
            </w:r>
            <w:r>
              <w:rPr>
                <w:rFonts w:hint="eastAsia" w:ascii="Times New Roman" w:eastAsia="宋体"/>
                <w:b/>
                <w:color w:val="000000" w:themeColor="text1"/>
                <w:sz w:val="24"/>
                <w:u w:val="single"/>
              </w:rPr>
              <w:t>）和《烧碱、聚氯乙烯工业污染物排放标准》</w:t>
            </w:r>
            <w:r>
              <w:rPr>
                <w:rFonts w:ascii="Times New Roman" w:eastAsia="宋体"/>
                <w:b/>
                <w:color w:val="000000" w:themeColor="text1"/>
                <w:sz w:val="24"/>
                <w:u w:val="single"/>
              </w:rPr>
              <w:t>（</w:t>
            </w:r>
            <w:r>
              <w:rPr>
                <w:rFonts w:ascii="Times New Roman" w:hAnsi="Times New Roman" w:eastAsia="宋体"/>
                <w:b/>
                <w:color w:val="000000" w:themeColor="text1"/>
                <w:sz w:val="24"/>
                <w:u w:val="single"/>
              </w:rPr>
              <w:t>GB</w:t>
            </w:r>
            <w:r>
              <w:rPr>
                <w:rFonts w:hint="eastAsia" w:ascii="Times New Roman" w:hAnsi="Times New Roman" w:eastAsia="宋体"/>
                <w:b/>
                <w:color w:val="000000" w:themeColor="text1"/>
                <w:sz w:val="24"/>
                <w:u w:val="single"/>
              </w:rPr>
              <w:t>15581</w:t>
            </w:r>
            <w:r>
              <w:rPr>
                <w:rFonts w:ascii="Times New Roman" w:hAnsi="Times New Roman" w:eastAsia="宋体"/>
                <w:b/>
                <w:color w:val="000000" w:themeColor="text1"/>
                <w:sz w:val="24"/>
                <w:u w:val="single"/>
              </w:rPr>
              <w:t>-</w:t>
            </w:r>
            <w:r>
              <w:rPr>
                <w:rFonts w:hint="eastAsia" w:ascii="Times New Roman" w:hAnsi="Times New Roman" w:eastAsia="宋体"/>
                <w:b/>
                <w:color w:val="000000" w:themeColor="text1"/>
                <w:sz w:val="24"/>
                <w:u w:val="single"/>
              </w:rPr>
              <w:t>2016</w:t>
            </w:r>
            <w:r>
              <w:rPr>
                <w:rFonts w:ascii="Times New Roman" w:eastAsia="宋体"/>
                <w:b/>
                <w:color w:val="000000" w:themeColor="text1"/>
                <w:sz w:val="24"/>
                <w:u w:val="single"/>
              </w:rPr>
              <w:t>）表</w:t>
            </w:r>
            <w:r>
              <w:rPr>
                <w:rFonts w:hint="eastAsia" w:ascii="Times New Roman" w:hAnsi="Times New Roman" w:eastAsia="宋体"/>
                <w:b/>
                <w:color w:val="000000" w:themeColor="text1"/>
                <w:sz w:val="24"/>
                <w:u w:val="single"/>
              </w:rPr>
              <w:t>4</w:t>
            </w:r>
            <w:r>
              <w:rPr>
                <w:rFonts w:hint="eastAsia" w:ascii="Times New Roman" w:eastAsia="宋体"/>
                <w:b/>
                <w:color w:val="000000" w:themeColor="text1"/>
                <w:sz w:val="24"/>
                <w:u w:val="single"/>
              </w:rPr>
              <w:t>标准（非甲烷总烃</w:t>
            </w:r>
            <w:r>
              <w:rPr>
                <w:rFonts w:hint="eastAsia" w:ascii="Times New Roman" w:eastAsia="宋体"/>
                <w:b/>
                <w:bCs/>
                <w:color w:val="000000" w:themeColor="text1"/>
                <w:sz w:val="24"/>
                <w:u w:val="single"/>
              </w:rPr>
              <w:t>排放限值</w:t>
            </w:r>
            <w:r>
              <w:rPr>
                <w:rFonts w:hint="eastAsia" w:ascii="Times New Roman" w:hAnsi="Times New Roman" w:eastAsia="宋体"/>
                <w:b/>
                <w:bCs/>
                <w:color w:val="000000" w:themeColor="text1"/>
                <w:sz w:val="24"/>
                <w:u w:val="single"/>
              </w:rPr>
              <w:t>20</w:t>
            </w:r>
            <w:r>
              <w:rPr>
                <w:rFonts w:ascii="Times New Roman" w:hAnsi="Times New Roman" w:eastAsia="宋体"/>
                <w:b/>
                <w:bCs/>
                <w:color w:val="000000" w:themeColor="text1"/>
                <w:sz w:val="24"/>
                <w:u w:val="single"/>
              </w:rPr>
              <w:t>mg/m</w:t>
            </w:r>
            <w:r>
              <w:rPr>
                <w:rFonts w:ascii="Times New Roman" w:hAnsi="Times New Roman" w:eastAsia="宋体"/>
                <w:b/>
                <w:bCs/>
                <w:color w:val="000000" w:themeColor="text1"/>
                <w:sz w:val="24"/>
                <w:u w:val="single"/>
                <w:vertAlign w:val="superscript"/>
              </w:rPr>
              <w:t>3</w:t>
            </w:r>
            <w:r>
              <w:rPr>
                <w:rFonts w:hint="eastAsia" w:ascii="Times New Roman" w:eastAsia="宋体"/>
                <w:b/>
                <w:color w:val="000000" w:themeColor="text1"/>
                <w:sz w:val="24"/>
                <w:u w:val="single"/>
              </w:rPr>
              <w:t>）的要求。</w:t>
            </w:r>
            <w:r>
              <w:rPr>
                <w:rFonts w:hint="eastAsia" w:ascii="Times New Roman" w:hAnsi="Times New Roman" w:eastAsia="宋体"/>
                <w:b/>
                <w:color w:val="000000" w:themeColor="text1"/>
                <w:sz w:val="24"/>
                <w:u w:val="single"/>
              </w:rPr>
              <w:t>压合工序有机废气的处理效率为80%，可以满足</w:t>
            </w:r>
            <w:r>
              <w:rPr>
                <w:rFonts w:ascii="Times New Roman" w:hAnsi="Times New Roman" w:eastAsia="宋体"/>
                <w:b/>
                <w:color w:val="000000" w:themeColor="text1"/>
                <w:sz w:val="24"/>
                <w:u w:val="single"/>
                <w:lang w:val="pt-BR"/>
              </w:rPr>
              <w:t>《</w:t>
            </w:r>
            <w:r>
              <w:rPr>
                <w:rFonts w:ascii="Times New Roman" w:hAnsi="Times New Roman" w:eastAsia="宋体"/>
                <w:b/>
                <w:color w:val="000000" w:themeColor="text1"/>
                <w:sz w:val="24"/>
                <w:u w:val="single"/>
              </w:rPr>
              <w:t>新乡市2020年大气污染防治攻坚战实施方案</w:t>
            </w:r>
            <w:r>
              <w:rPr>
                <w:rFonts w:ascii="Times New Roman" w:hAnsi="Times New Roman" w:eastAsia="宋体"/>
                <w:b/>
                <w:color w:val="000000" w:themeColor="text1"/>
                <w:sz w:val="24"/>
                <w:u w:val="single"/>
                <w:lang w:val="pt-BR"/>
              </w:rPr>
              <w:t>》</w:t>
            </w:r>
            <w:r>
              <w:rPr>
                <w:rFonts w:ascii="Times New Roman" w:hAnsi="Times New Roman" w:eastAsia="宋体"/>
                <w:b/>
                <w:color w:val="000000" w:themeColor="text1"/>
                <w:sz w:val="24"/>
                <w:u w:val="single"/>
              </w:rPr>
              <w:t>（新环攻坚办〔2020〕10号）</w:t>
            </w:r>
            <w:r>
              <w:rPr>
                <w:rFonts w:hint="eastAsia" w:ascii="Times New Roman" w:hAnsi="Times New Roman" w:eastAsia="宋体"/>
                <w:b/>
                <w:color w:val="000000" w:themeColor="text1"/>
                <w:sz w:val="24"/>
                <w:u w:val="single"/>
              </w:rPr>
              <w:t>（七）深化挥发性有机物污染治理要求（36.加强废气收集和处理：</w:t>
            </w:r>
            <w:r>
              <w:rPr>
                <w:rFonts w:ascii="Times New Roman" w:hAnsi="Times New Roman" w:eastAsia="宋体"/>
                <w:b/>
                <w:color w:val="000000" w:themeColor="text1"/>
                <w:sz w:val="24"/>
                <w:u w:val="single"/>
              </w:rPr>
              <w:t>VOCs</w:t>
            </w:r>
            <w:r>
              <w:rPr>
                <w:rFonts w:ascii="Times New Roman" w:eastAsia="宋体"/>
                <w:b/>
                <w:color w:val="000000" w:themeColor="text1"/>
                <w:kern w:val="0"/>
                <w:sz w:val="24"/>
                <w:u w:val="single"/>
                <w:shd w:val="clear" w:color="auto" w:fill="FFFFFF"/>
              </w:rPr>
              <w:t>去除效率不低于</w:t>
            </w:r>
            <w:r>
              <w:rPr>
                <w:rFonts w:ascii="Times New Roman" w:hAnsi="Times New Roman" w:eastAsia="宋体"/>
                <w:b/>
                <w:color w:val="000000" w:themeColor="text1"/>
                <w:kern w:val="0"/>
                <w:sz w:val="24"/>
                <w:u w:val="single"/>
                <w:shd w:val="clear" w:color="auto" w:fill="FFFFFF"/>
              </w:rPr>
              <w:t>80%</w:t>
            </w:r>
            <w:r>
              <w:rPr>
                <w:rFonts w:hint="eastAsia" w:ascii="Times New Roman" w:hAnsi="Times New Roman" w:eastAsia="宋体"/>
                <w:b/>
                <w:color w:val="000000" w:themeColor="text1"/>
                <w:sz w:val="24"/>
                <w:u w:val="single"/>
              </w:rPr>
              <w:t>）。</w:t>
            </w:r>
          </w:p>
          <w:p>
            <w:pPr>
              <w:pStyle w:val="131"/>
              <w:spacing w:line="440" w:lineRule="exact"/>
              <w:ind w:firstLine="480" w:firstLineChars="200"/>
              <w:jc w:val="both"/>
              <w:rPr>
                <w:rFonts w:ascii="Times New Roman" w:eastAsia="宋体"/>
                <w:color w:val="000000" w:themeColor="text1"/>
              </w:rPr>
            </w:pPr>
            <w:r>
              <w:rPr>
                <w:rFonts w:hint="eastAsia" w:ascii="Times New Roman" w:hAnsi="Times New Roman" w:eastAsia="宋体"/>
                <w:color w:val="000000" w:themeColor="text1"/>
              </w:rPr>
              <w:t>未经集气罩收集的非甲烷总烃产生量为</w:t>
            </w:r>
            <w:r>
              <w:rPr>
                <w:rFonts w:ascii="Times New Roman" w:hAnsi="Times New Roman" w:eastAsia="宋体"/>
                <w:color w:val="000000" w:themeColor="text1"/>
              </w:rPr>
              <w:t>0.</w:t>
            </w:r>
            <w:r>
              <w:rPr>
                <w:rFonts w:hint="eastAsia" w:ascii="Times New Roman" w:hAnsi="Times New Roman" w:eastAsia="宋体"/>
                <w:color w:val="000000" w:themeColor="text1"/>
              </w:rPr>
              <w:t>0143</w:t>
            </w:r>
            <w:r>
              <w:rPr>
                <w:rFonts w:ascii="Times New Roman" w:hAnsi="Times New Roman" w:eastAsia="宋体"/>
                <w:color w:val="000000" w:themeColor="text1"/>
              </w:rPr>
              <w:t>t/a</w:t>
            </w:r>
            <w:r>
              <w:rPr>
                <w:rFonts w:hint="eastAsia" w:ascii="Times New Roman" w:hAnsi="Times New Roman" w:eastAsia="宋体"/>
                <w:color w:val="000000" w:themeColor="text1"/>
              </w:rPr>
              <w:t>（即</w:t>
            </w:r>
            <w:r>
              <w:rPr>
                <w:rFonts w:ascii="Times New Roman" w:hAnsi="Times New Roman" w:eastAsia="宋体"/>
                <w:color w:val="000000" w:themeColor="text1"/>
              </w:rPr>
              <w:t>0.</w:t>
            </w:r>
            <w:r>
              <w:rPr>
                <w:rFonts w:hint="eastAsia" w:ascii="Times New Roman" w:hAnsi="Times New Roman" w:eastAsia="宋体"/>
                <w:color w:val="000000" w:themeColor="text1"/>
              </w:rPr>
              <w:t>0079</w:t>
            </w:r>
            <w:r>
              <w:rPr>
                <w:rFonts w:ascii="Times New Roman" w:hAnsi="Times New Roman" w:eastAsia="宋体"/>
                <w:color w:val="000000" w:themeColor="text1"/>
              </w:rPr>
              <w:t>kg/h</w:t>
            </w:r>
            <w:r>
              <w:rPr>
                <w:rFonts w:hint="eastAsia" w:ascii="Times New Roman" w:hAnsi="Times New Roman" w:eastAsia="宋体"/>
                <w:color w:val="000000" w:themeColor="text1"/>
              </w:rPr>
              <w:t>），以无组织形式外排</w:t>
            </w:r>
            <w:r>
              <w:rPr>
                <w:rFonts w:hint="eastAsia" w:ascii="Times New Roman" w:hAnsi="Times New Roman" w:eastAsia="宋体"/>
                <w:bCs/>
                <w:color w:val="000000" w:themeColor="text1"/>
              </w:rPr>
              <w:t>，能够满足</w:t>
            </w:r>
            <w:r>
              <w:rPr>
                <w:rFonts w:hint="eastAsia" w:ascii="Times New Roman" w:eastAsia="宋体"/>
                <w:b/>
                <w:color w:val="000000" w:themeColor="text1"/>
                <w:u w:val="single"/>
              </w:rPr>
              <w:t>《关于全省开展工业企业挥发性有机物专项治理工作中排放建议值的通知》（豫环攻坚办</w:t>
            </w:r>
            <w:r>
              <w:rPr>
                <w:rFonts w:hint="eastAsia" w:ascii="Times New Roman" w:hAnsi="Times New Roman" w:eastAsia="宋体"/>
                <w:b/>
                <w:color w:val="000000" w:themeColor="text1"/>
                <w:u w:val="single"/>
              </w:rPr>
              <w:t>[2017]162</w:t>
            </w:r>
            <w:r>
              <w:rPr>
                <w:rFonts w:hint="eastAsia" w:ascii="Times New Roman" w:eastAsia="宋体"/>
                <w:b/>
                <w:color w:val="000000" w:themeColor="text1"/>
                <w:u w:val="single"/>
              </w:rPr>
              <w:t>号文）（生产车间或生产设备边界挥发性有机物排放建议值非甲烷总烃4.0</w:t>
            </w:r>
            <w:r>
              <w:rPr>
                <w:rFonts w:hint="eastAsia" w:ascii="Times New Roman" w:hAnsi="Times New Roman" w:eastAsia="宋体"/>
                <w:b/>
                <w:color w:val="000000" w:themeColor="text1"/>
                <w:u w:val="single"/>
              </w:rPr>
              <w:t>mg/m</w:t>
            </w:r>
            <w:r>
              <w:rPr>
                <w:rFonts w:hint="eastAsia" w:ascii="Times New Roman" w:hAnsi="Times New Roman" w:eastAsia="宋体"/>
                <w:b/>
                <w:color w:val="000000" w:themeColor="text1"/>
                <w:u w:val="single"/>
                <w:vertAlign w:val="superscript"/>
              </w:rPr>
              <w:t>3</w:t>
            </w:r>
            <w:r>
              <w:rPr>
                <w:rFonts w:hint="eastAsia" w:ascii="Times New Roman" w:eastAsia="宋体"/>
                <w:b/>
                <w:color w:val="000000" w:themeColor="text1"/>
                <w:u w:val="single"/>
              </w:rPr>
              <w:t>，工业企业边界挥发性有机物排放建议值非甲烷总烃2.0</w:t>
            </w:r>
            <w:r>
              <w:rPr>
                <w:rFonts w:hint="eastAsia" w:ascii="Times New Roman" w:hAnsi="Times New Roman" w:eastAsia="宋体"/>
                <w:b/>
                <w:color w:val="000000" w:themeColor="text1"/>
                <w:u w:val="single"/>
              </w:rPr>
              <w:t>mg/m</w:t>
            </w:r>
            <w:r>
              <w:rPr>
                <w:rFonts w:hint="eastAsia" w:ascii="Times New Roman" w:hAnsi="Times New Roman" w:eastAsia="宋体"/>
                <w:b/>
                <w:color w:val="000000" w:themeColor="text1"/>
                <w:u w:val="single"/>
                <w:vertAlign w:val="superscript"/>
              </w:rPr>
              <w:t>3</w:t>
            </w:r>
            <w:r>
              <w:rPr>
                <w:rFonts w:hint="eastAsia" w:ascii="Times New Roman" w:eastAsia="宋体"/>
                <w:b/>
                <w:color w:val="000000" w:themeColor="text1"/>
                <w:u w:val="single"/>
              </w:rPr>
              <w:t>）。</w:t>
            </w:r>
          </w:p>
          <w:p>
            <w:pPr>
              <w:spacing w:line="440" w:lineRule="exact"/>
              <w:ind w:firstLine="480" w:firstLineChars="200"/>
              <w:rPr>
                <w:rFonts w:ascii="Times New Roman" w:eastAsia="宋体"/>
                <w:color w:val="000000" w:themeColor="text1"/>
                <w:sz w:val="24"/>
              </w:rPr>
            </w:pPr>
            <w:r>
              <w:rPr>
                <w:rFonts w:hint="eastAsia" w:ascii="Times New Roman" w:hAnsi="Times New Roman" w:eastAsia="宋体"/>
                <w:bCs/>
                <w:color w:val="000000" w:themeColor="text1"/>
                <w:sz w:val="24"/>
              </w:rPr>
              <w:t>新乡市顺风船科技有限公司</w:t>
            </w:r>
            <w:r>
              <w:rPr>
                <w:rFonts w:hint="eastAsia" w:ascii="Times New Roman" w:eastAsia="宋体"/>
                <w:color w:val="000000" w:themeColor="text1"/>
                <w:sz w:val="24"/>
              </w:rPr>
              <w:t>原有工程挤出工序有机废气经</w:t>
            </w:r>
            <w:r>
              <w:rPr>
                <w:rFonts w:hint="eastAsia" w:ascii="Times New Roman" w:hAnsi="Times New Roman" w:eastAsia="宋体"/>
                <w:color w:val="000000" w:themeColor="text1"/>
                <w:sz w:val="24"/>
              </w:rPr>
              <w:t>封闭集气罩+“</w:t>
            </w:r>
            <w:r>
              <w:rPr>
                <w:rFonts w:ascii="Times New Roman" w:hAnsi="Times New Roman" w:eastAsia="宋体"/>
                <w:color w:val="000000" w:themeColor="text1"/>
                <w:sz w:val="24"/>
              </w:rPr>
              <w:t>UV光催化氧化+活性炭吸附</w:t>
            </w:r>
            <w:r>
              <w:rPr>
                <w:rFonts w:hint="eastAsia" w:ascii="Times New Roman" w:hAnsi="Times New Roman" w:eastAsia="宋体"/>
                <w:color w:val="000000" w:themeColor="text1"/>
                <w:sz w:val="24"/>
              </w:rPr>
              <w:t>+油烟净化器+水喷淋”装置</w:t>
            </w:r>
            <w:r>
              <w:rPr>
                <w:rFonts w:ascii="Times New Roman" w:hAnsi="Times New Roman" w:eastAsia="宋体"/>
                <w:color w:val="000000" w:themeColor="text1"/>
                <w:sz w:val="24"/>
              </w:rPr>
              <w:t>+</w:t>
            </w:r>
            <w:r>
              <w:rPr>
                <w:rFonts w:hint="eastAsia" w:ascii="Times New Roman" w:hAnsi="Times New Roman" w:eastAsia="宋体"/>
                <w:color w:val="000000" w:themeColor="text1"/>
                <w:sz w:val="24"/>
              </w:rPr>
              <w:t>15m高</w:t>
            </w:r>
            <w:r>
              <w:rPr>
                <w:rFonts w:ascii="Times New Roman" w:hAnsi="Times New Roman" w:eastAsia="宋体"/>
                <w:color w:val="000000" w:themeColor="text1"/>
                <w:sz w:val="24"/>
              </w:rPr>
              <w:t>排气筒排放</w:t>
            </w:r>
            <w:r>
              <w:rPr>
                <w:rFonts w:hint="eastAsia" w:ascii="Times New Roman" w:hAnsi="Times New Roman" w:eastAsia="宋体"/>
                <w:color w:val="000000" w:themeColor="text1"/>
                <w:sz w:val="24"/>
              </w:rPr>
              <w:t>；本项目压合工序产生的非甲烷总烃依托原有工程的“UV光催化氧化（原有）+活性炭吸附（原有）+油烟净化器（原有）+水喷淋（整改新建）”装置进行处理，</w:t>
            </w:r>
            <w:r>
              <w:rPr>
                <w:rFonts w:hint="eastAsia" w:ascii="Times New Roman" w:eastAsia="宋体"/>
                <w:color w:val="000000" w:themeColor="text1"/>
                <w:sz w:val="24"/>
              </w:rPr>
              <w:t>原有工程和本项目所需要的风机总风量约为</w:t>
            </w:r>
            <w:r>
              <w:rPr>
                <w:rFonts w:hint="eastAsia" w:ascii="Times New Roman" w:hAnsi="Times New Roman" w:eastAsia="宋体"/>
                <w:color w:val="000000" w:themeColor="text1"/>
                <w:sz w:val="24"/>
              </w:rPr>
              <w:t>85</w:t>
            </w:r>
            <w:r>
              <w:rPr>
                <w:rFonts w:ascii="Times New Roman" w:hAnsi="Times New Roman" w:eastAsia="宋体"/>
                <w:color w:val="000000" w:themeColor="text1"/>
                <w:sz w:val="24"/>
              </w:rPr>
              <w:t>00m</w:t>
            </w:r>
            <w:r>
              <w:rPr>
                <w:rFonts w:ascii="Times New Roman" w:hAnsi="Times New Roman" w:eastAsia="宋体"/>
                <w:color w:val="000000" w:themeColor="text1"/>
                <w:sz w:val="24"/>
                <w:vertAlign w:val="superscript"/>
              </w:rPr>
              <w:t>3</w:t>
            </w:r>
            <w:r>
              <w:rPr>
                <w:rFonts w:ascii="Times New Roman" w:hAnsi="Times New Roman" w:eastAsia="宋体"/>
                <w:color w:val="000000" w:themeColor="text1"/>
                <w:sz w:val="24"/>
              </w:rPr>
              <w:t>/h</w:t>
            </w:r>
            <w:r>
              <w:rPr>
                <w:rFonts w:hint="eastAsia" w:ascii="Times New Roman" w:eastAsia="宋体"/>
                <w:bCs/>
                <w:color w:val="000000" w:themeColor="text1"/>
                <w:kern w:val="21"/>
                <w:sz w:val="24"/>
              </w:rPr>
              <w:t>。本项目建成运营后全厂有机废气污染物排放情况见下表：</w:t>
            </w:r>
          </w:p>
          <w:p>
            <w:pPr>
              <w:adjustRightInd w:val="0"/>
              <w:snapToGrid w:val="0"/>
              <w:spacing w:line="440" w:lineRule="exact"/>
              <w:jc w:val="center"/>
              <w:textAlignment w:val="baseline"/>
              <w:rPr>
                <w:rFonts w:ascii="Times New Roman" w:hAnsi="Times New Roman" w:eastAsia="宋体"/>
                <w:b/>
                <w:color w:val="000000" w:themeColor="text1"/>
                <w:sz w:val="24"/>
              </w:rPr>
            </w:pPr>
            <w:r>
              <w:rPr>
                <w:rFonts w:hint="eastAsia" w:ascii="Times New Roman" w:eastAsia="宋体"/>
                <w:b/>
                <w:color w:val="000000" w:themeColor="text1"/>
                <w:sz w:val="24"/>
              </w:rPr>
              <w:t>表</w:t>
            </w:r>
            <w:r>
              <w:rPr>
                <w:rFonts w:hint="eastAsia" w:ascii="Times New Roman" w:hAnsi="Times New Roman" w:eastAsia="宋体"/>
                <w:b/>
                <w:color w:val="000000" w:themeColor="text1"/>
                <w:sz w:val="24"/>
              </w:rPr>
              <w:t xml:space="preserve">32    </w:t>
            </w:r>
            <w:r>
              <w:rPr>
                <w:rFonts w:hint="eastAsia" w:ascii="Times New Roman" w:eastAsia="宋体"/>
                <w:b/>
                <w:color w:val="000000" w:themeColor="text1"/>
                <w:sz w:val="24"/>
              </w:rPr>
              <w:t>本项目建成运营后全厂有机废气污染物排放情况一览表</w:t>
            </w:r>
          </w:p>
          <w:tbl>
            <w:tblPr>
              <w:tblStyle w:val="24"/>
              <w:tblW w:w="9072"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7"/>
              <w:gridCol w:w="993"/>
              <w:gridCol w:w="1152"/>
              <w:gridCol w:w="987"/>
              <w:gridCol w:w="1142"/>
              <w:gridCol w:w="1132"/>
              <w:gridCol w:w="1299"/>
              <w:gridCol w:w="124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21" w:type="pct"/>
                  <w:tcBorders>
                    <w:top w:val="single" w:color="auto" w:sz="8" w:space="0"/>
                    <w:bottom w:val="single" w:color="auto" w:sz="8" w:space="0"/>
                  </w:tcBorders>
                  <w:vAlign w:val="center"/>
                </w:tcPr>
                <w:p>
                  <w:pPr>
                    <w:jc w:val="center"/>
                    <w:rPr>
                      <w:rFonts w:ascii="Times New Roman" w:hAnsi="Times New Roman" w:eastAsia="宋体"/>
                      <w:b/>
                      <w:color w:val="000000" w:themeColor="text1"/>
                      <w:szCs w:val="21"/>
                    </w:rPr>
                  </w:pPr>
                  <w:r>
                    <w:rPr>
                      <w:rFonts w:hint="eastAsia" w:ascii="Times New Roman" w:eastAsia="宋体"/>
                      <w:b/>
                      <w:color w:val="000000" w:themeColor="text1"/>
                      <w:szCs w:val="21"/>
                    </w:rPr>
                    <w:t>污染物</w:t>
                  </w:r>
                </w:p>
              </w:tc>
              <w:tc>
                <w:tcPr>
                  <w:tcW w:w="1182" w:type="pct"/>
                  <w:gridSpan w:val="2"/>
                  <w:tcBorders>
                    <w:top w:val="single" w:color="auto" w:sz="8" w:space="0"/>
                    <w:bottom w:val="single" w:color="auto" w:sz="8" w:space="0"/>
                  </w:tcBorders>
                  <w:vAlign w:val="center"/>
                </w:tcPr>
                <w:p>
                  <w:pPr>
                    <w:jc w:val="center"/>
                    <w:rPr>
                      <w:rFonts w:ascii="Times New Roman" w:hAnsi="Times New Roman" w:eastAsia="宋体"/>
                      <w:b/>
                      <w:color w:val="000000" w:themeColor="text1"/>
                      <w:szCs w:val="21"/>
                    </w:rPr>
                  </w:pPr>
                  <w:r>
                    <w:rPr>
                      <w:rFonts w:hint="eastAsia" w:ascii="Times New Roman" w:eastAsia="宋体"/>
                      <w:b/>
                      <w:color w:val="000000" w:themeColor="text1"/>
                      <w:szCs w:val="21"/>
                    </w:rPr>
                    <w:t>原有工程</w:t>
                  </w:r>
                </w:p>
              </w:tc>
              <w:tc>
                <w:tcPr>
                  <w:tcW w:w="1173" w:type="pct"/>
                  <w:gridSpan w:val="2"/>
                  <w:tcBorders>
                    <w:top w:val="single" w:color="auto" w:sz="8" w:space="0"/>
                    <w:bottom w:val="single" w:color="auto" w:sz="8" w:space="0"/>
                  </w:tcBorders>
                  <w:vAlign w:val="center"/>
                </w:tcPr>
                <w:p>
                  <w:pPr>
                    <w:jc w:val="center"/>
                    <w:rPr>
                      <w:rFonts w:ascii="Times New Roman" w:hAnsi="Times New Roman" w:eastAsia="宋体"/>
                      <w:b/>
                      <w:color w:val="000000" w:themeColor="text1"/>
                      <w:szCs w:val="21"/>
                    </w:rPr>
                  </w:pPr>
                  <w:r>
                    <w:rPr>
                      <w:rFonts w:hint="eastAsia" w:ascii="Times New Roman" w:eastAsia="宋体"/>
                      <w:b/>
                      <w:color w:val="000000" w:themeColor="text1"/>
                      <w:szCs w:val="21"/>
                    </w:rPr>
                    <w:t>本项目</w:t>
                  </w:r>
                </w:p>
              </w:tc>
              <w:tc>
                <w:tcPr>
                  <w:tcW w:w="2023" w:type="pct"/>
                  <w:gridSpan w:val="3"/>
                  <w:tcBorders>
                    <w:top w:val="single" w:color="auto" w:sz="8" w:space="0"/>
                    <w:bottom w:val="single" w:color="auto" w:sz="8" w:space="0"/>
                  </w:tcBorders>
                  <w:vAlign w:val="center"/>
                </w:tcPr>
                <w:p>
                  <w:pPr>
                    <w:jc w:val="center"/>
                    <w:rPr>
                      <w:rFonts w:ascii="Times New Roman" w:hAnsi="Times New Roman" w:eastAsia="宋体"/>
                      <w:b/>
                      <w:color w:val="000000" w:themeColor="text1"/>
                      <w:szCs w:val="21"/>
                    </w:rPr>
                  </w:pPr>
                  <w:r>
                    <w:rPr>
                      <w:rFonts w:hint="eastAsia" w:ascii="Times New Roman" w:eastAsia="宋体"/>
                      <w:b/>
                      <w:color w:val="000000" w:themeColor="text1"/>
                      <w:szCs w:val="21"/>
                    </w:rPr>
                    <w:t>本项目建成后全厂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21" w:type="pct"/>
                  <w:vMerge w:val="restart"/>
                  <w:tcBorders>
                    <w:top w:val="single" w:color="auto" w:sz="8" w:space="0"/>
                  </w:tcBorders>
                  <w:vAlign w:val="center"/>
                </w:tcPr>
                <w:p>
                  <w:pPr>
                    <w:jc w:val="center"/>
                    <w:rPr>
                      <w:rFonts w:ascii="Times New Roman" w:hAnsi="Times New Roman" w:eastAsia="宋体"/>
                      <w:color w:val="000000" w:themeColor="text1"/>
                      <w:szCs w:val="21"/>
                    </w:rPr>
                  </w:pPr>
                  <w:r>
                    <w:rPr>
                      <w:rFonts w:hint="eastAsia" w:ascii="Times New Roman" w:eastAsia="宋体"/>
                      <w:color w:val="000000" w:themeColor="text1"/>
                      <w:szCs w:val="21"/>
                    </w:rPr>
                    <w:t>有组织非甲烷总烃</w:t>
                  </w:r>
                </w:p>
              </w:tc>
              <w:tc>
                <w:tcPr>
                  <w:tcW w:w="547" w:type="pct"/>
                  <w:tcBorders>
                    <w:top w:val="single" w:color="auto" w:sz="8" w:space="0"/>
                  </w:tcBorders>
                  <w:vAlign w:val="center"/>
                </w:tcPr>
                <w:p>
                  <w:pPr>
                    <w:jc w:val="center"/>
                    <w:rPr>
                      <w:rFonts w:ascii="Times New Roman" w:hAnsi="Times New Roman" w:eastAsia="宋体"/>
                      <w:color w:val="000000" w:themeColor="text1"/>
                      <w:szCs w:val="21"/>
                    </w:rPr>
                  </w:pPr>
                  <w:r>
                    <w:rPr>
                      <w:rFonts w:hint="eastAsia" w:ascii="Times New Roman" w:eastAsia="宋体"/>
                      <w:color w:val="000000" w:themeColor="text1"/>
                      <w:szCs w:val="21"/>
                    </w:rPr>
                    <w:t>排放量</w:t>
                  </w:r>
                  <w:r>
                    <w:rPr>
                      <w:rFonts w:ascii="Times New Roman" w:hAnsi="Times New Roman" w:eastAsia="宋体"/>
                      <w:color w:val="000000" w:themeColor="text1"/>
                      <w:szCs w:val="21"/>
                    </w:rPr>
                    <w:t>t/a</w:t>
                  </w:r>
                </w:p>
              </w:tc>
              <w:tc>
                <w:tcPr>
                  <w:tcW w:w="635" w:type="pct"/>
                  <w:tcBorders>
                    <w:top w:val="single" w:color="auto" w:sz="8" w:space="0"/>
                  </w:tcBorders>
                  <w:vAlign w:val="center"/>
                </w:tcPr>
                <w:p>
                  <w:pPr>
                    <w:jc w:val="center"/>
                    <w:rPr>
                      <w:rFonts w:ascii="Times New Roman" w:hAnsi="Times New Roman" w:eastAsia="宋体"/>
                      <w:color w:val="000000" w:themeColor="text1"/>
                      <w:szCs w:val="21"/>
                    </w:rPr>
                  </w:pPr>
                  <w:r>
                    <w:rPr>
                      <w:rFonts w:hint="eastAsia" w:ascii="Times New Roman" w:eastAsia="宋体"/>
                      <w:color w:val="000000" w:themeColor="text1"/>
                      <w:szCs w:val="21"/>
                    </w:rPr>
                    <w:t>排放速率</w:t>
                  </w:r>
                  <w:r>
                    <w:rPr>
                      <w:rFonts w:ascii="Times New Roman" w:hAnsi="Times New Roman" w:eastAsia="宋体"/>
                      <w:color w:val="000000" w:themeColor="text1"/>
                      <w:szCs w:val="21"/>
                    </w:rPr>
                    <w:t>kg/h</w:t>
                  </w:r>
                </w:p>
              </w:tc>
              <w:tc>
                <w:tcPr>
                  <w:tcW w:w="544" w:type="pct"/>
                  <w:tcBorders>
                    <w:top w:val="single" w:color="auto" w:sz="8" w:space="0"/>
                  </w:tcBorders>
                  <w:vAlign w:val="center"/>
                </w:tcPr>
                <w:p>
                  <w:pPr>
                    <w:jc w:val="center"/>
                    <w:rPr>
                      <w:rFonts w:ascii="Times New Roman" w:hAnsi="Times New Roman" w:eastAsia="宋体"/>
                      <w:color w:val="000000" w:themeColor="text1"/>
                      <w:szCs w:val="21"/>
                    </w:rPr>
                  </w:pPr>
                  <w:r>
                    <w:rPr>
                      <w:rFonts w:hint="eastAsia" w:ascii="Times New Roman" w:eastAsia="宋体"/>
                      <w:color w:val="000000" w:themeColor="text1"/>
                      <w:szCs w:val="21"/>
                    </w:rPr>
                    <w:t>排放量</w:t>
                  </w:r>
                  <w:r>
                    <w:rPr>
                      <w:rFonts w:ascii="Times New Roman" w:hAnsi="Times New Roman" w:eastAsia="宋体"/>
                      <w:color w:val="000000" w:themeColor="text1"/>
                      <w:szCs w:val="21"/>
                    </w:rPr>
                    <w:t>t/a</w:t>
                  </w:r>
                </w:p>
              </w:tc>
              <w:tc>
                <w:tcPr>
                  <w:tcW w:w="629" w:type="pct"/>
                  <w:tcBorders>
                    <w:top w:val="single" w:color="auto" w:sz="8" w:space="0"/>
                  </w:tcBorders>
                  <w:vAlign w:val="center"/>
                </w:tcPr>
                <w:p>
                  <w:pPr>
                    <w:jc w:val="center"/>
                    <w:rPr>
                      <w:rFonts w:ascii="Times New Roman" w:hAnsi="Times New Roman" w:eastAsia="宋体"/>
                      <w:color w:val="000000" w:themeColor="text1"/>
                      <w:szCs w:val="21"/>
                    </w:rPr>
                  </w:pPr>
                  <w:r>
                    <w:rPr>
                      <w:rFonts w:hint="eastAsia" w:ascii="Times New Roman" w:eastAsia="宋体"/>
                      <w:color w:val="000000" w:themeColor="text1"/>
                      <w:szCs w:val="21"/>
                    </w:rPr>
                    <w:t>排放速率</w:t>
                  </w:r>
                  <w:r>
                    <w:rPr>
                      <w:rFonts w:ascii="Times New Roman" w:hAnsi="Times New Roman" w:eastAsia="宋体"/>
                      <w:color w:val="000000" w:themeColor="text1"/>
                      <w:szCs w:val="21"/>
                    </w:rPr>
                    <w:t>kg/h</w:t>
                  </w:r>
                </w:p>
              </w:tc>
              <w:tc>
                <w:tcPr>
                  <w:tcW w:w="624" w:type="pct"/>
                  <w:tcBorders>
                    <w:top w:val="single" w:color="auto" w:sz="8" w:space="0"/>
                  </w:tcBorders>
                  <w:vAlign w:val="center"/>
                </w:tcPr>
                <w:p>
                  <w:pPr>
                    <w:jc w:val="center"/>
                    <w:rPr>
                      <w:rFonts w:ascii="Times New Roman" w:hAnsi="Times New Roman" w:eastAsia="宋体"/>
                      <w:color w:val="000000" w:themeColor="text1"/>
                      <w:szCs w:val="21"/>
                    </w:rPr>
                  </w:pPr>
                  <w:r>
                    <w:rPr>
                      <w:rFonts w:hint="eastAsia" w:ascii="Times New Roman" w:eastAsia="宋体"/>
                      <w:color w:val="000000" w:themeColor="text1"/>
                      <w:szCs w:val="21"/>
                    </w:rPr>
                    <w:t>排放量</w:t>
                  </w:r>
                  <w:r>
                    <w:rPr>
                      <w:rFonts w:ascii="Times New Roman" w:hAnsi="Times New Roman" w:eastAsia="宋体"/>
                      <w:color w:val="000000" w:themeColor="text1"/>
                      <w:szCs w:val="21"/>
                    </w:rPr>
                    <w:t>t/a</w:t>
                  </w:r>
                </w:p>
              </w:tc>
              <w:tc>
                <w:tcPr>
                  <w:tcW w:w="716" w:type="pct"/>
                  <w:tcBorders>
                    <w:top w:val="single" w:color="auto" w:sz="8" w:space="0"/>
                  </w:tcBorders>
                  <w:vAlign w:val="center"/>
                </w:tcPr>
                <w:p>
                  <w:pPr>
                    <w:jc w:val="center"/>
                    <w:rPr>
                      <w:rFonts w:ascii="Times New Roman" w:hAnsi="Times New Roman" w:eastAsia="宋体"/>
                      <w:color w:val="000000" w:themeColor="text1"/>
                      <w:szCs w:val="21"/>
                    </w:rPr>
                  </w:pPr>
                  <w:r>
                    <w:rPr>
                      <w:rFonts w:hint="eastAsia" w:ascii="Times New Roman" w:eastAsia="宋体"/>
                      <w:color w:val="000000" w:themeColor="text1"/>
                      <w:szCs w:val="21"/>
                    </w:rPr>
                    <w:t>排放速率</w:t>
                  </w:r>
                  <w:r>
                    <w:rPr>
                      <w:rFonts w:ascii="Times New Roman" w:hAnsi="Times New Roman" w:eastAsia="宋体"/>
                      <w:color w:val="000000" w:themeColor="text1"/>
                      <w:szCs w:val="21"/>
                    </w:rPr>
                    <w:t>kg/h</w:t>
                  </w:r>
                </w:p>
              </w:tc>
              <w:tc>
                <w:tcPr>
                  <w:tcW w:w="683" w:type="pct"/>
                  <w:tcBorders>
                    <w:top w:val="single" w:color="auto" w:sz="8" w:space="0"/>
                  </w:tcBorders>
                  <w:vAlign w:val="center"/>
                </w:tcPr>
                <w:p>
                  <w:pPr>
                    <w:jc w:val="center"/>
                    <w:rPr>
                      <w:rFonts w:ascii="Times New Roman" w:hAnsi="Times New Roman" w:eastAsia="宋体"/>
                      <w:color w:val="000000" w:themeColor="text1"/>
                      <w:szCs w:val="21"/>
                    </w:rPr>
                  </w:pPr>
                  <w:r>
                    <w:rPr>
                      <w:rFonts w:hint="eastAsia" w:ascii="Times New Roman" w:eastAsia="宋体"/>
                      <w:color w:val="000000" w:themeColor="text1"/>
                      <w:szCs w:val="21"/>
                    </w:rPr>
                    <w:t>排放浓度</w:t>
                  </w:r>
                  <w:r>
                    <w:rPr>
                      <w:rFonts w:ascii="Times New Roman" w:hAnsi="Times New Roman" w:eastAsia="宋体"/>
                      <w:color w:val="000000" w:themeColor="text1"/>
                      <w:szCs w:val="21"/>
                    </w:rPr>
                    <w:t>mg/m</w:t>
                  </w:r>
                  <w:r>
                    <w:rPr>
                      <w:rFonts w:ascii="Times New Roman" w:hAnsi="Times New Roman" w:eastAsia="宋体"/>
                      <w:color w:val="000000" w:themeColor="text1"/>
                      <w:szCs w:val="21"/>
                      <w:vertAlign w:val="superscript"/>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21" w:type="pct"/>
                  <w:vMerge w:val="continue"/>
                  <w:vAlign w:val="center"/>
                </w:tcPr>
                <w:p>
                  <w:pPr>
                    <w:jc w:val="center"/>
                    <w:rPr>
                      <w:rFonts w:ascii="Times New Roman" w:hAnsi="Times New Roman" w:eastAsia="宋体"/>
                      <w:color w:val="000000" w:themeColor="text1"/>
                      <w:szCs w:val="21"/>
                    </w:rPr>
                  </w:pPr>
                </w:p>
              </w:tc>
              <w:tc>
                <w:tcPr>
                  <w:tcW w:w="547"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0.0</w:t>
                  </w:r>
                  <w:r>
                    <w:rPr>
                      <w:rFonts w:hint="eastAsia" w:ascii="Times New Roman" w:hAnsi="Times New Roman" w:eastAsia="宋体"/>
                      <w:color w:val="000000" w:themeColor="text1"/>
                      <w:szCs w:val="21"/>
                    </w:rPr>
                    <w:t>66</w:t>
                  </w:r>
                </w:p>
              </w:tc>
              <w:tc>
                <w:tcPr>
                  <w:tcW w:w="635"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0.0</w:t>
                  </w:r>
                  <w:r>
                    <w:rPr>
                      <w:rFonts w:hint="eastAsia" w:ascii="Times New Roman" w:hAnsi="Times New Roman" w:eastAsia="宋体"/>
                      <w:color w:val="000000" w:themeColor="text1"/>
                      <w:szCs w:val="21"/>
                    </w:rPr>
                    <w:t>275</w:t>
                  </w:r>
                </w:p>
              </w:tc>
              <w:tc>
                <w:tcPr>
                  <w:tcW w:w="544"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0.0</w:t>
                  </w:r>
                  <w:r>
                    <w:rPr>
                      <w:rFonts w:hint="eastAsia" w:ascii="Times New Roman" w:hAnsi="Times New Roman" w:eastAsia="宋体"/>
                      <w:color w:val="000000" w:themeColor="text1"/>
                      <w:szCs w:val="21"/>
                    </w:rPr>
                    <w:t>543</w:t>
                  </w:r>
                </w:p>
              </w:tc>
              <w:tc>
                <w:tcPr>
                  <w:tcW w:w="629"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0.0</w:t>
                  </w:r>
                  <w:r>
                    <w:rPr>
                      <w:rFonts w:hint="eastAsia" w:ascii="Times New Roman" w:hAnsi="Times New Roman" w:eastAsia="宋体"/>
                      <w:color w:val="000000" w:themeColor="text1"/>
                      <w:szCs w:val="21"/>
                    </w:rPr>
                    <w:t>302</w:t>
                  </w:r>
                </w:p>
              </w:tc>
              <w:tc>
                <w:tcPr>
                  <w:tcW w:w="624"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0</w:t>
                  </w:r>
                  <w:r>
                    <w:rPr>
                      <w:rFonts w:hint="eastAsia" w:ascii="Times New Roman" w:hAnsi="Times New Roman" w:eastAsia="宋体"/>
                      <w:color w:val="000000" w:themeColor="text1"/>
                      <w:szCs w:val="21"/>
                    </w:rPr>
                    <w:t>.0935</w:t>
                  </w:r>
                </w:p>
              </w:tc>
              <w:tc>
                <w:tcPr>
                  <w:tcW w:w="716"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0.0</w:t>
                  </w:r>
                  <w:r>
                    <w:rPr>
                      <w:rFonts w:hint="eastAsia" w:ascii="Times New Roman" w:hAnsi="Times New Roman" w:eastAsia="宋体"/>
                      <w:color w:val="000000" w:themeColor="text1"/>
                      <w:szCs w:val="21"/>
                    </w:rPr>
                    <w:t>818</w:t>
                  </w:r>
                </w:p>
              </w:tc>
              <w:tc>
                <w:tcPr>
                  <w:tcW w:w="683"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9.62</w:t>
                  </w:r>
                </w:p>
              </w:tc>
            </w:tr>
          </w:tbl>
          <w:p>
            <w:pPr>
              <w:spacing w:line="440" w:lineRule="exact"/>
              <w:ind w:firstLine="480" w:firstLineChars="200"/>
              <w:rPr>
                <w:rFonts w:ascii="Times New Roman" w:hAnsi="Times New Roman" w:eastAsia="宋体"/>
                <w:color w:val="000000" w:themeColor="text1"/>
                <w:sz w:val="24"/>
              </w:rPr>
            </w:pPr>
            <w:r>
              <w:rPr>
                <w:rFonts w:hint="eastAsia" w:ascii="Times New Roman" w:eastAsia="宋体"/>
                <w:color w:val="000000" w:themeColor="text1"/>
                <w:sz w:val="24"/>
              </w:rPr>
              <w:t>由表</w:t>
            </w:r>
            <w:r>
              <w:rPr>
                <w:rFonts w:hint="eastAsia" w:ascii="Times New Roman" w:hAnsi="Times New Roman" w:eastAsia="宋体"/>
                <w:color w:val="000000" w:themeColor="text1"/>
                <w:sz w:val="24"/>
              </w:rPr>
              <w:t>32</w:t>
            </w:r>
            <w:r>
              <w:rPr>
                <w:rFonts w:hint="eastAsia" w:ascii="Times New Roman" w:eastAsia="宋体"/>
                <w:color w:val="000000" w:themeColor="text1"/>
                <w:sz w:val="24"/>
              </w:rPr>
              <w:t>可知，原有工程挤出工序非甲烷总烃和本项目压合工序非甲烷总烃的排放浓度，能够满足</w:t>
            </w:r>
            <w:r>
              <w:rPr>
                <w:rFonts w:hint="eastAsia" w:ascii="Times New Roman" w:eastAsia="宋体"/>
                <w:b/>
                <w:color w:val="000000" w:themeColor="text1"/>
                <w:sz w:val="24"/>
                <w:u w:val="single"/>
              </w:rPr>
              <w:t>《关于全省开展工业企业挥发性有机物专项治理工作中排放建议值的通知》（豫环攻坚办</w:t>
            </w:r>
            <w:r>
              <w:rPr>
                <w:rFonts w:hint="eastAsia" w:ascii="Times New Roman" w:hAnsi="Times New Roman" w:eastAsia="宋体"/>
                <w:b/>
                <w:color w:val="000000" w:themeColor="text1"/>
                <w:sz w:val="24"/>
                <w:u w:val="single"/>
              </w:rPr>
              <w:t>[2017]162</w:t>
            </w:r>
            <w:r>
              <w:rPr>
                <w:rFonts w:hint="eastAsia" w:ascii="Times New Roman" w:eastAsia="宋体"/>
                <w:b/>
                <w:color w:val="000000" w:themeColor="text1"/>
                <w:sz w:val="24"/>
                <w:u w:val="single"/>
              </w:rPr>
              <w:t>号文）中工业企业挥发性有机物排放口非甲烷总烃排放建议值（有机废气排放口</w:t>
            </w:r>
            <w:r>
              <w:rPr>
                <w:rFonts w:hint="eastAsia" w:ascii="Times New Roman" w:hAnsi="Times New Roman" w:eastAsia="宋体"/>
                <w:b/>
                <w:color w:val="000000" w:themeColor="text1"/>
                <w:sz w:val="24"/>
                <w:u w:val="single"/>
              </w:rPr>
              <w:t>80mg/m</w:t>
            </w:r>
            <w:r>
              <w:rPr>
                <w:rFonts w:hint="eastAsia" w:ascii="Times New Roman" w:hAnsi="Times New Roman" w:eastAsia="宋体"/>
                <w:b/>
                <w:color w:val="000000" w:themeColor="text1"/>
                <w:sz w:val="24"/>
                <w:u w:val="single"/>
                <w:vertAlign w:val="superscript"/>
              </w:rPr>
              <w:t>3</w:t>
            </w:r>
            <w:r>
              <w:rPr>
                <w:rFonts w:hint="eastAsia" w:ascii="Times New Roman" w:eastAsia="宋体"/>
                <w:b/>
                <w:color w:val="000000" w:themeColor="text1"/>
                <w:sz w:val="24"/>
                <w:u w:val="single"/>
              </w:rPr>
              <w:t>）和《烧碱、聚氯乙烯工业污染物排放标准》</w:t>
            </w:r>
            <w:r>
              <w:rPr>
                <w:rFonts w:ascii="Times New Roman" w:eastAsia="宋体"/>
                <w:b/>
                <w:color w:val="000000" w:themeColor="text1"/>
                <w:sz w:val="24"/>
                <w:u w:val="single"/>
              </w:rPr>
              <w:t>（</w:t>
            </w:r>
            <w:r>
              <w:rPr>
                <w:rFonts w:ascii="Times New Roman" w:hAnsi="Times New Roman" w:eastAsia="宋体"/>
                <w:b/>
                <w:color w:val="000000" w:themeColor="text1"/>
                <w:sz w:val="24"/>
                <w:u w:val="single"/>
              </w:rPr>
              <w:t>GB</w:t>
            </w:r>
            <w:r>
              <w:rPr>
                <w:rFonts w:hint="eastAsia" w:ascii="Times New Roman" w:hAnsi="Times New Roman" w:eastAsia="宋体"/>
                <w:b/>
                <w:color w:val="000000" w:themeColor="text1"/>
                <w:sz w:val="24"/>
                <w:u w:val="single"/>
              </w:rPr>
              <w:t>15581</w:t>
            </w:r>
            <w:r>
              <w:rPr>
                <w:rFonts w:ascii="Times New Roman" w:hAnsi="Times New Roman" w:eastAsia="宋体"/>
                <w:b/>
                <w:color w:val="000000" w:themeColor="text1"/>
                <w:sz w:val="24"/>
                <w:u w:val="single"/>
              </w:rPr>
              <w:t>-</w:t>
            </w:r>
            <w:r>
              <w:rPr>
                <w:rFonts w:hint="eastAsia" w:ascii="Times New Roman" w:hAnsi="Times New Roman" w:eastAsia="宋体"/>
                <w:b/>
                <w:color w:val="000000" w:themeColor="text1"/>
                <w:sz w:val="24"/>
                <w:u w:val="single"/>
              </w:rPr>
              <w:t>2016</w:t>
            </w:r>
            <w:r>
              <w:rPr>
                <w:rFonts w:ascii="Times New Roman" w:eastAsia="宋体"/>
                <w:b/>
                <w:color w:val="000000" w:themeColor="text1"/>
                <w:sz w:val="24"/>
                <w:u w:val="single"/>
              </w:rPr>
              <w:t>）表</w:t>
            </w:r>
            <w:r>
              <w:rPr>
                <w:rFonts w:hint="eastAsia" w:ascii="Times New Roman" w:hAnsi="Times New Roman" w:eastAsia="宋体"/>
                <w:b/>
                <w:color w:val="000000" w:themeColor="text1"/>
                <w:sz w:val="24"/>
                <w:u w:val="single"/>
              </w:rPr>
              <w:t>4</w:t>
            </w:r>
            <w:r>
              <w:rPr>
                <w:rFonts w:hint="eastAsia" w:ascii="Times New Roman" w:eastAsia="宋体"/>
                <w:b/>
                <w:color w:val="000000" w:themeColor="text1"/>
                <w:sz w:val="24"/>
                <w:u w:val="single"/>
              </w:rPr>
              <w:t>标准（非甲烷总烃</w:t>
            </w:r>
            <w:r>
              <w:rPr>
                <w:rFonts w:hint="eastAsia" w:ascii="Times New Roman" w:eastAsia="宋体"/>
                <w:b/>
                <w:bCs/>
                <w:color w:val="000000" w:themeColor="text1"/>
                <w:sz w:val="24"/>
                <w:u w:val="single"/>
              </w:rPr>
              <w:t>排放限值</w:t>
            </w:r>
            <w:r>
              <w:rPr>
                <w:rFonts w:hint="eastAsia" w:ascii="Times New Roman" w:hAnsi="Times New Roman" w:eastAsia="宋体"/>
                <w:b/>
                <w:bCs/>
                <w:color w:val="000000" w:themeColor="text1"/>
                <w:sz w:val="24"/>
                <w:u w:val="single"/>
              </w:rPr>
              <w:t>20</w:t>
            </w:r>
            <w:r>
              <w:rPr>
                <w:rFonts w:ascii="Times New Roman" w:hAnsi="Times New Roman" w:eastAsia="宋体"/>
                <w:b/>
                <w:bCs/>
                <w:color w:val="000000" w:themeColor="text1"/>
                <w:sz w:val="24"/>
                <w:u w:val="single"/>
              </w:rPr>
              <w:t>mg/m</w:t>
            </w:r>
            <w:r>
              <w:rPr>
                <w:rFonts w:ascii="Times New Roman" w:hAnsi="Times New Roman" w:eastAsia="宋体"/>
                <w:b/>
                <w:bCs/>
                <w:color w:val="000000" w:themeColor="text1"/>
                <w:sz w:val="24"/>
                <w:u w:val="single"/>
                <w:vertAlign w:val="superscript"/>
              </w:rPr>
              <w:t>3</w:t>
            </w:r>
            <w:r>
              <w:rPr>
                <w:rFonts w:hint="eastAsia" w:ascii="Times New Roman" w:eastAsia="宋体"/>
                <w:b/>
                <w:color w:val="000000" w:themeColor="text1"/>
                <w:sz w:val="24"/>
                <w:u w:val="single"/>
              </w:rPr>
              <w:t>）的要求</w:t>
            </w:r>
            <w:r>
              <w:rPr>
                <w:rFonts w:hint="eastAsia" w:ascii="Times New Roman" w:eastAsia="宋体"/>
                <w:color w:val="000000" w:themeColor="text1"/>
                <w:sz w:val="24"/>
              </w:rPr>
              <w:t>。</w:t>
            </w:r>
          </w:p>
          <w:p>
            <w:pPr>
              <w:adjustRightInd w:val="0"/>
              <w:snapToGrid w:val="0"/>
              <w:spacing w:line="520" w:lineRule="exact"/>
              <w:ind w:firstLine="480" w:firstLineChars="200"/>
              <w:rPr>
                <w:rFonts w:ascii="Times New Roman" w:eastAsia="宋体"/>
                <w:color w:val="000000" w:themeColor="text1"/>
                <w:sz w:val="24"/>
              </w:rPr>
            </w:pPr>
            <w:r>
              <w:rPr>
                <w:rFonts w:hint="eastAsia" w:ascii="Times New Roman" w:eastAsia="宋体"/>
                <w:color w:val="000000" w:themeColor="text1"/>
                <w:sz w:val="24"/>
              </w:rPr>
              <w:t>②有机废气收集处理示意图</w:t>
            </w:r>
          </w:p>
          <w:p>
            <w:pPr>
              <w:pStyle w:val="2"/>
            </w:pPr>
          </w:p>
          <w:p/>
          <w:p>
            <w:pPr>
              <w:pStyle w:val="2"/>
            </w:pPr>
          </w:p>
          <w:p/>
          <w:p>
            <w:pPr>
              <w:pStyle w:val="2"/>
            </w:pPr>
          </w:p>
          <w:p/>
          <w:p>
            <w:pPr>
              <w:pStyle w:val="2"/>
            </w:pPr>
          </w:p>
          <w:p/>
          <w:p>
            <w:pPr>
              <w:pStyle w:val="2"/>
            </w:pPr>
          </w:p>
          <w:p/>
          <w:p>
            <w:pPr>
              <w:pStyle w:val="2"/>
            </w:pPr>
          </w:p>
          <w:p/>
          <w:p>
            <w:pPr>
              <w:pStyle w:val="2"/>
            </w:pPr>
          </w:p>
          <w:p/>
          <w:p>
            <w:pPr>
              <w:pStyle w:val="2"/>
            </w:pPr>
          </w:p>
          <w:p>
            <w:pPr>
              <w:adjustRightInd w:val="0"/>
              <w:snapToGrid w:val="0"/>
              <w:spacing w:line="520" w:lineRule="exact"/>
              <w:ind w:firstLine="420" w:firstLineChars="200"/>
              <w:rPr>
                <w:color w:val="000000" w:themeColor="text1"/>
                <w:sz w:val="24"/>
              </w:rPr>
            </w:pPr>
            <w:r>
              <w:rPr>
                <w:color w:val="000000" w:themeColor="text1"/>
              </w:rPr>
              <w:pict>
                <v:group id="_x0000_s1640" o:spid="_x0000_s1640" o:spt="203" style="position:absolute;left:0pt;margin-left:3.85pt;margin-top:0.15pt;height:207.05pt;width:431.15pt;z-index:251680768;mso-width-relative:page;mso-height-relative:page;" coordorigin="1709,6869" coordsize="8623,4141" editas="canvas">
                  <o:lock v:ext="edit"/>
                  <v:shape id="_x0000_s1641" o:spid="_x0000_s1641" o:spt="75" type="#_x0000_t75" style="position:absolute;left:1709;top:6869;height:4141;width:8623;" filled="f" o:preferrelative="f" stroked="t" coordsize="21600,21600">
                    <v:fill on="f" focussize="0,0"/>
                    <v:stroke joinstyle="miter"/>
                    <v:imagedata o:title=""/>
                    <o:lock v:ext="edit" aspectratio="t"/>
                  </v:shape>
                  <v:rect id="_x0000_s1642" o:spid="_x0000_s1642" o:spt="1" style="position:absolute;left:2065;top:9251;height:1531;width:1896;" filled="f" coordsize="21600,21600">
                    <v:path/>
                    <v:fill on="f" focussize="0,0"/>
                    <v:stroke/>
                    <v:imagedata o:title=""/>
                    <o:lock v:ext="edit"/>
                    <v:textbox>
                      <w:txbxContent>
                        <w:p>
                          <w:pPr>
                            <w:jc w:val="center"/>
                          </w:pPr>
                        </w:p>
                        <w:p>
                          <w:pPr>
                            <w:jc w:val="center"/>
                          </w:pPr>
                        </w:p>
                        <w:p/>
                      </w:txbxContent>
                    </v:textbox>
                  </v:rect>
                  <v:rect id="_x0000_s1643" o:spid="_x0000_s1643" o:spt="1" style="position:absolute;left:2043;top:8954;height:282;width:1918;" filled="f" coordsize="21600,21600">
                    <v:path/>
                    <v:fill on="f" focussize="0,0"/>
                    <v:stroke/>
                    <v:imagedata o:title=""/>
                    <o:lock v:ext="edit"/>
                    <v:textbox inset="0mm,0mm,0mm,0mm">
                      <w:txbxContent>
                        <w:p>
                          <w:pPr>
                            <w:jc w:val="center"/>
                            <w:rPr>
                              <w:rFonts w:ascii="Times New Roman" w:hAnsi="Times New Roman" w:eastAsia="宋体"/>
                              <w:szCs w:val="21"/>
                            </w:rPr>
                          </w:pPr>
                          <w:r>
                            <w:rPr>
                              <w:rFonts w:hint="eastAsia" w:ascii="Times New Roman" w:eastAsia="宋体"/>
                              <w:spacing w:val="-4"/>
                              <w:szCs w:val="21"/>
                            </w:rPr>
                            <w:t>封闭</w:t>
                          </w:r>
                          <w:r>
                            <w:rPr>
                              <w:rFonts w:hint="eastAsia" w:ascii="Times New Roman" w:eastAsia="宋体"/>
                              <w:szCs w:val="21"/>
                            </w:rPr>
                            <w:t>罩</w:t>
                          </w:r>
                        </w:p>
                      </w:txbxContent>
                    </v:textbox>
                  </v:rect>
                  <v:rect id="_x0000_s1644" o:spid="_x0000_s1644" o:spt="1" style="position:absolute;left:9660;top:6900;height:3840;width:405;" coordsize="21600,21600">
                    <v:path/>
                    <v:fill focussize="0,0"/>
                    <v:stroke/>
                    <v:imagedata o:title=""/>
                    <o:lock v:ext="edit"/>
                    <v:textbox>
                      <w:txbxContent>
                        <w:p/>
                        <w:p/>
                        <w:p/>
                        <w:p/>
                        <w:p/>
                      </w:txbxContent>
                    </v:textbox>
                  </v:rect>
                  <v:rect id="_x0000_s1645" o:spid="_x0000_s1645" o:spt="1" style="position:absolute;left:7331;top:9285;height:1497;width:1774;" coordsize="21600,21600">
                    <v:path/>
                    <v:fill focussize="0,0"/>
                    <v:stroke/>
                    <v:imagedata o:title=""/>
                    <o:lock v:ext="edit"/>
                    <v:textbox>
                      <w:txbxContent>
                        <w:p>
                          <w:pPr>
                            <w:rPr>
                              <w:rFonts w:ascii="Times New Roman" w:hAnsi="Times New Roman" w:eastAsia="宋体"/>
                            </w:rPr>
                          </w:pPr>
                          <w:r>
                            <w:rPr>
                              <w:rFonts w:ascii="Times New Roman" w:hAnsi="Times New Roman" w:eastAsia="宋体"/>
                            </w:rPr>
                            <w:t>UV</w:t>
                          </w:r>
                          <w:r>
                            <w:rPr>
                              <w:rFonts w:hint="eastAsia" w:ascii="Times New Roman" w:eastAsia="宋体"/>
                            </w:rPr>
                            <w:t>光氧催化</w:t>
                          </w:r>
                          <w:r>
                            <w:rPr>
                              <w:rFonts w:ascii="Times New Roman" w:hAnsi="Times New Roman" w:eastAsia="宋体"/>
                            </w:rPr>
                            <w:t>+</w:t>
                          </w:r>
                          <w:r>
                            <w:rPr>
                              <w:rFonts w:hint="eastAsia" w:ascii="Times New Roman" w:eastAsia="宋体"/>
                            </w:rPr>
                            <w:t>活性炭吸附+油烟净化器+水喷淋装置</w:t>
                          </w:r>
                        </w:p>
                      </w:txbxContent>
                    </v:textbox>
                  </v:rect>
                  <v:rect id="_x0000_s1646" o:spid="_x0000_s1646" o:spt="1" style="position:absolute;left:9105;top:9615;height:571;width:555;" coordsize="21600,21600">
                    <v:path/>
                    <v:fill focussize="0,0"/>
                    <v:stroke/>
                    <v:imagedata o:title=""/>
                    <o:lock v:ext="edit"/>
                  </v:rect>
                  <v:shape id="_x0000_s1647" o:spid="_x0000_s1647" o:spt="32" type="#_x0000_t32" style="position:absolute;left:9225;top:9894;height:15;width:315;" o:connectortype="straight" filled="f" coordsize="21600,21600">
                    <v:path arrowok="t"/>
                    <v:fill on="f" focussize="0,0"/>
                    <v:stroke endarrow="block"/>
                    <v:imagedata o:title=""/>
                    <o:lock v:ext="edit"/>
                  </v:shape>
                  <v:shape id="_x0000_s1648" o:spid="_x0000_s1648" o:spt="32" type="#_x0000_t32" style="position:absolute;left:9855;top:7710;flip:y;height:660;width:1;" o:connectortype="straight" filled="f" coordsize="21600,21600">
                    <v:path arrowok="t"/>
                    <v:fill on="f" focussize="0,0"/>
                    <v:stroke endarrow="block"/>
                    <v:imagedata o:title=""/>
                    <o:lock v:ext="edit"/>
                  </v:shape>
                  <v:shape id="_x0000_s1649" o:spid="_x0000_s1649" o:spt="202" type="#_x0000_t202" style="position:absolute;left:2043;top:9494;height:1017;width:2008;" filled="f" stroked="f" coordsize="21600,21600">
                    <v:path/>
                    <v:fill on="f" focussize="0,0"/>
                    <v:stroke on="f" joinstyle="miter"/>
                    <v:imagedata o:title=""/>
                    <o:lock v:ext="edit"/>
                    <v:textbox>
                      <w:txbxContent>
                        <w:p>
                          <w:pPr>
                            <w:jc w:val="center"/>
                            <w:rPr>
                              <w:rFonts w:ascii="Times New Roman" w:hAnsi="Times New Roman" w:eastAsia="宋体"/>
                            </w:rPr>
                          </w:pPr>
                          <w:r>
                            <w:rPr>
                              <w:rFonts w:hint="eastAsia" w:ascii="Times New Roman" w:eastAsia="宋体"/>
                            </w:rPr>
                            <w:t>高周波塑熔机的工作平台（6台）</w:t>
                          </w:r>
                        </w:p>
                      </w:txbxContent>
                    </v:textbox>
                  </v:shape>
                  <v:shape id="_x0000_s1650" o:spid="_x0000_s1650" o:spt="202" type="#_x0000_t202" style="position:absolute;left:9607;top:8770;height:1843;width:506;" filled="f" stroked="f" coordsize="21600,21600">
                    <v:path/>
                    <v:fill on="f" focussize="0,0"/>
                    <v:stroke on="f" joinstyle="miter"/>
                    <v:imagedata o:title=""/>
                    <o:lock v:ext="edit"/>
                    <v:textbox>
                      <w:txbxContent>
                        <w:p>
                          <w:pPr>
                            <w:rPr>
                              <w:rFonts w:ascii="Times New Roman" w:hAnsi="Times New Roman" w:eastAsia="宋体"/>
                            </w:rPr>
                          </w:pPr>
                          <w:r>
                            <w:rPr>
                              <w:rFonts w:ascii="Times New Roman" w:hAnsi="Times New Roman" w:eastAsia="宋体"/>
                            </w:rPr>
                            <w:t>15m</w:t>
                          </w:r>
                          <w:r>
                            <w:rPr>
                              <w:rFonts w:hint="eastAsia" w:ascii="Times New Roman" w:eastAsia="宋体"/>
                            </w:rPr>
                            <w:t>排气筒</w:t>
                          </w:r>
                        </w:p>
                        <w:p/>
                      </w:txbxContent>
                    </v:textbox>
                  </v:shape>
                  <v:shape id="_x0000_s1651" o:spid="_x0000_s1651" o:spt="32" type="#_x0000_t32" style="position:absolute;left:2741;top:7691;flip:y;height:1248;width:1;" o:connectortype="straight" filled="f" coordsize="21600,21600">
                    <v:path arrowok="t"/>
                    <v:fill on="f" focussize="0,0"/>
                    <v:stroke weight="1pt"/>
                    <v:imagedata o:title=""/>
                    <o:lock v:ext="edit"/>
                  </v:shape>
                  <v:shape id="_x0000_s1652" o:spid="_x0000_s1652" o:spt="32" type="#_x0000_t32" style="position:absolute;left:3105;top:8133;flip:y;height:805;width:1;" o:connectortype="straight" filled="f" coordsize="21600,21600">
                    <v:path arrowok="t"/>
                    <v:fill on="f" focussize="0,0"/>
                    <v:stroke weight="1pt"/>
                    <v:imagedata o:title=""/>
                    <o:lock v:ext="edit"/>
                  </v:shape>
                  <v:shape id="_x0000_s1653" o:spid="_x0000_s1653" o:spt="32" type="#_x0000_t32" style="position:absolute;left:2741;top:7691;height:1;width:3855;" o:connectortype="straight" filled="f" coordsize="21600,21600">
                    <v:path arrowok="t"/>
                    <v:fill on="f" focussize="0,0"/>
                    <v:stroke weight="1pt"/>
                    <v:imagedata o:title=""/>
                    <o:lock v:ext="edit"/>
                  </v:shape>
                  <v:shape id="_x0000_s1655" o:spid="_x0000_s1655" o:spt="32" type="#_x0000_t32" style="position:absolute;left:6181;top:8133;flip:y;height:1984;width:1;" o:connectortype="straight" filled="f" coordsize="21600,21600">
                    <v:path arrowok="t"/>
                    <v:fill on="f" focussize="0,0"/>
                    <v:stroke weight="1pt"/>
                    <v:imagedata o:title=""/>
                    <o:lock v:ext="edit"/>
                  </v:shape>
                  <v:shape id="_x0000_s1656" o:spid="_x0000_s1656" o:spt="32" type="#_x0000_t32" style="position:absolute;left:6595;top:7691;height:2098;width:1;" o:connectortype="straight" filled="f" coordsize="21600,21600">
                    <v:path arrowok="t"/>
                    <v:fill on="f" focussize="0,0"/>
                    <v:stroke weight="1pt"/>
                    <v:imagedata o:title=""/>
                    <o:lock v:ext="edit"/>
                  </v:shape>
                  <v:shape id="_x0000_s1657" o:spid="_x0000_s1657" o:spt="32" type="#_x0000_t32" style="position:absolute;left:4796;top:7883;height:1;width:1371;" o:connectortype="straight" filled="f" coordsize="21600,21600">
                    <v:path arrowok="t"/>
                    <v:fill on="f" focussize="0,0"/>
                    <v:stroke endarrow="block"/>
                    <v:imagedata o:title=""/>
                    <o:lock v:ext="edit"/>
                  </v:shape>
                  <v:shape id="_x0000_s1658" o:spid="_x0000_s1658" o:spt="32" type="#_x0000_t32" style="position:absolute;left:6401;top:8458;height:496;width:1;" o:connectortype="straight" filled="f" coordsize="21600,21600">
                    <v:path arrowok="t"/>
                    <v:fill on="f" focussize="0,0"/>
                    <v:stroke endarrow="block"/>
                    <v:imagedata o:title=""/>
                    <o:lock v:ext="edit"/>
                  </v:shape>
                  <v:shape id="_x0000_s1669" o:spid="_x0000_s1669" o:spt="32" type="#_x0000_t32" style="position:absolute;left:3106;top:8133;height:1;width:3061;" o:connectortype="straight" filled="f" coordsize="21600,21600">
                    <v:path arrowok="t"/>
                    <v:fill on="f" focussize="0,0"/>
                    <v:stroke weight="1pt"/>
                    <v:imagedata o:title=""/>
                    <o:lock v:ext="edit"/>
                  </v:shape>
                  <v:shape id="_x0000_s1671" o:spid="_x0000_s1671" o:spt="32" type="#_x0000_t32" style="position:absolute;left:3106;top:7898;height:0;width:1371;" o:connectortype="straight" filled="f" coordsize="21600,21600">
                    <v:path arrowok="t"/>
                    <v:fill on="f" focussize="0,0"/>
                    <v:stroke endarrow="block"/>
                    <v:imagedata o:title=""/>
                    <o:lock v:ext="edit"/>
                  </v:shape>
                  <v:shape id="_x0000_s1672" o:spid="_x0000_s1672" o:spt="32" type="#_x0000_t32" style="position:absolute;left:6167;top:10116;height:1;width:1191;" o:connectortype="straight" filled="f" coordsize="21600,21600">
                    <v:path arrowok="t"/>
                    <v:fill on="f" focussize="0,0"/>
                    <v:stroke/>
                    <v:imagedata o:title=""/>
                    <o:lock v:ext="edit"/>
                  </v:shape>
                  <v:shape id="_x0000_s1673" o:spid="_x0000_s1673" o:spt="32" type="#_x0000_t32" style="position:absolute;left:6596;top:9788;height:1;width:737;" o:connectortype="straight" filled="f" coordsize="21600,21600">
                    <v:path arrowok="t"/>
                    <v:fill on="f" focussize="0,0"/>
                    <v:stroke/>
                    <v:imagedata o:title=""/>
                    <o:lock v:ext="edit"/>
                  </v:shape>
                </v:group>
              </w:pict>
            </w:r>
          </w:p>
          <w:p>
            <w:pPr>
              <w:adjustRightInd w:val="0"/>
              <w:snapToGrid w:val="0"/>
              <w:spacing w:line="520" w:lineRule="exact"/>
              <w:ind w:firstLine="480" w:firstLineChars="200"/>
              <w:rPr>
                <w:color w:val="000000" w:themeColor="text1"/>
                <w:sz w:val="24"/>
              </w:rPr>
            </w:pPr>
          </w:p>
          <w:p>
            <w:pPr>
              <w:adjustRightInd w:val="0"/>
              <w:snapToGrid w:val="0"/>
              <w:spacing w:line="520" w:lineRule="exact"/>
              <w:ind w:firstLine="480" w:firstLineChars="200"/>
              <w:rPr>
                <w:color w:val="000000" w:themeColor="text1"/>
                <w:sz w:val="24"/>
              </w:rPr>
            </w:pPr>
          </w:p>
          <w:p>
            <w:pPr>
              <w:adjustRightInd w:val="0"/>
              <w:snapToGrid w:val="0"/>
              <w:spacing w:line="520" w:lineRule="exact"/>
              <w:ind w:firstLine="480" w:firstLineChars="200"/>
              <w:rPr>
                <w:color w:val="000000" w:themeColor="text1"/>
                <w:sz w:val="24"/>
              </w:rPr>
            </w:pPr>
          </w:p>
          <w:p>
            <w:pPr>
              <w:adjustRightInd w:val="0"/>
              <w:snapToGrid w:val="0"/>
              <w:spacing w:line="520" w:lineRule="exact"/>
              <w:ind w:firstLine="480" w:firstLineChars="200"/>
              <w:rPr>
                <w:color w:val="000000" w:themeColor="text1"/>
                <w:sz w:val="24"/>
              </w:rPr>
            </w:pPr>
          </w:p>
          <w:p>
            <w:pPr>
              <w:adjustRightInd w:val="0"/>
              <w:snapToGrid w:val="0"/>
              <w:spacing w:line="520" w:lineRule="exact"/>
              <w:ind w:firstLine="480" w:firstLineChars="200"/>
              <w:rPr>
                <w:color w:val="000000" w:themeColor="text1"/>
                <w:sz w:val="24"/>
              </w:rPr>
            </w:pPr>
          </w:p>
          <w:p>
            <w:pPr>
              <w:adjustRightInd w:val="0"/>
              <w:snapToGrid w:val="0"/>
              <w:spacing w:line="520" w:lineRule="exact"/>
              <w:ind w:firstLine="480" w:firstLineChars="200"/>
              <w:rPr>
                <w:color w:val="000000" w:themeColor="text1"/>
                <w:sz w:val="24"/>
              </w:rPr>
            </w:pPr>
          </w:p>
          <w:p>
            <w:pPr>
              <w:adjustRightInd w:val="0"/>
              <w:snapToGrid w:val="0"/>
              <w:spacing w:line="520" w:lineRule="exact"/>
              <w:ind w:firstLine="480" w:firstLineChars="200"/>
              <w:rPr>
                <w:color w:val="000000" w:themeColor="text1"/>
                <w:sz w:val="24"/>
              </w:rPr>
            </w:pPr>
          </w:p>
          <w:p>
            <w:pPr>
              <w:adjustRightInd w:val="0"/>
              <w:snapToGrid w:val="0"/>
              <w:spacing w:line="520" w:lineRule="exact"/>
              <w:jc w:val="center"/>
              <w:rPr>
                <w:rFonts w:ascii="Times New Roman" w:hAnsi="Times New Roman" w:eastAsia="宋体"/>
                <w:b/>
                <w:color w:val="000000" w:themeColor="text1"/>
                <w:sz w:val="24"/>
              </w:rPr>
            </w:pPr>
            <w:r>
              <w:rPr>
                <w:rFonts w:ascii="Times New Roman" w:eastAsia="宋体"/>
                <w:b/>
                <w:color w:val="000000" w:themeColor="text1"/>
                <w:sz w:val="24"/>
              </w:rPr>
              <w:t>图</w:t>
            </w:r>
            <w:r>
              <w:rPr>
                <w:rFonts w:hint="eastAsia" w:ascii="Times New Roman" w:hAnsi="Times New Roman" w:eastAsia="宋体"/>
                <w:b/>
                <w:color w:val="000000" w:themeColor="text1"/>
                <w:sz w:val="24"/>
              </w:rPr>
              <w:t xml:space="preserve">6    </w:t>
            </w:r>
            <w:r>
              <w:rPr>
                <w:rFonts w:hint="eastAsia" w:ascii="Times New Roman" w:eastAsia="宋体"/>
                <w:b/>
                <w:color w:val="000000" w:themeColor="text1"/>
                <w:sz w:val="24"/>
              </w:rPr>
              <w:t>有机</w:t>
            </w:r>
            <w:r>
              <w:rPr>
                <w:rFonts w:ascii="Times New Roman" w:eastAsia="宋体"/>
                <w:b/>
                <w:color w:val="000000" w:themeColor="text1"/>
                <w:sz w:val="24"/>
              </w:rPr>
              <w:t>废气收集及处理设施示意图</w:t>
            </w:r>
          </w:p>
          <w:p>
            <w:pPr>
              <w:adjustRightInd w:val="0"/>
              <w:snapToGrid w:val="0"/>
              <w:spacing w:line="440" w:lineRule="exact"/>
              <w:ind w:firstLine="480" w:firstLineChars="200"/>
              <w:rPr>
                <w:rFonts w:ascii="Times New Roman" w:hAnsi="Times New Roman" w:eastAsia="宋体"/>
                <w:color w:val="000000" w:themeColor="text1"/>
                <w:sz w:val="24"/>
              </w:rPr>
            </w:pPr>
            <w:r>
              <w:rPr>
                <w:rFonts w:hint="eastAsia" w:ascii="Times New Roman" w:eastAsia="宋体"/>
                <w:color w:val="000000" w:themeColor="text1"/>
                <w:sz w:val="24"/>
              </w:rPr>
              <w:t>③有机废气处理方式比选</w:t>
            </w:r>
          </w:p>
          <w:p>
            <w:pPr>
              <w:spacing w:line="440" w:lineRule="exact"/>
              <w:ind w:firstLine="480" w:firstLineChars="200"/>
              <w:rPr>
                <w:rFonts w:ascii="Times New Roman" w:hAnsi="Times New Roman" w:eastAsia="宋体"/>
                <w:color w:val="000000" w:themeColor="text1"/>
                <w:sz w:val="24"/>
              </w:rPr>
            </w:pPr>
            <w:r>
              <w:rPr>
                <w:rFonts w:hint="eastAsia" w:ascii="Times New Roman" w:eastAsia="宋体"/>
                <w:color w:val="000000" w:themeColor="text1"/>
                <w:sz w:val="24"/>
              </w:rPr>
              <w:t>目前，有机废气的处理方法有直接燃烧法、活性炭吸附法、催化燃烧法、吸收法、冷凝法、</w:t>
            </w:r>
            <w:r>
              <w:rPr>
                <w:rFonts w:ascii="Times New Roman" w:hAnsi="Times New Roman" w:eastAsia="宋体"/>
                <w:color w:val="000000" w:themeColor="text1"/>
                <w:sz w:val="24"/>
              </w:rPr>
              <w:t>UV</w:t>
            </w:r>
            <w:r>
              <w:rPr>
                <w:rFonts w:hint="eastAsia" w:ascii="Times New Roman" w:eastAsia="宋体"/>
                <w:color w:val="000000" w:themeColor="text1"/>
                <w:sz w:val="24"/>
              </w:rPr>
              <w:t>光解催化氧化法、低温等离子体等，各种方法的主要优缺点见表</w:t>
            </w:r>
            <w:r>
              <w:rPr>
                <w:rFonts w:hint="eastAsia" w:ascii="Times New Roman" w:hAnsi="Times New Roman" w:eastAsia="宋体"/>
                <w:color w:val="000000" w:themeColor="text1"/>
                <w:sz w:val="24"/>
              </w:rPr>
              <w:t>33</w:t>
            </w:r>
            <w:r>
              <w:rPr>
                <w:rFonts w:hint="eastAsia" w:ascii="Times New Roman" w:eastAsia="宋体"/>
                <w:color w:val="000000" w:themeColor="text1"/>
                <w:sz w:val="24"/>
              </w:rPr>
              <w:t>。</w:t>
            </w:r>
          </w:p>
          <w:p>
            <w:pPr>
              <w:autoSpaceDE w:val="0"/>
              <w:autoSpaceDN w:val="0"/>
              <w:spacing w:line="440" w:lineRule="exact"/>
              <w:jc w:val="center"/>
              <w:rPr>
                <w:rFonts w:ascii="Times New Roman" w:hAnsi="Times New Roman" w:eastAsia="宋体"/>
                <w:b/>
                <w:color w:val="000000" w:themeColor="text1"/>
                <w:sz w:val="24"/>
              </w:rPr>
            </w:pPr>
            <w:r>
              <w:rPr>
                <w:rFonts w:ascii="Times New Roman" w:eastAsia="宋体"/>
                <w:b/>
                <w:color w:val="000000" w:themeColor="text1"/>
                <w:sz w:val="24"/>
              </w:rPr>
              <w:t>表</w:t>
            </w:r>
            <w:r>
              <w:rPr>
                <w:rFonts w:hint="eastAsia" w:ascii="Times New Roman" w:hAnsi="Times New Roman" w:eastAsia="宋体"/>
                <w:b/>
                <w:color w:val="000000" w:themeColor="text1"/>
                <w:sz w:val="24"/>
              </w:rPr>
              <w:t xml:space="preserve">33    </w:t>
            </w:r>
            <w:r>
              <w:rPr>
                <w:rFonts w:ascii="Times New Roman" w:eastAsia="宋体"/>
                <w:b/>
                <w:color w:val="000000" w:themeColor="text1"/>
                <w:sz w:val="24"/>
              </w:rPr>
              <w:t>有机废气净化方法比较一览表</w:t>
            </w:r>
          </w:p>
          <w:tbl>
            <w:tblPr>
              <w:tblStyle w:val="24"/>
              <w:tblW w:w="9072"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85" w:type="dxa"/>
                <w:left w:w="108" w:type="dxa"/>
                <w:bottom w:w="85" w:type="dxa"/>
                <w:right w:w="108" w:type="dxa"/>
              </w:tblCellMar>
            </w:tblPr>
            <w:tblGrid>
              <w:gridCol w:w="931"/>
              <w:gridCol w:w="2245"/>
              <w:gridCol w:w="2054"/>
              <w:gridCol w:w="2283"/>
              <w:gridCol w:w="155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108" w:type="dxa"/>
                  <w:bottom w:w="85" w:type="dxa"/>
                  <w:right w:w="108" w:type="dxa"/>
                </w:tblCellMar>
              </w:tblPrEx>
              <w:trPr>
                <w:trHeight w:val="397" w:hRule="atLeast"/>
                <w:jc w:val="center"/>
              </w:trPr>
              <w:tc>
                <w:tcPr>
                  <w:tcW w:w="896" w:type="dxa"/>
                  <w:tcBorders>
                    <w:top w:val="single" w:color="auto" w:sz="8" w:space="0"/>
                    <w:bottom w:val="single" w:color="auto" w:sz="8" w:space="0"/>
                  </w:tcBorders>
                  <w:tcMar>
                    <w:top w:w="28" w:type="dxa"/>
                    <w:left w:w="51" w:type="dxa"/>
                    <w:bottom w:w="28" w:type="dxa"/>
                    <w:right w:w="51" w:type="dxa"/>
                  </w:tcMar>
                  <w:vAlign w:val="center"/>
                </w:tcPr>
                <w:p>
                  <w:pPr>
                    <w:adjustRightInd w:val="0"/>
                    <w:snapToGrid w:val="0"/>
                    <w:jc w:val="center"/>
                    <w:rPr>
                      <w:rFonts w:ascii="Times New Roman" w:hAnsi="Times New Roman" w:eastAsia="宋体"/>
                      <w:b/>
                      <w:bCs/>
                      <w:color w:val="000000" w:themeColor="text1"/>
                      <w:spacing w:val="-4"/>
                      <w:kern w:val="21"/>
                      <w:szCs w:val="21"/>
                    </w:rPr>
                  </w:pPr>
                  <w:r>
                    <w:rPr>
                      <w:rFonts w:hint="eastAsia" w:ascii="Times New Roman" w:eastAsia="宋体"/>
                      <w:b/>
                      <w:bCs/>
                      <w:color w:val="000000" w:themeColor="text1"/>
                      <w:kern w:val="21"/>
                      <w:szCs w:val="21"/>
                    </w:rPr>
                    <w:t>方法</w:t>
                  </w:r>
                </w:p>
              </w:tc>
              <w:tc>
                <w:tcPr>
                  <w:tcW w:w="2160" w:type="dxa"/>
                  <w:tcBorders>
                    <w:top w:val="single" w:color="auto" w:sz="8" w:space="0"/>
                    <w:bottom w:val="single" w:color="auto" w:sz="8" w:space="0"/>
                  </w:tcBorders>
                  <w:tcMar>
                    <w:top w:w="28" w:type="dxa"/>
                    <w:left w:w="51" w:type="dxa"/>
                    <w:bottom w:w="28" w:type="dxa"/>
                    <w:right w:w="51" w:type="dxa"/>
                  </w:tcMar>
                  <w:vAlign w:val="center"/>
                </w:tcPr>
                <w:p>
                  <w:pPr>
                    <w:adjustRightInd w:val="0"/>
                    <w:snapToGrid w:val="0"/>
                    <w:jc w:val="center"/>
                    <w:rPr>
                      <w:rFonts w:ascii="Times New Roman" w:hAnsi="Times New Roman" w:eastAsia="宋体"/>
                      <w:b/>
                      <w:bCs/>
                      <w:color w:val="000000" w:themeColor="text1"/>
                      <w:spacing w:val="-4"/>
                      <w:kern w:val="21"/>
                      <w:szCs w:val="21"/>
                    </w:rPr>
                  </w:pPr>
                  <w:r>
                    <w:rPr>
                      <w:rFonts w:hint="eastAsia" w:ascii="Times New Roman" w:eastAsia="宋体"/>
                      <w:b/>
                      <w:bCs/>
                      <w:color w:val="000000" w:themeColor="text1"/>
                      <w:kern w:val="21"/>
                      <w:szCs w:val="21"/>
                    </w:rPr>
                    <w:t>原理</w:t>
                  </w:r>
                </w:p>
              </w:tc>
              <w:tc>
                <w:tcPr>
                  <w:tcW w:w="1977" w:type="dxa"/>
                  <w:tcBorders>
                    <w:top w:val="single" w:color="auto" w:sz="8" w:space="0"/>
                    <w:bottom w:val="single" w:color="auto" w:sz="8" w:space="0"/>
                  </w:tcBorders>
                  <w:tcMar>
                    <w:top w:w="28" w:type="dxa"/>
                    <w:left w:w="51" w:type="dxa"/>
                    <w:bottom w:w="28" w:type="dxa"/>
                    <w:right w:w="51" w:type="dxa"/>
                  </w:tcMar>
                  <w:vAlign w:val="center"/>
                </w:tcPr>
                <w:p>
                  <w:pPr>
                    <w:adjustRightInd w:val="0"/>
                    <w:snapToGrid w:val="0"/>
                    <w:jc w:val="center"/>
                    <w:rPr>
                      <w:rFonts w:ascii="Times New Roman" w:hAnsi="Times New Roman" w:eastAsia="宋体"/>
                      <w:b/>
                      <w:bCs/>
                      <w:color w:val="000000" w:themeColor="text1"/>
                      <w:spacing w:val="-4"/>
                      <w:kern w:val="21"/>
                      <w:szCs w:val="21"/>
                    </w:rPr>
                  </w:pPr>
                  <w:r>
                    <w:rPr>
                      <w:rFonts w:hint="eastAsia" w:ascii="Times New Roman" w:eastAsia="宋体"/>
                      <w:b/>
                      <w:bCs/>
                      <w:color w:val="000000" w:themeColor="text1"/>
                      <w:kern w:val="21"/>
                      <w:szCs w:val="21"/>
                    </w:rPr>
                    <w:t>优点</w:t>
                  </w:r>
                </w:p>
              </w:tc>
              <w:tc>
                <w:tcPr>
                  <w:tcW w:w="2197" w:type="dxa"/>
                  <w:tcBorders>
                    <w:top w:val="single" w:color="auto" w:sz="8" w:space="0"/>
                    <w:bottom w:val="single" w:color="auto" w:sz="8" w:space="0"/>
                  </w:tcBorders>
                  <w:tcMar>
                    <w:top w:w="28" w:type="dxa"/>
                    <w:left w:w="51" w:type="dxa"/>
                    <w:bottom w:w="28" w:type="dxa"/>
                    <w:right w:w="51" w:type="dxa"/>
                  </w:tcMar>
                  <w:vAlign w:val="center"/>
                </w:tcPr>
                <w:p>
                  <w:pPr>
                    <w:adjustRightInd w:val="0"/>
                    <w:snapToGrid w:val="0"/>
                    <w:jc w:val="center"/>
                    <w:rPr>
                      <w:rFonts w:ascii="Times New Roman" w:hAnsi="Times New Roman" w:eastAsia="宋体"/>
                      <w:b/>
                      <w:bCs/>
                      <w:color w:val="000000" w:themeColor="text1"/>
                      <w:spacing w:val="-4"/>
                      <w:kern w:val="21"/>
                      <w:szCs w:val="21"/>
                    </w:rPr>
                  </w:pPr>
                  <w:r>
                    <w:rPr>
                      <w:rFonts w:hint="eastAsia" w:ascii="Times New Roman" w:eastAsia="宋体"/>
                      <w:b/>
                      <w:bCs/>
                      <w:color w:val="000000" w:themeColor="text1"/>
                      <w:kern w:val="21"/>
                      <w:szCs w:val="21"/>
                    </w:rPr>
                    <w:t>缺点</w:t>
                  </w:r>
                </w:p>
              </w:tc>
              <w:tc>
                <w:tcPr>
                  <w:tcW w:w="1500" w:type="dxa"/>
                  <w:tcBorders>
                    <w:top w:val="single" w:color="auto" w:sz="8" w:space="0"/>
                    <w:bottom w:val="single" w:color="auto" w:sz="8" w:space="0"/>
                  </w:tcBorders>
                  <w:tcMar>
                    <w:top w:w="28" w:type="dxa"/>
                    <w:left w:w="51" w:type="dxa"/>
                    <w:bottom w:w="28" w:type="dxa"/>
                    <w:right w:w="51" w:type="dxa"/>
                  </w:tcMar>
                  <w:vAlign w:val="center"/>
                </w:tcPr>
                <w:p>
                  <w:pPr>
                    <w:adjustRightInd w:val="0"/>
                    <w:snapToGrid w:val="0"/>
                    <w:jc w:val="center"/>
                    <w:rPr>
                      <w:rFonts w:ascii="Times New Roman" w:hAnsi="Times New Roman" w:eastAsia="宋体"/>
                      <w:b/>
                      <w:bCs/>
                      <w:color w:val="000000" w:themeColor="text1"/>
                      <w:spacing w:val="-4"/>
                      <w:kern w:val="21"/>
                      <w:szCs w:val="21"/>
                    </w:rPr>
                  </w:pPr>
                  <w:r>
                    <w:rPr>
                      <w:rFonts w:hint="eastAsia" w:ascii="Times New Roman" w:eastAsia="宋体"/>
                      <w:b/>
                      <w:bCs/>
                      <w:color w:val="000000" w:themeColor="text1"/>
                      <w:kern w:val="21"/>
                      <w:szCs w:val="21"/>
                    </w:rPr>
                    <w:t>适用范围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108" w:type="dxa"/>
                  <w:bottom w:w="85" w:type="dxa"/>
                  <w:right w:w="108" w:type="dxa"/>
                </w:tblCellMar>
              </w:tblPrEx>
              <w:trPr>
                <w:trHeight w:val="397" w:hRule="atLeast"/>
                <w:jc w:val="center"/>
              </w:trPr>
              <w:tc>
                <w:tcPr>
                  <w:tcW w:w="896" w:type="dxa"/>
                  <w:tcBorders>
                    <w:top w:val="single" w:color="auto" w:sz="8" w:space="0"/>
                  </w:tcBorders>
                  <w:tcMar>
                    <w:top w:w="28" w:type="dxa"/>
                    <w:left w:w="51" w:type="dxa"/>
                    <w:bottom w:w="28" w:type="dxa"/>
                    <w:right w:w="51" w:type="dxa"/>
                  </w:tcMar>
                  <w:vAlign w:val="center"/>
                </w:tcPr>
                <w:p>
                  <w:pPr>
                    <w:adjustRightInd w:val="0"/>
                    <w:snapToGrid w:val="0"/>
                    <w:jc w:val="center"/>
                    <w:rPr>
                      <w:rFonts w:ascii="Times New Roman" w:hAnsi="Times New Roman" w:eastAsia="宋体"/>
                      <w:bCs/>
                      <w:color w:val="000000" w:themeColor="text1"/>
                      <w:spacing w:val="-4"/>
                      <w:kern w:val="21"/>
                      <w:szCs w:val="21"/>
                    </w:rPr>
                  </w:pPr>
                  <w:r>
                    <w:rPr>
                      <w:rFonts w:hint="eastAsia" w:ascii="Times New Roman" w:eastAsia="宋体"/>
                      <w:bCs/>
                      <w:color w:val="000000" w:themeColor="text1"/>
                      <w:kern w:val="21"/>
                      <w:szCs w:val="21"/>
                    </w:rPr>
                    <w:t>吸附法</w:t>
                  </w:r>
                </w:p>
              </w:tc>
              <w:tc>
                <w:tcPr>
                  <w:tcW w:w="2160" w:type="dxa"/>
                  <w:tcBorders>
                    <w:top w:val="single" w:color="auto" w:sz="8" w:space="0"/>
                  </w:tcBorders>
                  <w:tcMar>
                    <w:top w:w="28" w:type="dxa"/>
                    <w:left w:w="51" w:type="dxa"/>
                    <w:bottom w:w="28" w:type="dxa"/>
                    <w:right w:w="51" w:type="dxa"/>
                  </w:tcMar>
                  <w:vAlign w:val="center"/>
                </w:tcPr>
                <w:p>
                  <w:pPr>
                    <w:adjustRightInd w:val="0"/>
                    <w:snapToGrid w:val="0"/>
                    <w:jc w:val="center"/>
                    <w:rPr>
                      <w:rFonts w:ascii="Times New Roman" w:hAnsi="Times New Roman" w:eastAsia="宋体"/>
                      <w:bCs/>
                      <w:color w:val="000000" w:themeColor="text1"/>
                      <w:spacing w:val="-4"/>
                      <w:kern w:val="21"/>
                      <w:szCs w:val="21"/>
                    </w:rPr>
                  </w:pPr>
                  <w:r>
                    <w:rPr>
                      <w:rFonts w:hint="eastAsia" w:ascii="Times New Roman" w:eastAsia="宋体"/>
                      <w:bCs/>
                      <w:color w:val="000000" w:themeColor="text1"/>
                      <w:kern w:val="21"/>
                      <w:szCs w:val="21"/>
                    </w:rPr>
                    <w:t>废气分子扩散到固体吸附剂表面，有害成分被吸附而达到净化</w:t>
                  </w:r>
                </w:p>
              </w:tc>
              <w:tc>
                <w:tcPr>
                  <w:tcW w:w="1977" w:type="dxa"/>
                  <w:tcBorders>
                    <w:top w:val="single" w:color="auto" w:sz="8" w:space="0"/>
                  </w:tcBorders>
                  <w:tcMar>
                    <w:top w:w="28" w:type="dxa"/>
                    <w:left w:w="51" w:type="dxa"/>
                    <w:bottom w:w="28" w:type="dxa"/>
                    <w:right w:w="51" w:type="dxa"/>
                  </w:tcMar>
                  <w:vAlign w:val="center"/>
                </w:tcPr>
                <w:p>
                  <w:pPr>
                    <w:adjustRightInd w:val="0"/>
                    <w:snapToGrid w:val="0"/>
                    <w:jc w:val="center"/>
                    <w:rPr>
                      <w:rFonts w:ascii="Times New Roman" w:hAnsi="Times New Roman" w:eastAsia="宋体"/>
                      <w:bCs/>
                      <w:color w:val="000000" w:themeColor="text1"/>
                      <w:spacing w:val="-4"/>
                      <w:kern w:val="21"/>
                      <w:szCs w:val="21"/>
                    </w:rPr>
                  </w:pPr>
                  <w:r>
                    <w:rPr>
                      <w:rFonts w:hint="eastAsia" w:ascii="Times New Roman" w:eastAsia="宋体"/>
                      <w:bCs/>
                      <w:color w:val="000000" w:themeColor="text1"/>
                      <w:kern w:val="21"/>
                      <w:szCs w:val="21"/>
                    </w:rPr>
                    <w:t>可处理含有低浓度的碳氢化合物和低温废气；溶剂可回收，进行有效利用；处理程度可控制</w:t>
                  </w:r>
                </w:p>
              </w:tc>
              <w:tc>
                <w:tcPr>
                  <w:tcW w:w="2197" w:type="dxa"/>
                  <w:tcBorders>
                    <w:top w:val="single" w:color="auto" w:sz="8" w:space="0"/>
                  </w:tcBorders>
                  <w:tcMar>
                    <w:top w:w="28" w:type="dxa"/>
                    <w:left w:w="51" w:type="dxa"/>
                    <w:bottom w:w="28" w:type="dxa"/>
                    <w:right w:w="51" w:type="dxa"/>
                  </w:tcMar>
                  <w:vAlign w:val="center"/>
                </w:tcPr>
                <w:p>
                  <w:pPr>
                    <w:adjustRightInd w:val="0"/>
                    <w:snapToGrid w:val="0"/>
                    <w:jc w:val="center"/>
                    <w:rPr>
                      <w:rFonts w:ascii="Times New Roman" w:hAnsi="Times New Roman" w:eastAsia="宋体"/>
                      <w:bCs/>
                      <w:color w:val="000000" w:themeColor="text1"/>
                      <w:spacing w:val="-4"/>
                      <w:kern w:val="21"/>
                      <w:szCs w:val="21"/>
                    </w:rPr>
                  </w:pPr>
                  <w:r>
                    <w:rPr>
                      <w:rFonts w:hint="eastAsia" w:ascii="Times New Roman" w:eastAsia="宋体"/>
                      <w:bCs/>
                      <w:color w:val="000000" w:themeColor="text1"/>
                      <w:kern w:val="21"/>
                      <w:szCs w:val="21"/>
                    </w:rPr>
                    <w:t>吸附剂再生和补充费用高；在处理喷漆废气时要预先除漆雾</w:t>
                  </w:r>
                </w:p>
              </w:tc>
              <w:tc>
                <w:tcPr>
                  <w:tcW w:w="1500" w:type="dxa"/>
                  <w:tcBorders>
                    <w:top w:val="single" w:color="auto" w:sz="8" w:space="0"/>
                  </w:tcBorders>
                  <w:tcMar>
                    <w:top w:w="28" w:type="dxa"/>
                    <w:left w:w="51" w:type="dxa"/>
                    <w:bottom w:w="28" w:type="dxa"/>
                    <w:right w:w="51" w:type="dxa"/>
                  </w:tcMar>
                  <w:vAlign w:val="center"/>
                </w:tcPr>
                <w:p>
                  <w:pPr>
                    <w:adjustRightInd w:val="0"/>
                    <w:snapToGrid w:val="0"/>
                    <w:jc w:val="center"/>
                    <w:rPr>
                      <w:rFonts w:ascii="Times New Roman" w:hAnsi="Times New Roman" w:eastAsia="宋体"/>
                      <w:bCs/>
                      <w:color w:val="000000" w:themeColor="text1"/>
                      <w:spacing w:val="-4"/>
                      <w:kern w:val="21"/>
                      <w:szCs w:val="21"/>
                    </w:rPr>
                  </w:pPr>
                  <w:r>
                    <w:rPr>
                      <w:rFonts w:hint="eastAsia" w:ascii="Times New Roman" w:eastAsia="宋体"/>
                      <w:bCs/>
                      <w:color w:val="000000" w:themeColor="text1"/>
                      <w:kern w:val="21"/>
                      <w:szCs w:val="21"/>
                    </w:rPr>
                    <w:t>适用常温、低浓度、废气量较小的废气治理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108" w:type="dxa"/>
                  <w:bottom w:w="85" w:type="dxa"/>
                  <w:right w:w="108" w:type="dxa"/>
                </w:tblCellMar>
              </w:tblPrEx>
              <w:trPr>
                <w:trHeight w:val="397" w:hRule="atLeast"/>
                <w:jc w:val="center"/>
              </w:trPr>
              <w:tc>
                <w:tcPr>
                  <w:tcW w:w="896" w:type="dxa"/>
                  <w:tcMar>
                    <w:top w:w="28" w:type="dxa"/>
                    <w:left w:w="51" w:type="dxa"/>
                    <w:bottom w:w="28" w:type="dxa"/>
                    <w:right w:w="51" w:type="dxa"/>
                  </w:tcMar>
                  <w:vAlign w:val="center"/>
                </w:tcPr>
                <w:p>
                  <w:pPr>
                    <w:adjustRightInd w:val="0"/>
                    <w:snapToGrid w:val="0"/>
                    <w:jc w:val="center"/>
                    <w:rPr>
                      <w:rFonts w:ascii="Times New Roman" w:hAnsi="Times New Roman" w:eastAsia="宋体"/>
                      <w:bCs/>
                      <w:color w:val="000000" w:themeColor="text1"/>
                      <w:spacing w:val="-4"/>
                      <w:kern w:val="21"/>
                      <w:szCs w:val="21"/>
                    </w:rPr>
                  </w:pPr>
                  <w:r>
                    <w:rPr>
                      <w:rFonts w:hint="eastAsia" w:ascii="Times New Roman" w:eastAsia="宋体"/>
                      <w:bCs/>
                      <w:color w:val="000000" w:themeColor="text1"/>
                      <w:kern w:val="21"/>
                      <w:szCs w:val="21"/>
                    </w:rPr>
                    <w:t>直接燃烧法</w:t>
                  </w:r>
                </w:p>
              </w:tc>
              <w:tc>
                <w:tcPr>
                  <w:tcW w:w="2160" w:type="dxa"/>
                  <w:tcMar>
                    <w:top w:w="28" w:type="dxa"/>
                    <w:left w:w="51" w:type="dxa"/>
                    <w:bottom w:w="28" w:type="dxa"/>
                    <w:right w:w="51" w:type="dxa"/>
                  </w:tcMar>
                  <w:vAlign w:val="center"/>
                </w:tcPr>
                <w:p>
                  <w:pPr>
                    <w:adjustRightInd w:val="0"/>
                    <w:snapToGrid w:val="0"/>
                    <w:jc w:val="center"/>
                    <w:rPr>
                      <w:rFonts w:ascii="Times New Roman" w:hAnsi="Times New Roman" w:eastAsia="宋体"/>
                      <w:bCs/>
                      <w:color w:val="000000" w:themeColor="text1"/>
                      <w:spacing w:val="-4"/>
                      <w:kern w:val="21"/>
                      <w:szCs w:val="21"/>
                    </w:rPr>
                  </w:pPr>
                  <w:r>
                    <w:rPr>
                      <w:rFonts w:hint="eastAsia" w:ascii="Times New Roman" w:eastAsia="宋体"/>
                      <w:bCs/>
                      <w:color w:val="000000" w:themeColor="text1"/>
                      <w:kern w:val="21"/>
                      <w:szCs w:val="21"/>
                    </w:rPr>
                    <w:t>废气与燃烧室火焰直接接触，有害物燃烧成</w:t>
                  </w:r>
                  <w:r>
                    <w:rPr>
                      <w:rFonts w:ascii="Times New Roman" w:hAnsi="Times New Roman" w:eastAsia="宋体"/>
                      <w:bCs/>
                      <w:color w:val="000000" w:themeColor="text1"/>
                      <w:kern w:val="21"/>
                      <w:szCs w:val="21"/>
                    </w:rPr>
                    <w:t>CO</w:t>
                  </w:r>
                  <w:r>
                    <w:rPr>
                      <w:rFonts w:ascii="Times New Roman" w:hAnsi="Times New Roman" w:eastAsia="宋体"/>
                      <w:bCs/>
                      <w:color w:val="000000" w:themeColor="text1"/>
                      <w:kern w:val="21"/>
                      <w:szCs w:val="21"/>
                      <w:vertAlign w:val="subscript"/>
                    </w:rPr>
                    <w:t>2</w:t>
                  </w:r>
                  <w:r>
                    <w:rPr>
                      <w:rFonts w:hint="eastAsia" w:ascii="Times New Roman" w:eastAsia="宋体"/>
                      <w:bCs/>
                      <w:color w:val="000000" w:themeColor="text1"/>
                      <w:kern w:val="21"/>
                      <w:szCs w:val="21"/>
                    </w:rPr>
                    <w:t>和</w:t>
                  </w:r>
                  <w:r>
                    <w:rPr>
                      <w:rFonts w:ascii="Times New Roman" w:hAnsi="Times New Roman" w:eastAsia="宋体"/>
                      <w:bCs/>
                      <w:color w:val="000000" w:themeColor="text1"/>
                      <w:kern w:val="21"/>
                      <w:szCs w:val="21"/>
                    </w:rPr>
                    <w:t>H</w:t>
                  </w:r>
                  <w:r>
                    <w:rPr>
                      <w:rFonts w:ascii="Times New Roman" w:hAnsi="Times New Roman" w:eastAsia="宋体"/>
                      <w:bCs/>
                      <w:color w:val="000000" w:themeColor="text1"/>
                      <w:kern w:val="21"/>
                      <w:szCs w:val="21"/>
                      <w:vertAlign w:val="subscript"/>
                    </w:rPr>
                    <w:t>2</w:t>
                  </w:r>
                  <w:r>
                    <w:rPr>
                      <w:rFonts w:ascii="Times New Roman" w:hAnsi="Times New Roman" w:eastAsia="宋体"/>
                      <w:bCs/>
                      <w:color w:val="000000" w:themeColor="text1"/>
                      <w:kern w:val="21"/>
                      <w:szCs w:val="21"/>
                    </w:rPr>
                    <w:t>O</w:t>
                  </w:r>
                  <w:r>
                    <w:rPr>
                      <w:rFonts w:hint="eastAsia" w:ascii="Times New Roman" w:eastAsia="宋体"/>
                      <w:bCs/>
                      <w:color w:val="000000" w:themeColor="text1"/>
                      <w:kern w:val="21"/>
                      <w:szCs w:val="21"/>
                    </w:rPr>
                    <w:t>，使废气净化</w:t>
                  </w:r>
                </w:p>
              </w:tc>
              <w:tc>
                <w:tcPr>
                  <w:tcW w:w="1977" w:type="dxa"/>
                  <w:tcMar>
                    <w:top w:w="28" w:type="dxa"/>
                    <w:left w:w="51" w:type="dxa"/>
                    <w:bottom w:w="28" w:type="dxa"/>
                    <w:right w:w="51" w:type="dxa"/>
                  </w:tcMar>
                  <w:vAlign w:val="center"/>
                </w:tcPr>
                <w:p>
                  <w:pPr>
                    <w:adjustRightInd w:val="0"/>
                    <w:snapToGrid w:val="0"/>
                    <w:jc w:val="center"/>
                    <w:rPr>
                      <w:rFonts w:ascii="Times New Roman" w:hAnsi="Times New Roman" w:eastAsia="宋体"/>
                      <w:bCs/>
                      <w:color w:val="000000" w:themeColor="text1"/>
                      <w:spacing w:val="-4"/>
                      <w:kern w:val="21"/>
                      <w:szCs w:val="21"/>
                    </w:rPr>
                  </w:pPr>
                  <w:r>
                    <w:rPr>
                      <w:rFonts w:hint="eastAsia" w:ascii="Times New Roman" w:eastAsia="宋体"/>
                      <w:bCs/>
                      <w:color w:val="000000" w:themeColor="text1"/>
                      <w:kern w:val="21"/>
                      <w:szCs w:val="21"/>
                    </w:rPr>
                    <w:t>燃烧效率高，管理容易，维护简单；装置占地面积小；不稳定因素少，可靠性高</w:t>
                  </w:r>
                </w:p>
              </w:tc>
              <w:tc>
                <w:tcPr>
                  <w:tcW w:w="2197" w:type="dxa"/>
                  <w:tcMar>
                    <w:top w:w="28" w:type="dxa"/>
                    <w:left w:w="51" w:type="dxa"/>
                    <w:bottom w:w="28" w:type="dxa"/>
                    <w:right w:w="51" w:type="dxa"/>
                  </w:tcMar>
                  <w:vAlign w:val="center"/>
                </w:tcPr>
                <w:p>
                  <w:pPr>
                    <w:adjustRightInd w:val="0"/>
                    <w:snapToGrid w:val="0"/>
                    <w:jc w:val="center"/>
                    <w:rPr>
                      <w:rFonts w:ascii="Times New Roman" w:hAnsi="Times New Roman" w:eastAsia="宋体"/>
                      <w:bCs/>
                      <w:color w:val="000000" w:themeColor="text1"/>
                      <w:spacing w:val="-4"/>
                      <w:kern w:val="21"/>
                      <w:szCs w:val="21"/>
                    </w:rPr>
                  </w:pPr>
                  <w:r>
                    <w:rPr>
                      <w:rFonts w:hint="eastAsia" w:ascii="Times New Roman" w:eastAsia="宋体"/>
                      <w:bCs/>
                      <w:color w:val="000000" w:themeColor="text1"/>
                      <w:kern w:val="21"/>
                      <w:szCs w:val="21"/>
                    </w:rPr>
                    <w:t>处理温度高，燃料费用高，设备造价高，处理低浓度、风量大的废气不经济</w:t>
                  </w:r>
                </w:p>
              </w:tc>
              <w:tc>
                <w:tcPr>
                  <w:tcW w:w="1500" w:type="dxa"/>
                  <w:tcMar>
                    <w:top w:w="28" w:type="dxa"/>
                    <w:left w:w="51" w:type="dxa"/>
                    <w:bottom w:w="28" w:type="dxa"/>
                    <w:right w:w="51" w:type="dxa"/>
                  </w:tcMar>
                  <w:vAlign w:val="center"/>
                </w:tcPr>
                <w:p>
                  <w:pPr>
                    <w:adjustRightInd w:val="0"/>
                    <w:snapToGrid w:val="0"/>
                    <w:jc w:val="center"/>
                    <w:rPr>
                      <w:rFonts w:ascii="Times New Roman" w:hAnsi="Times New Roman" w:eastAsia="宋体"/>
                      <w:bCs/>
                      <w:color w:val="000000" w:themeColor="text1"/>
                      <w:spacing w:val="-4"/>
                      <w:kern w:val="21"/>
                      <w:szCs w:val="21"/>
                    </w:rPr>
                  </w:pPr>
                  <w:r>
                    <w:rPr>
                      <w:rFonts w:hint="eastAsia" w:ascii="Times New Roman" w:eastAsia="宋体"/>
                      <w:bCs/>
                      <w:color w:val="000000" w:themeColor="text1"/>
                      <w:kern w:val="21"/>
                      <w:szCs w:val="21"/>
                    </w:rPr>
                    <w:t>使用于有机溶剂含量高、湿度高的废气治理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108" w:type="dxa"/>
                  <w:bottom w:w="85" w:type="dxa"/>
                  <w:right w:w="108" w:type="dxa"/>
                </w:tblCellMar>
              </w:tblPrEx>
              <w:trPr>
                <w:trHeight w:val="397" w:hRule="atLeast"/>
                <w:jc w:val="center"/>
              </w:trPr>
              <w:tc>
                <w:tcPr>
                  <w:tcW w:w="896" w:type="dxa"/>
                  <w:tcMar>
                    <w:top w:w="28" w:type="dxa"/>
                    <w:left w:w="51" w:type="dxa"/>
                    <w:bottom w:w="28" w:type="dxa"/>
                    <w:right w:w="51" w:type="dxa"/>
                  </w:tcMar>
                  <w:vAlign w:val="center"/>
                </w:tcPr>
                <w:p>
                  <w:pPr>
                    <w:adjustRightInd w:val="0"/>
                    <w:snapToGrid w:val="0"/>
                    <w:jc w:val="center"/>
                    <w:rPr>
                      <w:rFonts w:ascii="Times New Roman" w:hAnsi="Times New Roman" w:eastAsia="宋体"/>
                      <w:bCs/>
                      <w:color w:val="000000" w:themeColor="text1"/>
                      <w:spacing w:val="-4"/>
                      <w:kern w:val="21"/>
                      <w:szCs w:val="21"/>
                    </w:rPr>
                  </w:pPr>
                  <w:r>
                    <w:rPr>
                      <w:rFonts w:hint="eastAsia" w:ascii="Times New Roman" w:eastAsia="宋体"/>
                      <w:bCs/>
                      <w:color w:val="000000" w:themeColor="text1"/>
                      <w:kern w:val="21"/>
                      <w:szCs w:val="21"/>
                    </w:rPr>
                    <w:t>冷凝法</w:t>
                  </w:r>
                </w:p>
              </w:tc>
              <w:tc>
                <w:tcPr>
                  <w:tcW w:w="2160" w:type="dxa"/>
                  <w:tcMar>
                    <w:top w:w="28" w:type="dxa"/>
                    <w:left w:w="51" w:type="dxa"/>
                    <w:bottom w:w="28" w:type="dxa"/>
                    <w:right w:w="51" w:type="dxa"/>
                  </w:tcMar>
                  <w:vAlign w:val="center"/>
                </w:tcPr>
                <w:p>
                  <w:pPr>
                    <w:adjustRightInd w:val="0"/>
                    <w:snapToGrid w:val="0"/>
                    <w:jc w:val="center"/>
                    <w:rPr>
                      <w:rFonts w:ascii="Times New Roman" w:hAnsi="Times New Roman" w:eastAsia="宋体"/>
                      <w:bCs/>
                      <w:color w:val="000000" w:themeColor="text1"/>
                      <w:spacing w:val="-4"/>
                      <w:kern w:val="21"/>
                      <w:szCs w:val="21"/>
                    </w:rPr>
                  </w:pPr>
                  <w:r>
                    <w:rPr>
                      <w:rFonts w:hint="eastAsia" w:ascii="Times New Roman" w:eastAsia="宋体"/>
                      <w:bCs/>
                      <w:color w:val="000000" w:themeColor="text1"/>
                      <w:kern w:val="21"/>
                      <w:szCs w:val="21"/>
                    </w:rPr>
                    <w:t>降低有害气体的温度，使某些成分冷凝成液体</w:t>
                  </w:r>
                </w:p>
              </w:tc>
              <w:tc>
                <w:tcPr>
                  <w:tcW w:w="1977" w:type="dxa"/>
                  <w:tcMar>
                    <w:top w:w="28" w:type="dxa"/>
                    <w:left w:w="51" w:type="dxa"/>
                    <w:bottom w:w="28" w:type="dxa"/>
                    <w:right w:w="51" w:type="dxa"/>
                  </w:tcMar>
                  <w:vAlign w:val="center"/>
                </w:tcPr>
                <w:p>
                  <w:pPr>
                    <w:adjustRightInd w:val="0"/>
                    <w:snapToGrid w:val="0"/>
                    <w:jc w:val="center"/>
                    <w:rPr>
                      <w:rFonts w:ascii="Times New Roman" w:hAnsi="Times New Roman" w:eastAsia="宋体"/>
                      <w:bCs/>
                      <w:color w:val="000000" w:themeColor="text1"/>
                      <w:spacing w:val="-4"/>
                      <w:kern w:val="21"/>
                      <w:szCs w:val="21"/>
                    </w:rPr>
                  </w:pPr>
                  <w:r>
                    <w:rPr>
                      <w:rFonts w:hint="eastAsia" w:ascii="Times New Roman" w:eastAsia="宋体"/>
                      <w:bCs/>
                      <w:color w:val="000000" w:themeColor="text1"/>
                      <w:kern w:val="21"/>
                      <w:szCs w:val="21"/>
                    </w:rPr>
                    <w:t>设备、操作条件简单，回收物质纯度高</w:t>
                  </w:r>
                </w:p>
              </w:tc>
              <w:tc>
                <w:tcPr>
                  <w:tcW w:w="2197" w:type="dxa"/>
                  <w:tcMar>
                    <w:top w:w="28" w:type="dxa"/>
                    <w:left w:w="51" w:type="dxa"/>
                    <w:bottom w:w="28" w:type="dxa"/>
                    <w:right w:w="51" w:type="dxa"/>
                  </w:tcMar>
                  <w:vAlign w:val="center"/>
                </w:tcPr>
                <w:p>
                  <w:pPr>
                    <w:adjustRightInd w:val="0"/>
                    <w:snapToGrid w:val="0"/>
                    <w:jc w:val="center"/>
                    <w:rPr>
                      <w:rFonts w:ascii="Times New Roman" w:hAnsi="Times New Roman" w:eastAsia="宋体"/>
                      <w:bCs/>
                      <w:color w:val="000000" w:themeColor="text1"/>
                      <w:spacing w:val="-4"/>
                      <w:kern w:val="21"/>
                      <w:szCs w:val="21"/>
                    </w:rPr>
                  </w:pPr>
                  <w:r>
                    <w:rPr>
                      <w:rFonts w:hint="eastAsia" w:ascii="Times New Roman" w:eastAsia="宋体"/>
                      <w:bCs/>
                      <w:color w:val="000000" w:themeColor="text1"/>
                      <w:kern w:val="21"/>
                      <w:szCs w:val="21"/>
                    </w:rPr>
                    <w:t>冷凝后的气体仍含有较高浓度有机废气，不能达到标准要求</w:t>
                  </w:r>
                </w:p>
              </w:tc>
              <w:tc>
                <w:tcPr>
                  <w:tcW w:w="1500" w:type="dxa"/>
                  <w:tcMar>
                    <w:top w:w="28" w:type="dxa"/>
                    <w:left w:w="51" w:type="dxa"/>
                    <w:bottom w:w="28" w:type="dxa"/>
                    <w:right w:w="51" w:type="dxa"/>
                  </w:tcMar>
                  <w:vAlign w:val="center"/>
                </w:tcPr>
                <w:p>
                  <w:pPr>
                    <w:adjustRightInd w:val="0"/>
                    <w:snapToGrid w:val="0"/>
                    <w:jc w:val="center"/>
                    <w:rPr>
                      <w:rFonts w:ascii="Times New Roman" w:hAnsi="Times New Roman" w:eastAsia="宋体"/>
                      <w:bCs/>
                      <w:color w:val="000000" w:themeColor="text1"/>
                      <w:spacing w:val="-4"/>
                      <w:kern w:val="21"/>
                      <w:szCs w:val="21"/>
                    </w:rPr>
                  </w:pPr>
                  <w:r>
                    <w:rPr>
                      <w:rFonts w:hint="eastAsia" w:ascii="Times New Roman" w:eastAsia="宋体"/>
                      <w:bCs/>
                      <w:color w:val="000000" w:themeColor="text1"/>
                      <w:kern w:val="21"/>
                      <w:szCs w:val="21"/>
                    </w:rPr>
                    <w:t>适用于组分单一的高浓度有机废气</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108" w:type="dxa"/>
                  <w:bottom w:w="85" w:type="dxa"/>
                  <w:right w:w="108" w:type="dxa"/>
                </w:tblCellMar>
              </w:tblPrEx>
              <w:trPr>
                <w:trHeight w:val="397" w:hRule="atLeast"/>
                <w:jc w:val="center"/>
              </w:trPr>
              <w:tc>
                <w:tcPr>
                  <w:tcW w:w="896" w:type="dxa"/>
                  <w:tcMar>
                    <w:top w:w="28" w:type="dxa"/>
                    <w:left w:w="51" w:type="dxa"/>
                    <w:bottom w:w="28" w:type="dxa"/>
                    <w:right w:w="51" w:type="dxa"/>
                  </w:tcMar>
                  <w:vAlign w:val="center"/>
                </w:tcPr>
                <w:p>
                  <w:pPr>
                    <w:adjustRightInd w:val="0"/>
                    <w:snapToGrid w:val="0"/>
                    <w:jc w:val="center"/>
                    <w:rPr>
                      <w:rFonts w:ascii="Times New Roman" w:hAnsi="Times New Roman" w:eastAsia="宋体"/>
                      <w:bCs/>
                      <w:color w:val="000000" w:themeColor="text1"/>
                      <w:spacing w:val="-4"/>
                      <w:kern w:val="21"/>
                      <w:szCs w:val="21"/>
                    </w:rPr>
                  </w:pPr>
                  <w:r>
                    <w:rPr>
                      <w:rFonts w:hint="eastAsia" w:ascii="Times New Roman" w:eastAsia="宋体"/>
                      <w:bCs/>
                      <w:color w:val="000000" w:themeColor="text1"/>
                      <w:kern w:val="21"/>
                      <w:szCs w:val="21"/>
                    </w:rPr>
                    <w:t>吸收法</w:t>
                  </w:r>
                </w:p>
              </w:tc>
              <w:tc>
                <w:tcPr>
                  <w:tcW w:w="2160" w:type="dxa"/>
                  <w:tcMar>
                    <w:top w:w="28" w:type="dxa"/>
                    <w:left w:w="51" w:type="dxa"/>
                    <w:bottom w:w="28" w:type="dxa"/>
                    <w:right w:w="51" w:type="dxa"/>
                  </w:tcMar>
                  <w:vAlign w:val="center"/>
                </w:tcPr>
                <w:p>
                  <w:pPr>
                    <w:adjustRightInd w:val="0"/>
                    <w:snapToGrid w:val="0"/>
                    <w:jc w:val="center"/>
                    <w:rPr>
                      <w:rFonts w:ascii="Times New Roman" w:hAnsi="Times New Roman" w:eastAsia="宋体"/>
                      <w:bCs/>
                      <w:color w:val="000000" w:themeColor="text1"/>
                      <w:spacing w:val="-4"/>
                      <w:kern w:val="21"/>
                      <w:szCs w:val="21"/>
                    </w:rPr>
                  </w:pPr>
                  <w:r>
                    <w:rPr>
                      <w:rFonts w:hint="eastAsia" w:ascii="Times New Roman" w:eastAsia="宋体"/>
                      <w:bCs/>
                      <w:color w:val="000000" w:themeColor="text1"/>
                      <w:kern w:val="21"/>
                      <w:szCs w:val="21"/>
                    </w:rPr>
                    <w:t>液体作为吸收剂，使废气中有害气体被吸收剂吸收而达到净化</w:t>
                  </w:r>
                </w:p>
              </w:tc>
              <w:tc>
                <w:tcPr>
                  <w:tcW w:w="1977" w:type="dxa"/>
                  <w:tcMar>
                    <w:top w:w="28" w:type="dxa"/>
                    <w:left w:w="51" w:type="dxa"/>
                    <w:bottom w:w="28" w:type="dxa"/>
                    <w:right w:w="51" w:type="dxa"/>
                  </w:tcMar>
                  <w:vAlign w:val="center"/>
                </w:tcPr>
                <w:p>
                  <w:pPr>
                    <w:adjustRightInd w:val="0"/>
                    <w:snapToGrid w:val="0"/>
                    <w:jc w:val="center"/>
                    <w:rPr>
                      <w:rFonts w:ascii="Times New Roman" w:hAnsi="Times New Roman" w:eastAsia="宋体"/>
                      <w:bCs/>
                      <w:color w:val="000000" w:themeColor="text1"/>
                      <w:spacing w:val="-4"/>
                      <w:kern w:val="21"/>
                      <w:szCs w:val="21"/>
                    </w:rPr>
                  </w:pPr>
                  <w:r>
                    <w:rPr>
                      <w:rFonts w:hint="eastAsia" w:ascii="Times New Roman" w:eastAsia="宋体"/>
                      <w:bCs/>
                      <w:color w:val="000000" w:themeColor="text1"/>
                      <w:kern w:val="21"/>
                      <w:szCs w:val="21"/>
                    </w:rPr>
                    <w:t>设备费用低，运转费用少；无爆炸、火灾等危险，安全性高</w:t>
                  </w:r>
                </w:p>
              </w:tc>
              <w:tc>
                <w:tcPr>
                  <w:tcW w:w="2197" w:type="dxa"/>
                  <w:tcMar>
                    <w:top w:w="28" w:type="dxa"/>
                    <w:left w:w="51" w:type="dxa"/>
                    <w:bottom w:w="28" w:type="dxa"/>
                    <w:right w:w="51" w:type="dxa"/>
                  </w:tcMar>
                  <w:vAlign w:val="center"/>
                </w:tcPr>
                <w:p>
                  <w:pPr>
                    <w:adjustRightInd w:val="0"/>
                    <w:snapToGrid w:val="0"/>
                    <w:jc w:val="center"/>
                    <w:rPr>
                      <w:rFonts w:ascii="Times New Roman" w:hAnsi="Times New Roman" w:eastAsia="宋体"/>
                      <w:bCs/>
                      <w:color w:val="000000" w:themeColor="text1"/>
                      <w:spacing w:val="-4"/>
                      <w:kern w:val="21"/>
                      <w:szCs w:val="21"/>
                    </w:rPr>
                  </w:pPr>
                  <w:r>
                    <w:rPr>
                      <w:rFonts w:hint="eastAsia" w:ascii="Times New Roman" w:eastAsia="宋体"/>
                      <w:bCs/>
                      <w:color w:val="000000" w:themeColor="text1"/>
                      <w:kern w:val="21"/>
                      <w:szCs w:val="21"/>
                    </w:rPr>
                    <w:t>需要对产生废水进行二次处理，对涂料品种有限制</w:t>
                  </w:r>
                </w:p>
              </w:tc>
              <w:tc>
                <w:tcPr>
                  <w:tcW w:w="1500" w:type="dxa"/>
                  <w:tcMar>
                    <w:top w:w="28" w:type="dxa"/>
                    <w:left w:w="51" w:type="dxa"/>
                    <w:bottom w:w="28" w:type="dxa"/>
                    <w:right w:w="51" w:type="dxa"/>
                  </w:tcMar>
                  <w:vAlign w:val="center"/>
                </w:tcPr>
                <w:p>
                  <w:pPr>
                    <w:adjustRightInd w:val="0"/>
                    <w:snapToGrid w:val="0"/>
                    <w:jc w:val="center"/>
                    <w:rPr>
                      <w:rFonts w:ascii="Times New Roman" w:hAnsi="Times New Roman" w:eastAsia="宋体"/>
                      <w:bCs/>
                      <w:color w:val="000000" w:themeColor="text1"/>
                      <w:spacing w:val="-4"/>
                      <w:kern w:val="21"/>
                      <w:szCs w:val="21"/>
                    </w:rPr>
                  </w:pPr>
                  <w:r>
                    <w:rPr>
                      <w:rFonts w:hint="eastAsia" w:ascii="Times New Roman" w:eastAsia="宋体"/>
                      <w:bCs/>
                      <w:color w:val="000000" w:themeColor="text1"/>
                      <w:kern w:val="21"/>
                      <w:szCs w:val="21"/>
                    </w:rPr>
                    <w:t>适用于高、低浓度非甲烷总烃</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108" w:type="dxa"/>
                  <w:bottom w:w="85" w:type="dxa"/>
                  <w:right w:w="108" w:type="dxa"/>
                </w:tblCellMar>
              </w:tblPrEx>
              <w:trPr>
                <w:trHeight w:val="397" w:hRule="atLeast"/>
                <w:jc w:val="center"/>
              </w:trPr>
              <w:tc>
                <w:tcPr>
                  <w:tcW w:w="896" w:type="dxa"/>
                  <w:tcMar>
                    <w:top w:w="28" w:type="dxa"/>
                    <w:left w:w="51" w:type="dxa"/>
                    <w:bottom w:w="28" w:type="dxa"/>
                    <w:right w:w="51" w:type="dxa"/>
                  </w:tcMar>
                  <w:vAlign w:val="center"/>
                </w:tcPr>
                <w:p>
                  <w:pPr>
                    <w:adjustRightInd w:val="0"/>
                    <w:snapToGrid w:val="0"/>
                    <w:jc w:val="center"/>
                    <w:rPr>
                      <w:rFonts w:ascii="Times New Roman" w:hAnsi="Times New Roman" w:eastAsia="宋体"/>
                      <w:bCs/>
                      <w:color w:val="000000" w:themeColor="text1"/>
                      <w:spacing w:val="-4"/>
                      <w:kern w:val="21"/>
                      <w:szCs w:val="21"/>
                    </w:rPr>
                  </w:pPr>
                  <w:r>
                    <w:rPr>
                      <w:rFonts w:hint="eastAsia" w:ascii="Times New Roman" w:eastAsia="宋体"/>
                      <w:bCs/>
                      <w:color w:val="000000" w:themeColor="text1"/>
                      <w:kern w:val="21"/>
                      <w:szCs w:val="21"/>
                    </w:rPr>
                    <w:t>催化燃烧法</w:t>
                  </w:r>
                </w:p>
              </w:tc>
              <w:tc>
                <w:tcPr>
                  <w:tcW w:w="2160" w:type="dxa"/>
                  <w:tcMar>
                    <w:top w:w="28" w:type="dxa"/>
                    <w:left w:w="51" w:type="dxa"/>
                    <w:bottom w:w="28" w:type="dxa"/>
                    <w:right w:w="51" w:type="dxa"/>
                  </w:tcMar>
                  <w:vAlign w:val="center"/>
                </w:tcPr>
                <w:p>
                  <w:pPr>
                    <w:adjustRightInd w:val="0"/>
                    <w:snapToGrid w:val="0"/>
                    <w:jc w:val="center"/>
                    <w:rPr>
                      <w:rFonts w:ascii="Times New Roman" w:hAnsi="Times New Roman" w:eastAsia="宋体"/>
                      <w:bCs/>
                      <w:color w:val="000000" w:themeColor="text1"/>
                      <w:spacing w:val="-4"/>
                      <w:kern w:val="21"/>
                      <w:szCs w:val="21"/>
                    </w:rPr>
                  </w:pPr>
                  <w:r>
                    <w:rPr>
                      <w:rFonts w:hint="eastAsia" w:ascii="Times New Roman" w:eastAsia="宋体"/>
                      <w:bCs/>
                      <w:color w:val="000000" w:themeColor="text1"/>
                      <w:kern w:val="21"/>
                      <w:szCs w:val="21"/>
                    </w:rPr>
                    <w:t>在催化剂作用下，使有机废气在引燃点温度以下燃烧生成</w:t>
                  </w:r>
                  <w:r>
                    <w:rPr>
                      <w:rFonts w:ascii="Times New Roman" w:hAnsi="Times New Roman" w:eastAsia="宋体"/>
                      <w:bCs/>
                      <w:color w:val="000000" w:themeColor="text1"/>
                      <w:kern w:val="21"/>
                      <w:szCs w:val="21"/>
                    </w:rPr>
                    <w:t>CO</w:t>
                  </w:r>
                  <w:r>
                    <w:rPr>
                      <w:rFonts w:ascii="Times New Roman" w:hAnsi="Times New Roman" w:eastAsia="宋体"/>
                      <w:bCs/>
                      <w:color w:val="000000" w:themeColor="text1"/>
                      <w:kern w:val="21"/>
                      <w:szCs w:val="21"/>
                      <w:vertAlign w:val="subscript"/>
                    </w:rPr>
                    <w:t>2</w:t>
                  </w:r>
                  <w:r>
                    <w:rPr>
                      <w:rFonts w:hint="eastAsia" w:ascii="Times New Roman" w:eastAsia="宋体"/>
                      <w:bCs/>
                      <w:color w:val="000000" w:themeColor="text1"/>
                      <w:kern w:val="21"/>
                      <w:szCs w:val="21"/>
                    </w:rPr>
                    <w:t>和</w:t>
                  </w:r>
                  <w:r>
                    <w:rPr>
                      <w:rFonts w:ascii="Times New Roman" w:hAnsi="Times New Roman" w:eastAsia="宋体"/>
                      <w:bCs/>
                      <w:color w:val="000000" w:themeColor="text1"/>
                      <w:kern w:val="21"/>
                      <w:szCs w:val="21"/>
                    </w:rPr>
                    <w:t>H</w:t>
                  </w:r>
                  <w:r>
                    <w:rPr>
                      <w:rFonts w:ascii="Times New Roman" w:hAnsi="Times New Roman" w:eastAsia="宋体"/>
                      <w:bCs/>
                      <w:color w:val="000000" w:themeColor="text1"/>
                      <w:kern w:val="21"/>
                      <w:szCs w:val="21"/>
                      <w:vertAlign w:val="subscript"/>
                    </w:rPr>
                    <w:t>2</w:t>
                  </w:r>
                  <w:r>
                    <w:rPr>
                      <w:rFonts w:ascii="Times New Roman" w:hAnsi="Times New Roman" w:eastAsia="宋体"/>
                      <w:bCs/>
                      <w:color w:val="000000" w:themeColor="text1"/>
                      <w:kern w:val="21"/>
                      <w:szCs w:val="21"/>
                    </w:rPr>
                    <w:t>O</w:t>
                  </w:r>
                  <w:r>
                    <w:rPr>
                      <w:rFonts w:hint="eastAsia" w:ascii="Times New Roman" w:eastAsia="宋体"/>
                      <w:bCs/>
                      <w:color w:val="000000" w:themeColor="text1"/>
                      <w:kern w:val="21"/>
                      <w:szCs w:val="21"/>
                    </w:rPr>
                    <w:t>而被净化</w:t>
                  </w:r>
                </w:p>
              </w:tc>
              <w:tc>
                <w:tcPr>
                  <w:tcW w:w="1977" w:type="dxa"/>
                  <w:tcMar>
                    <w:top w:w="28" w:type="dxa"/>
                    <w:left w:w="51" w:type="dxa"/>
                    <w:bottom w:w="28" w:type="dxa"/>
                    <w:right w:w="51" w:type="dxa"/>
                  </w:tcMar>
                  <w:vAlign w:val="center"/>
                </w:tcPr>
                <w:p>
                  <w:pPr>
                    <w:adjustRightInd w:val="0"/>
                    <w:snapToGrid w:val="0"/>
                    <w:jc w:val="center"/>
                    <w:rPr>
                      <w:rFonts w:ascii="Times New Roman" w:hAnsi="Times New Roman" w:eastAsia="宋体"/>
                      <w:bCs/>
                      <w:color w:val="000000" w:themeColor="text1"/>
                      <w:spacing w:val="-4"/>
                      <w:kern w:val="21"/>
                      <w:szCs w:val="21"/>
                    </w:rPr>
                  </w:pPr>
                  <w:r>
                    <w:rPr>
                      <w:rFonts w:hint="eastAsia" w:ascii="Times New Roman" w:eastAsia="宋体"/>
                      <w:bCs/>
                      <w:color w:val="000000" w:themeColor="text1"/>
                      <w:kern w:val="21"/>
                      <w:szCs w:val="21"/>
                    </w:rPr>
                    <w:t>与直接燃烧法相比，能在低温下氧化分解，燃料费可剩</w:t>
                  </w:r>
                  <w:r>
                    <w:rPr>
                      <w:rFonts w:ascii="Times New Roman" w:hAnsi="Times New Roman" w:eastAsia="宋体"/>
                      <w:bCs/>
                      <w:color w:val="000000" w:themeColor="text1"/>
                      <w:kern w:val="21"/>
                      <w:szCs w:val="21"/>
                    </w:rPr>
                    <w:t>1/2</w:t>
                  </w:r>
                  <w:r>
                    <w:rPr>
                      <w:rFonts w:hint="eastAsia" w:ascii="Times New Roman" w:eastAsia="宋体"/>
                      <w:bCs/>
                      <w:color w:val="000000" w:themeColor="text1"/>
                      <w:kern w:val="21"/>
                      <w:szCs w:val="21"/>
                    </w:rPr>
                    <w:t>；装置占地面积小；</w:t>
                  </w:r>
                  <w:r>
                    <w:rPr>
                      <w:rFonts w:ascii="Times New Roman" w:hAnsi="Times New Roman" w:eastAsia="宋体"/>
                      <w:bCs/>
                      <w:color w:val="000000" w:themeColor="text1"/>
                      <w:kern w:val="21"/>
                      <w:szCs w:val="21"/>
                    </w:rPr>
                    <w:t>NO</w:t>
                  </w:r>
                  <w:r>
                    <w:rPr>
                      <w:rFonts w:ascii="Times New Roman" w:hAnsi="Times New Roman" w:eastAsia="宋体"/>
                      <w:bCs/>
                      <w:color w:val="000000" w:themeColor="text1"/>
                      <w:kern w:val="21"/>
                      <w:szCs w:val="21"/>
                      <w:vertAlign w:val="subscript"/>
                    </w:rPr>
                    <w:t>X</w:t>
                  </w:r>
                  <w:r>
                    <w:rPr>
                      <w:rFonts w:hint="eastAsia" w:ascii="Times New Roman" w:eastAsia="宋体"/>
                      <w:bCs/>
                      <w:color w:val="000000" w:themeColor="text1"/>
                      <w:kern w:val="21"/>
                      <w:szCs w:val="21"/>
                    </w:rPr>
                    <w:t>生成少</w:t>
                  </w:r>
                </w:p>
              </w:tc>
              <w:tc>
                <w:tcPr>
                  <w:tcW w:w="2197" w:type="dxa"/>
                  <w:tcMar>
                    <w:top w:w="28" w:type="dxa"/>
                    <w:left w:w="51" w:type="dxa"/>
                    <w:bottom w:w="28" w:type="dxa"/>
                    <w:right w:w="51" w:type="dxa"/>
                  </w:tcMar>
                  <w:vAlign w:val="center"/>
                </w:tcPr>
                <w:p>
                  <w:pPr>
                    <w:adjustRightInd w:val="0"/>
                    <w:snapToGrid w:val="0"/>
                    <w:jc w:val="center"/>
                    <w:rPr>
                      <w:rFonts w:ascii="Times New Roman" w:hAnsi="Times New Roman" w:eastAsia="宋体"/>
                      <w:bCs/>
                      <w:color w:val="000000" w:themeColor="text1"/>
                      <w:spacing w:val="-4"/>
                      <w:kern w:val="21"/>
                      <w:szCs w:val="21"/>
                    </w:rPr>
                  </w:pPr>
                  <w:r>
                    <w:rPr>
                      <w:rFonts w:hint="eastAsia" w:ascii="Times New Roman" w:eastAsia="宋体"/>
                      <w:bCs/>
                      <w:color w:val="000000" w:themeColor="text1"/>
                      <w:kern w:val="21"/>
                      <w:szCs w:val="21"/>
                    </w:rPr>
                    <w:t>催化剂价格高，需考虑催化剂中毒和催化剂寿命；必须进行前处理除去尘埃、漆雾等；催化剂和设备价格高</w:t>
                  </w:r>
                </w:p>
              </w:tc>
              <w:tc>
                <w:tcPr>
                  <w:tcW w:w="1500" w:type="dxa"/>
                  <w:tcMar>
                    <w:top w:w="28" w:type="dxa"/>
                    <w:left w:w="51" w:type="dxa"/>
                    <w:bottom w:w="28" w:type="dxa"/>
                    <w:right w:w="51" w:type="dxa"/>
                  </w:tcMar>
                  <w:vAlign w:val="center"/>
                </w:tcPr>
                <w:p>
                  <w:pPr>
                    <w:adjustRightInd w:val="0"/>
                    <w:snapToGrid w:val="0"/>
                    <w:jc w:val="center"/>
                    <w:rPr>
                      <w:rFonts w:ascii="Times New Roman" w:hAnsi="Times New Roman" w:eastAsia="宋体"/>
                      <w:bCs/>
                      <w:color w:val="000000" w:themeColor="text1"/>
                      <w:spacing w:val="-4"/>
                      <w:kern w:val="21"/>
                      <w:szCs w:val="21"/>
                    </w:rPr>
                  </w:pPr>
                  <w:r>
                    <w:rPr>
                      <w:rFonts w:hint="eastAsia" w:ascii="Times New Roman" w:eastAsia="宋体"/>
                      <w:bCs/>
                      <w:color w:val="000000" w:themeColor="text1"/>
                      <w:kern w:val="21"/>
                      <w:szCs w:val="21"/>
                    </w:rPr>
                    <w:t>适用于废气温度高、流量小、有机溶剂浓度高、含杂质少的场合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108" w:type="dxa"/>
                  <w:bottom w:w="85" w:type="dxa"/>
                  <w:right w:w="108" w:type="dxa"/>
                </w:tblCellMar>
              </w:tblPrEx>
              <w:trPr>
                <w:trHeight w:val="397" w:hRule="atLeast"/>
                <w:jc w:val="center"/>
              </w:trPr>
              <w:tc>
                <w:tcPr>
                  <w:tcW w:w="896" w:type="dxa"/>
                  <w:tcMar>
                    <w:top w:w="28" w:type="dxa"/>
                    <w:left w:w="51" w:type="dxa"/>
                    <w:bottom w:w="28" w:type="dxa"/>
                    <w:right w:w="51" w:type="dxa"/>
                  </w:tcMar>
                  <w:vAlign w:val="center"/>
                </w:tcPr>
                <w:p>
                  <w:pPr>
                    <w:adjustRightInd w:val="0"/>
                    <w:snapToGrid w:val="0"/>
                    <w:jc w:val="center"/>
                    <w:rPr>
                      <w:rFonts w:ascii="Times New Roman" w:hAnsi="Times New Roman" w:eastAsia="宋体"/>
                      <w:bCs/>
                      <w:color w:val="000000" w:themeColor="text1"/>
                      <w:spacing w:val="-4"/>
                      <w:kern w:val="21"/>
                      <w:szCs w:val="21"/>
                    </w:rPr>
                  </w:pPr>
                  <w:r>
                    <w:rPr>
                      <w:rFonts w:hint="eastAsia" w:ascii="Times New Roman" w:eastAsia="宋体"/>
                      <w:bCs/>
                      <w:color w:val="000000" w:themeColor="text1"/>
                      <w:kern w:val="21"/>
                      <w:szCs w:val="21"/>
                    </w:rPr>
                    <w:t>低温等离子体</w:t>
                  </w:r>
                </w:p>
              </w:tc>
              <w:tc>
                <w:tcPr>
                  <w:tcW w:w="2160" w:type="dxa"/>
                  <w:tcMar>
                    <w:top w:w="28" w:type="dxa"/>
                    <w:left w:w="51" w:type="dxa"/>
                    <w:bottom w:w="28" w:type="dxa"/>
                    <w:right w:w="51" w:type="dxa"/>
                  </w:tcMar>
                  <w:vAlign w:val="center"/>
                </w:tcPr>
                <w:p>
                  <w:pPr>
                    <w:adjustRightInd w:val="0"/>
                    <w:snapToGrid w:val="0"/>
                    <w:jc w:val="center"/>
                    <w:rPr>
                      <w:rFonts w:ascii="Times New Roman" w:hAnsi="Times New Roman" w:eastAsia="宋体"/>
                      <w:bCs/>
                      <w:color w:val="000000" w:themeColor="text1"/>
                      <w:spacing w:val="-4"/>
                      <w:kern w:val="21"/>
                      <w:szCs w:val="21"/>
                    </w:rPr>
                  </w:pPr>
                  <w:r>
                    <w:rPr>
                      <w:rFonts w:hint="eastAsia" w:ascii="Times New Roman" w:eastAsia="宋体"/>
                      <w:bCs/>
                      <w:color w:val="000000" w:themeColor="text1"/>
                      <w:kern w:val="21"/>
                      <w:szCs w:val="21"/>
                    </w:rPr>
                    <w:t>放电过程中，电子从电场中获得能量，使污染物分子被激发或发生电离形成活性基团，活性基团之间发生反应，最终转化为</w:t>
                  </w:r>
                  <w:r>
                    <w:rPr>
                      <w:rFonts w:ascii="Times New Roman" w:hAnsi="Times New Roman" w:eastAsia="宋体"/>
                      <w:bCs/>
                      <w:color w:val="000000" w:themeColor="text1"/>
                      <w:kern w:val="21"/>
                      <w:szCs w:val="21"/>
                    </w:rPr>
                    <w:t>CO</w:t>
                  </w:r>
                  <w:r>
                    <w:rPr>
                      <w:rFonts w:ascii="Times New Roman" w:hAnsi="Times New Roman" w:eastAsia="宋体"/>
                      <w:bCs/>
                      <w:color w:val="000000" w:themeColor="text1"/>
                      <w:kern w:val="21"/>
                      <w:szCs w:val="21"/>
                      <w:vertAlign w:val="subscript"/>
                    </w:rPr>
                    <w:t>2</w:t>
                  </w:r>
                  <w:r>
                    <w:rPr>
                      <w:rFonts w:hint="eastAsia" w:ascii="Times New Roman" w:eastAsia="宋体"/>
                      <w:bCs/>
                      <w:color w:val="000000" w:themeColor="text1"/>
                      <w:kern w:val="21"/>
                      <w:szCs w:val="21"/>
                    </w:rPr>
                    <w:t>和</w:t>
                  </w:r>
                  <w:r>
                    <w:rPr>
                      <w:rFonts w:ascii="Times New Roman" w:hAnsi="Times New Roman" w:eastAsia="宋体"/>
                      <w:bCs/>
                      <w:color w:val="000000" w:themeColor="text1"/>
                      <w:kern w:val="21"/>
                      <w:szCs w:val="21"/>
                    </w:rPr>
                    <w:t>H</w:t>
                  </w:r>
                  <w:r>
                    <w:rPr>
                      <w:rFonts w:ascii="Times New Roman" w:hAnsi="Times New Roman" w:eastAsia="宋体"/>
                      <w:bCs/>
                      <w:color w:val="000000" w:themeColor="text1"/>
                      <w:kern w:val="21"/>
                      <w:szCs w:val="21"/>
                      <w:vertAlign w:val="subscript"/>
                    </w:rPr>
                    <w:t>2</w:t>
                  </w:r>
                  <w:r>
                    <w:rPr>
                      <w:rFonts w:ascii="Times New Roman" w:hAnsi="Times New Roman" w:eastAsia="宋体"/>
                      <w:bCs/>
                      <w:color w:val="000000" w:themeColor="text1"/>
                      <w:kern w:val="21"/>
                      <w:szCs w:val="21"/>
                    </w:rPr>
                    <w:t>O</w:t>
                  </w:r>
                  <w:r>
                    <w:rPr>
                      <w:rFonts w:hint="eastAsia" w:ascii="Times New Roman" w:eastAsia="宋体"/>
                      <w:bCs/>
                      <w:color w:val="000000" w:themeColor="text1"/>
                      <w:kern w:val="21"/>
                      <w:szCs w:val="21"/>
                    </w:rPr>
                    <w:t>等物质而达到净化</w:t>
                  </w:r>
                </w:p>
              </w:tc>
              <w:tc>
                <w:tcPr>
                  <w:tcW w:w="1977" w:type="dxa"/>
                  <w:tcMar>
                    <w:top w:w="28" w:type="dxa"/>
                    <w:left w:w="51" w:type="dxa"/>
                    <w:bottom w:w="28" w:type="dxa"/>
                    <w:right w:w="51" w:type="dxa"/>
                  </w:tcMar>
                  <w:vAlign w:val="center"/>
                </w:tcPr>
                <w:p>
                  <w:pPr>
                    <w:adjustRightInd w:val="0"/>
                    <w:snapToGrid w:val="0"/>
                    <w:jc w:val="center"/>
                    <w:rPr>
                      <w:rFonts w:ascii="Times New Roman" w:hAnsi="Times New Roman" w:eastAsia="宋体"/>
                      <w:bCs/>
                      <w:color w:val="000000" w:themeColor="text1"/>
                      <w:spacing w:val="-4"/>
                      <w:kern w:val="21"/>
                      <w:szCs w:val="21"/>
                    </w:rPr>
                  </w:pPr>
                  <w:r>
                    <w:rPr>
                      <w:rFonts w:hint="eastAsia" w:ascii="Times New Roman" w:eastAsia="宋体"/>
                      <w:bCs/>
                      <w:color w:val="000000" w:themeColor="text1"/>
                      <w:kern w:val="21"/>
                      <w:szCs w:val="21"/>
                    </w:rPr>
                    <w:t>电子能量高，几乎可以和所有的有机气体发生作用；反应快，不受气速限制，只需用电，操作简单，占地小，运行成本低廉</w:t>
                  </w:r>
                </w:p>
              </w:tc>
              <w:tc>
                <w:tcPr>
                  <w:tcW w:w="2197" w:type="dxa"/>
                  <w:tcMar>
                    <w:top w:w="28" w:type="dxa"/>
                    <w:left w:w="51" w:type="dxa"/>
                    <w:bottom w:w="28" w:type="dxa"/>
                    <w:right w:w="51" w:type="dxa"/>
                  </w:tcMar>
                  <w:vAlign w:val="center"/>
                </w:tcPr>
                <w:p>
                  <w:pPr>
                    <w:adjustRightInd w:val="0"/>
                    <w:snapToGrid w:val="0"/>
                    <w:jc w:val="center"/>
                    <w:rPr>
                      <w:rFonts w:ascii="Times New Roman" w:hAnsi="Times New Roman" w:eastAsia="宋体"/>
                      <w:bCs/>
                      <w:color w:val="000000" w:themeColor="text1"/>
                      <w:spacing w:val="-4"/>
                      <w:kern w:val="21"/>
                      <w:szCs w:val="21"/>
                    </w:rPr>
                  </w:pPr>
                  <w:r>
                    <w:rPr>
                      <w:rFonts w:hint="eastAsia" w:ascii="Times New Roman" w:eastAsia="宋体"/>
                      <w:bCs/>
                      <w:color w:val="000000" w:themeColor="text1"/>
                      <w:kern w:val="21"/>
                      <w:szCs w:val="21"/>
                    </w:rPr>
                    <w:t>不适用易燃易爆废气治理、设备投资高，净化效率较燃烧法低</w:t>
                  </w:r>
                </w:p>
              </w:tc>
              <w:tc>
                <w:tcPr>
                  <w:tcW w:w="1500" w:type="dxa"/>
                  <w:tcMar>
                    <w:top w:w="28" w:type="dxa"/>
                    <w:left w:w="51" w:type="dxa"/>
                    <w:bottom w:w="28" w:type="dxa"/>
                    <w:right w:w="51" w:type="dxa"/>
                  </w:tcMar>
                  <w:vAlign w:val="center"/>
                </w:tcPr>
                <w:p>
                  <w:pPr>
                    <w:adjustRightInd w:val="0"/>
                    <w:snapToGrid w:val="0"/>
                    <w:jc w:val="center"/>
                    <w:rPr>
                      <w:rFonts w:ascii="Times New Roman" w:hAnsi="Times New Roman" w:eastAsia="宋体"/>
                      <w:bCs/>
                      <w:color w:val="000000" w:themeColor="text1"/>
                      <w:spacing w:val="-4"/>
                      <w:kern w:val="21"/>
                      <w:szCs w:val="21"/>
                    </w:rPr>
                  </w:pPr>
                  <w:r>
                    <w:rPr>
                      <w:rFonts w:hint="eastAsia" w:ascii="Times New Roman" w:eastAsia="宋体"/>
                      <w:bCs/>
                      <w:color w:val="000000" w:themeColor="text1"/>
                      <w:kern w:val="21"/>
                      <w:szCs w:val="21"/>
                    </w:rPr>
                    <w:t>适用于低浓度</w:t>
                  </w:r>
                  <w:r>
                    <w:rPr>
                      <w:rFonts w:ascii="Times New Roman" w:hAnsi="Times New Roman" w:eastAsia="宋体"/>
                      <w:bCs/>
                      <w:color w:val="000000" w:themeColor="text1"/>
                      <w:kern w:val="21"/>
                      <w:szCs w:val="21"/>
                    </w:rPr>
                    <w:t>(</w:t>
                  </w:r>
                  <w:r>
                    <w:rPr>
                      <w:rFonts w:hint="eastAsia" w:ascii="Times New Roman" w:eastAsia="宋体"/>
                      <w:bCs/>
                      <w:color w:val="000000" w:themeColor="text1"/>
                      <w:kern w:val="21"/>
                      <w:szCs w:val="21"/>
                    </w:rPr>
                    <w:t>＜</w:t>
                  </w:r>
                  <w:r>
                    <w:rPr>
                      <w:rFonts w:ascii="Times New Roman" w:hAnsi="Times New Roman" w:eastAsia="宋体"/>
                      <w:bCs/>
                      <w:color w:val="000000" w:themeColor="text1"/>
                      <w:kern w:val="21"/>
                      <w:szCs w:val="21"/>
                    </w:rPr>
                    <w:t>300mg/m</w:t>
                  </w:r>
                  <w:r>
                    <w:rPr>
                      <w:rFonts w:ascii="Times New Roman" w:hAnsi="Times New Roman" w:eastAsia="宋体"/>
                      <w:bCs/>
                      <w:color w:val="000000" w:themeColor="text1"/>
                      <w:kern w:val="21"/>
                      <w:szCs w:val="21"/>
                      <w:vertAlign w:val="superscript"/>
                    </w:rPr>
                    <w:t>3</w:t>
                  </w:r>
                  <w:r>
                    <w:rPr>
                      <w:rFonts w:ascii="Times New Roman" w:hAnsi="Times New Roman" w:eastAsia="宋体"/>
                      <w:bCs/>
                      <w:color w:val="000000" w:themeColor="text1"/>
                      <w:kern w:val="21"/>
                      <w:szCs w:val="21"/>
                    </w:rPr>
                    <w:t>)</w:t>
                  </w:r>
                  <w:r>
                    <w:rPr>
                      <w:rFonts w:hint="eastAsia" w:ascii="Times New Roman" w:eastAsia="宋体"/>
                      <w:bCs/>
                      <w:color w:val="000000" w:themeColor="text1"/>
                      <w:kern w:val="21"/>
                      <w:szCs w:val="21"/>
                    </w:rPr>
                    <w:t>有机废气的治理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108" w:type="dxa"/>
                  <w:bottom w:w="85" w:type="dxa"/>
                  <w:right w:w="108" w:type="dxa"/>
                </w:tblCellMar>
              </w:tblPrEx>
              <w:trPr>
                <w:trHeight w:val="397" w:hRule="atLeast"/>
                <w:jc w:val="center"/>
              </w:trPr>
              <w:tc>
                <w:tcPr>
                  <w:tcW w:w="896" w:type="dxa"/>
                  <w:tcMar>
                    <w:top w:w="28" w:type="dxa"/>
                    <w:left w:w="51" w:type="dxa"/>
                    <w:bottom w:w="28" w:type="dxa"/>
                    <w:right w:w="51" w:type="dxa"/>
                  </w:tcMar>
                  <w:vAlign w:val="center"/>
                </w:tcPr>
                <w:p>
                  <w:pPr>
                    <w:adjustRightInd w:val="0"/>
                    <w:snapToGrid w:val="0"/>
                    <w:jc w:val="center"/>
                    <w:rPr>
                      <w:rFonts w:ascii="Times New Roman" w:hAnsi="Times New Roman" w:eastAsia="宋体"/>
                      <w:bCs/>
                      <w:color w:val="000000" w:themeColor="text1"/>
                      <w:spacing w:val="-4"/>
                      <w:kern w:val="21"/>
                      <w:szCs w:val="21"/>
                    </w:rPr>
                  </w:pPr>
                  <w:r>
                    <w:rPr>
                      <w:rFonts w:ascii="Times New Roman" w:hAnsi="Times New Roman" w:eastAsia="宋体"/>
                      <w:bCs/>
                      <w:color w:val="000000" w:themeColor="text1"/>
                      <w:kern w:val="21"/>
                      <w:szCs w:val="21"/>
                    </w:rPr>
                    <w:t>UV</w:t>
                  </w:r>
                  <w:r>
                    <w:rPr>
                      <w:rFonts w:hint="eastAsia" w:ascii="Times New Roman" w:eastAsia="宋体"/>
                      <w:bCs/>
                      <w:color w:val="000000" w:themeColor="text1"/>
                      <w:kern w:val="21"/>
                      <w:szCs w:val="21"/>
                    </w:rPr>
                    <w:t>光氧催化氧化法</w:t>
                  </w:r>
                </w:p>
              </w:tc>
              <w:tc>
                <w:tcPr>
                  <w:tcW w:w="2160" w:type="dxa"/>
                  <w:tcMar>
                    <w:top w:w="28" w:type="dxa"/>
                    <w:left w:w="51" w:type="dxa"/>
                    <w:bottom w:w="28" w:type="dxa"/>
                    <w:right w:w="51" w:type="dxa"/>
                  </w:tcMar>
                  <w:vAlign w:val="center"/>
                </w:tcPr>
                <w:p>
                  <w:pPr>
                    <w:adjustRightInd w:val="0"/>
                    <w:snapToGrid w:val="0"/>
                    <w:jc w:val="center"/>
                    <w:rPr>
                      <w:rFonts w:ascii="Times New Roman" w:hAnsi="Times New Roman" w:eastAsia="宋体"/>
                      <w:bCs/>
                      <w:color w:val="000000" w:themeColor="text1"/>
                      <w:spacing w:val="-4"/>
                      <w:kern w:val="21"/>
                      <w:szCs w:val="21"/>
                    </w:rPr>
                  </w:pPr>
                  <w:r>
                    <w:rPr>
                      <w:rFonts w:hint="eastAsia" w:ascii="Times New Roman" w:eastAsia="宋体"/>
                      <w:bCs/>
                      <w:color w:val="000000" w:themeColor="text1"/>
                      <w:kern w:val="21"/>
                      <w:szCs w:val="21"/>
                    </w:rPr>
                    <w:t>利用高能高臭氧</w:t>
                  </w:r>
                  <w:r>
                    <w:rPr>
                      <w:rFonts w:ascii="Times New Roman" w:hAnsi="Times New Roman" w:eastAsia="宋体"/>
                      <w:bCs/>
                      <w:color w:val="000000" w:themeColor="text1"/>
                      <w:kern w:val="21"/>
                      <w:szCs w:val="21"/>
                    </w:rPr>
                    <w:t>UV</w:t>
                  </w:r>
                  <w:r>
                    <w:rPr>
                      <w:rFonts w:hint="eastAsia" w:ascii="Times New Roman" w:eastAsia="宋体"/>
                      <w:bCs/>
                      <w:color w:val="000000" w:themeColor="text1"/>
                      <w:kern w:val="21"/>
                      <w:szCs w:val="21"/>
                    </w:rPr>
                    <w:t>紫外线光束分解空气中的氧分子产生游离氧，游离氧与氧分子结合产生臭氧。</w:t>
                  </w:r>
                  <w:r>
                    <w:rPr>
                      <w:rFonts w:ascii="Times New Roman" w:hAnsi="Times New Roman" w:eastAsia="宋体"/>
                      <w:bCs/>
                      <w:color w:val="000000" w:themeColor="text1"/>
                      <w:kern w:val="21"/>
                      <w:szCs w:val="21"/>
                    </w:rPr>
                    <w:t>UV</w:t>
                  </w:r>
                  <w:r>
                    <w:rPr>
                      <w:rFonts w:hint="eastAsia" w:ascii="Times New Roman" w:eastAsia="宋体"/>
                      <w:bCs/>
                      <w:color w:val="000000" w:themeColor="text1"/>
                      <w:kern w:val="21"/>
                      <w:szCs w:val="21"/>
                    </w:rPr>
                    <w:t>＋</w:t>
                  </w:r>
                  <w:r>
                    <w:rPr>
                      <w:rFonts w:ascii="Times New Roman" w:hAnsi="Times New Roman" w:eastAsia="宋体"/>
                      <w:bCs/>
                      <w:color w:val="000000" w:themeColor="text1"/>
                      <w:kern w:val="21"/>
                      <w:szCs w:val="21"/>
                    </w:rPr>
                    <w:t>O</w:t>
                  </w:r>
                  <w:r>
                    <w:rPr>
                      <w:rFonts w:ascii="Times New Roman" w:hAnsi="Times New Roman" w:eastAsia="宋体"/>
                      <w:bCs/>
                      <w:color w:val="000000" w:themeColor="text1"/>
                      <w:kern w:val="21"/>
                      <w:szCs w:val="21"/>
                      <w:vertAlign w:val="subscript"/>
                    </w:rPr>
                    <w:t>2</w:t>
                  </w:r>
                  <w:r>
                    <w:rPr>
                      <w:rFonts w:ascii="Times New Roman" w:hAnsi="Times New Roman" w:eastAsia="宋体"/>
                      <w:bCs/>
                      <w:color w:val="000000" w:themeColor="text1"/>
                      <w:kern w:val="21"/>
                      <w:szCs w:val="21"/>
                    </w:rPr>
                    <w:t>→O</w:t>
                  </w:r>
                  <w:r>
                    <w:rPr>
                      <w:rFonts w:ascii="Times New Roman" w:hAnsi="Times New Roman" w:eastAsia="宋体"/>
                      <w:bCs/>
                      <w:color w:val="000000" w:themeColor="text1"/>
                      <w:kern w:val="21"/>
                      <w:szCs w:val="21"/>
                      <w:vertAlign w:val="superscript"/>
                    </w:rPr>
                    <w:t>-</w:t>
                  </w:r>
                  <w:r>
                    <w:rPr>
                      <w:rFonts w:ascii="Times New Roman" w:hAnsi="Times New Roman" w:eastAsia="宋体"/>
                      <w:bCs/>
                      <w:color w:val="000000" w:themeColor="text1"/>
                      <w:kern w:val="21"/>
                      <w:szCs w:val="21"/>
                    </w:rPr>
                    <w:t>+O*(</w:t>
                  </w:r>
                  <w:r>
                    <w:rPr>
                      <w:rFonts w:hint="eastAsia" w:ascii="Times New Roman" w:eastAsia="宋体"/>
                      <w:bCs/>
                      <w:color w:val="000000" w:themeColor="text1"/>
                      <w:kern w:val="21"/>
                      <w:szCs w:val="21"/>
                    </w:rPr>
                    <w:t>活性氧</w:t>
                  </w:r>
                  <w:r>
                    <w:rPr>
                      <w:rFonts w:ascii="Times New Roman" w:hAnsi="Times New Roman" w:eastAsia="宋体"/>
                      <w:bCs/>
                      <w:color w:val="000000" w:themeColor="text1"/>
                      <w:kern w:val="21"/>
                      <w:szCs w:val="21"/>
                    </w:rPr>
                    <w:t>)O+O</w:t>
                  </w:r>
                  <w:r>
                    <w:rPr>
                      <w:rFonts w:ascii="Times New Roman" w:hAnsi="Times New Roman" w:eastAsia="宋体"/>
                      <w:bCs/>
                      <w:color w:val="000000" w:themeColor="text1"/>
                      <w:kern w:val="21"/>
                      <w:szCs w:val="21"/>
                      <w:vertAlign w:val="subscript"/>
                    </w:rPr>
                    <w:t>2</w:t>
                  </w:r>
                  <w:r>
                    <w:rPr>
                      <w:rFonts w:ascii="Times New Roman" w:hAnsi="Times New Roman" w:eastAsia="宋体"/>
                      <w:bCs/>
                      <w:color w:val="000000" w:themeColor="text1"/>
                      <w:kern w:val="21"/>
                      <w:szCs w:val="21"/>
                    </w:rPr>
                    <w:t>→O</w:t>
                  </w:r>
                  <w:r>
                    <w:rPr>
                      <w:rFonts w:ascii="Times New Roman" w:hAnsi="Times New Roman" w:eastAsia="宋体"/>
                      <w:bCs/>
                      <w:color w:val="000000" w:themeColor="text1"/>
                      <w:kern w:val="21"/>
                      <w:szCs w:val="21"/>
                      <w:vertAlign w:val="subscript"/>
                    </w:rPr>
                    <w:t>3</w:t>
                  </w:r>
                  <w:r>
                    <w:rPr>
                      <w:rFonts w:ascii="Times New Roman" w:hAnsi="Times New Roman" w:eastAsia="宋体"/>
                      <w:bCs/>
                      <w:color w:val="000000" w:themeColor="text1"/>
                      <w:kern w:val="21"/>
                      <w:szCs w:val="21"/>
                    </w:rPr>
                    <w:t>(</w:t>
                  </w:r>
                  <w:r>
                    <w:rPr>
                      <w:rFonts w:hint="eastAsia" w:ascii="Times New Roman" w:eastAsia="宋体"/>
                      <w:bCs/>
                      <w:color w:val="000000" w:themeColor="text1"/>
                      <w:kern w:val="21"/>
                      <w:szCs w:val="21"/>
                    </w:rPr>
                    <w:t>臭氧</w:t>
                  </w:r>
                  <w:r>
                    <w:rPr>
                      <w:rFonts w:ascii="Times New Roman" w:hAnsi="Times New Roman" w:eastAsia="宋体"/>
                      <w:bCs/>
                      <w:color w:val="000000" w:themeColor="text1"/>
                      <w:kern w:val="21"/>
                      <w:szCs w:val="21"/>
                    </w:rPr>
                    <w:t>)</w:t>
                  </w:r>
                  <w:r>
                    <w:rPr>
                      <w:rFonts w:hint="eastAsia" w:ascii="Times New Roman" w:eastAsia="宋体"/>
                      <w:bCs/>
                      <w:color w:val="000000" w:themeColor="text1"/>
                      <w:kern w:val="21"/>
                      <w:szCs w:val="21"/>
                    </w:rPr>
                    <w:t>，臭氧将有机物废气氧化成</w:t>
                  </w:r>
                  <w:r>
                    <w:rPr>
                      <w:rFonts w:ascii="Times New Roman" w:hAnsi="Times New Roman" w:eastAsia="宋体"/>
                      <w:bCs/>
                      <w:color w:val="000000" w:themeColor="text1"/>
                      <w:kern w:val="21"/>
                      <w:szCs w:val="21"/>
                    </w:rPr>
                    <w:t>CO</w:t>
                  </w:r>
                  <w:r>
                    <w:rPr>
                      <w:rFonts w:ascii="Times New Roman" w:hAnsi="Times New Roman" w:eastAsia="宋体"/>
                      <w:bCs/>
                      <w:color w:val="000000" w:themeColor="text1"/>
                      <w:kern w:val="21"/>
                      <w:szCs w:val="21"/>
                      <w:vertAlign w:val="subscript"/>
                    </w:rPr>
                    <w:t>2</w:t>
                  </w:r>
                  <w:r>
                    <w:rPr>
                      <w:rFonts w:hint="eastAsia" w:ascii="Times New Roman" w:eastAsia="宋体"/>
                      <w:bCs/>
                      <w:color w:val="000000" w:themeColor="text1"/>
                      <w:kern w:val="21"/>
                      <w:szCs w:val="21"/>
                    </w:rPr>
                    <w:t>和</w:t>
                  </w:r>
                  <w:r>
                    <w:rPr>
                      <w:rFonts w:ascii="Times New Roman" w:hAnsi="Times New Roman" w:eastAsia="宋体"/>
                      <w:bCs/>
                      <w:color w:val="000000" w:themeColor="text1"/>
                      <w:kern w:val="21"/>
                      <w:szCs w:val="21"/>
                    </w:rPr>
                    <w:t>H</w:t>
                  </w:r>
                  <w:r>
                    <w:rPr>
                      <w:rFonts w:ascii="Times New Roman" w:hAnsi="Times New Roman" w:eastAsia="宋体"/>
                      <w:bCs/>
                      <w:color w:val="000000" w:themeColor="text1"/>
                      <w:kern w:val="21"/>
                      <w:szCs w:val="21"/>
                      <w:vertAlign w:val="subscript"/>
                    </w:rPr>
                    <w:t>2</w:t>
                  </w:r>
                  <w:r>
                    <w:rPr>
                      <w:rFonts w:ascii="Times New Roman" w:hAnsi="Times New Roman" w:eastAsia="宋体"/>
                      <w:bCs/>
                      <w:color w:val="000000" w:themeColor="text1"/>
                      <w:kern w:val="21"/>
                      <w:szCs w:val="21"/>
                    </w:rPr>
                    <w:t>O</w:t>
                  </w:r>
                </w:p>
              </w:tc>
              <w:tc>
                <w:tcPr>
                  <w:tcW w:w="1977" w:type="dxa"/>
                  <w:tcMar>
                    <w:top w:w="28" w:type="dxa"/>
                    <w:left w:w="51" w:type="dxa"/>
                    <w:bottom w:w="28" w:type="dxa"/>
                    <w:right w:w="51" w:type="dxa"/>
                  </w:tcMar>
                  <w:vAlign w:val="center"/>
                </w:tcPr>
                <w:p>
                  <w:pPr>
                    <w:adjustRightInd w:val="0"/>
                    <w:snapToGrid w:val="0"/>
                    <w:jc w:val="center"/>
                    <w:rPr>
                      <w:rFonts w:ascii="Times New Roman" w:hAnsi="Times New Roman" w:eastAsia="宋体"/>
                      <w:bCs/>
                      <w:color w:val="000000" w:themeColor="text1"/>
                      <w:spacing w:val="-4"/>
                      <w:kern w:val="21"/>
                      <w:szCs w:val="21"/>
                    </w:rPr>
                  </w:pPr>
                  <w:r>
                    <w:rPr>
                      <w:rFonts w:hint="eastAsia" w:ascii="Times New Roman" w:eastAsia="宋体"/>
                      <w:color w:val="000000" w:themeColor="text1"/>
                      <w:kern w:val="21"/>
                      <w:szCs w:val="21"/>
                    </w:rPr>
                    <w:t>处理效率高，占地小，投资运行费用较低，适应性强、高效除恶臭、运行成本低、有机废气无需预处理等</w:t>
                  </w:r>
                </w:p>
              </w:tc>
              <w:tc>
                <w:tcPr>
                  <w:tcW w:w="2197" w:type="dxa"/>
                  <w:tcMar>
                    <w:top w:w="28" w:type="dxa"/>
                    <w:left w:w="51" w:type="dxa"/>
                    <w:bottom w:w="28" w:type="dxa"/>
                    <w:right w:w="51" w:type="dxa"/>
                  </w:tcMar>
                  <w:vAlign w:val="center"/>
                </w:tcPr>
                <w:p>
                  <w:pPr>
                    <w:adjustRightInd w:val="0"/>
                    <w:snapToGrid w:val="0"/>
                    <w:jc w:val="center"/>
                    <w:rPr>
                      <w:rFonts w:ascii="Times New Roman" w:hAnsi="Times New Roman" w:eastAsia="宋体"/>
                      <w:bCs/>
                      <w:color w:val="000000" w:themeColor="text1"/>
                      <w:spacing w:val="-4"/>
                      <w:kern w:val="21"/>
                      <w:szCs w:val="21"/>
                    </w:rPr>
                  </w:pPr>
                  <w:r>
                    <w:rPr>
                      <w:rFonts w:hint="eastAsia" w:ascii="Times New Roman" w:eastAsia="宋体"/>
                      <w:color w:val="000000" w:themeColor="text1"/>
                      <w:kern w:val="21"/>
                      <w:szCs w:val="21"/>
                    </w:rPr>
                    <w:t>需要定期保养与维护</w:t>
                  </w:r>
                </w:p>
              </w:tc>
              <w:tc>
                <w:tcPr>
                  <w:tcW w:w="1500" w:type="dxa"/>
                  <w:tcMar>
                    <w:top w:w="28" w:type="dxa"/>
                    <w:left w:w="51" w:type="dxa"/>
                    <w:bottom w:w="28" w:type="dxa"/>
                    <w:right w:w="51" w:type="dxa"/>
                  </w:tcMar>
                  <w:vAlign w:val="center"/>
                </w:tcPr>
                <w:p>
                  <w:pPr>
                    <w:adjustRightInd w:val="0"/>
                    <w:snapToGrid w:val="0"/>
                    <w:jc w:val="center"/>
                    <w:rPr>
                      <w:rFonts w:ascii="Times New Roman" w:hAnsi="Times New Roman" w:eastAsia="宋体"/>
                      <w:bCs/>
                      <w:color w:val="000000" w:themeColor="text1"/>
                      <w:spacing w:val="-4"/>
                      <w:kern w:val="21"/>
                      <w:szCs w:val="21"/>
                    </w:rPr>
                  </w:pPr>
                  <w:r>
                    <w:rPr>
                      <w:rFonts w:hint="eastAsia" w:ascii="Times New Roman" w:eastAsia="宋体"/>
                      <w:color w:val="000000" w:themeColor="text1"/>
                      <w:kern w:val="21"/>
                      <w:szCs w:val="21"/>
                    </w:rPr>
                    <w:t>适用于大部分有机废气，适用于中低浓度、中小风量的废气治理</w:t>
                  </w:r>
                </w:p>
              </w:tc>
            </w:tr>
          </w:tbl>
          <w:p>
            <w:pPr>
              <w:adjustRightInd w:val="0"/>
              <w:snapToGrid w:val="0"/>
              <w:spacing w:line="440" w:lineRule="exact"/>
              <w:ind w:firstLine="480" w:firstLineChars="200"/>
              <w:rPr>
                <w:rFonts w:ascii="Times New Roman" w:eastAsia="宋体"/>
                <w:color w:val="000000" w:themeColor="text1"/>
                <w:sz w:val="24"/>
              </w:rPr>
            </w:pPr>
            <w:r>
              <w:rPr>
                <w:rFonts w:hint="eastAsia" w:ascii="Times New Roman" w:eastAsia="宋体"/>
                <w:color w:val="000000" w:themeColor="text1"/>
                <w:kern w:val="21"/>
                <w:sz w:val="24"/>
              </w:rPr>
              <w:t>根据对</w:t>
            </w:r>
            <w:r>
              <w:rPr>
                <w:rFonts w:hint="eastAsia" w:ascii="Times New Roman" w:eastAsia="宋体"/>
                <w:color w:val="000000" w:themeColor="text1"/>
                <w:sz w:val="24"/>
              </w:rPr>
              <w:t>有机废气的净化方法的分析，结合项目生产工艺及废气污染因子，确定压合</w:t>
            </w:r>
            <w:r>
              <w:rPr>
                <w:rFonts w:ascii="Times New Roman" w:eastAsia="宋体"/>
                <w:color w:val="000000" w:themeColor="text1"/>
                <w:sz w:val="24"/>
              </w:rPr>
              <w:t>工序有机</w:t>
            </w:r>
            <w:r>
              <w:rPr>
                <w:rFonts w:hint="eastAsia" w:ascii="Times New Roman" w:eastAsia="宋体"/>
                <w:color w:val="000000" w:themeColor="text1"/>
                <w:sz w:val="24"/>
              </w:rPr>
              <w:t>废气经</w:t>
            </w:r>
            <w:r>
              <w:rPr>
                <w:rFonts w:hint="eastAsia" w:ascii="Times New Roman" w:hAnsi="Times New Roman" w:eastAsia="宋体"/>
                <w:color w:val="000000" w:themeColor="text1"/>
                <w:sz w:val="24"/>
              </w:rPr>
              <w:t>1</w:t>
            </w:r>
            <w:r>
              <w:rPr>
                <w:rFonts w:hint="eastAsia" w:ascii="Times New Roman" w:eastAsia="宋体"/>
                <w:color w:val="000000" w:themeColor="text1"/>
                <w:sz w:val="24"/>
              </w:rPr>
              <w:t>套</w:t>
            </w:r>
            <w:r>
              <w:rPr>
                <w:rFonts w:hint="eastAsia" w:ascii="Times New Roman" w:hAnsi="Times New Roman" w:eastAsia="宋体"/>
                <w:color w:val="000000" w:themeColor="text1"/>
                <w:sz w:val="24"/>
              </w:rPr>
              <w:t>“</w:t>
            </w:r>
            <w:r>
              <w:rPr>
                <w:rFonts w:ascii="Times New Roman" w:hAnsi="Times New Roman" w:eastAsia="宋体"/>
                <w:color w:val="000000" w:themeColor="text1"/>
                <w:sz w:val="24"/>
              </w:rPr>
              <w:t>UV光催化氧化+活性炭吸附</w:t>
            </w:r>
            <w:r>
              <w:rPr>
                <w:rFonts w:hint="eastAsia" w:ascii="Times New Roman" w:hAnsi="Times New Roman" w:eastAsia="宋体"/>
                <w:color w:val="000000" w:themeColor="text1"/>
                <w:sz w:val="24"/>
              </w:rPr>
              <w:t>+油烟净化器+水喷淋”装置</w:t>
            </w:r>
            <w:r>
              <w:rPr>
                <w:rFonts w:hint="eastAsia" w:ascii="Times New Roman" w:eastAsia="宋体"/>
                <w:color w:val="000000" w:themeColor="text1"/>
                <w:sz w:val="24"/>
              </w:rPr>
              <w:t>联合处理工艺进行处理，处理后经过</w:t>
            </w:r>
            <w:r>
              <w:rPr>
                <w:rFonts w:ascii="Times New Roman" w:hAnsi="Times New Roman" w:eastAsia="宋体"/>
                <w:color w:val="000000" w:themeColor="text1"/>
                <w:sz w:val="24"/>
              </w:rPr>
              <w:t>15m</w:t>
            </w:r>
            <w:r>
              <w:rPr>
                <w:rFonts w:hint="eastAsia" w:ascii="Times New Roman" w:eastAsia="宋体"/>
                <w:color w:val="000000" w:themeColor="text1"/>
                <w:sz w:val="24"/>
              </w:rPr>
              <w:t>排气筒排放。</w:t>
            </w:r>
          </w:p>
          <w:p>
            <w:pPr>
              <w:adjustRightInd w:val="0"/>
              <w:snapToGrid w:val="0"/>
              <w:spacing w:line="440" w:lineRule="exact"/>
              <w:ind w:firstLine="480" w:firstLineChars="200"/>
              <w:rPr>
                <w:rFonts w:ascii="Times New Roman" w:hAnsi="Times New Roman" w:eastAsia="宋体"/>
                <w:color w:val="000000" w:themeColor="text1"/>
                <w:sz w:val="24"/>
              </w:rPr>
            </w:pPr>
            <w:r>
              <w:rPr>
                <w:rFonts w:hint="eastAsia" w:ascii="Times New Roman" w:hAnsi="Times New Roman" w:eastAsia="宋体"/>
                <w:color w:val="000000" w:themeColor="text1"/>
                <w:sz w:val="24"/>
              </w:rPr>
              <w:t>UV</w:t>
            </w:r>
            <w:r>
              <w:rPr>
                <w:rFonts w:hint="eastAsia" w:ascii="Times New Roman" w:eastAsia="宋体"/>
                <w:color w:val="000000" w:themeColor="text1"/>
                <w:sz w:val="24"/>
              </w:rPr>
              <w:t>光氧催化设备是利用高能高臭氧</w:t>
            </w:r>
            <w:r>
              <w:rPr>
                <w:rFonts w:ascii="Times New Roman" w:hAnsi="Times New Roman" w:eastAsia="宋体"/>
                <w:color w:val="000000" w:themeColor="text1"/>
                <w:sz w:val="24"/>
              </w:rPr>
              <w:t>UV</w:t>
            </w:r>
            <w:r>
              <w:rPr>
                <w:rFonts w:hint="eastAsia" w:ascii="Times New Roman" w:eastAsia="宋体"/>
                <w:color w:val="000000" w:themeColor="text1"/>
                <w:sz w:val="24"/>
              </w:rPr>
              <w:t>紫外线光束分解空气中的氧分子产生游离氧，游离氧与氧分子结合产生臭氧，臭氧将有机物废气氧化成</w:t>
            </w:r>
            <w:r>
              <w:rPr>
                <w:rFonts w:ascii="Times New Roman" w:hAnsi="Times New Roman" w:eastAsia="宋体"/>
                <w:color w:val="000000" w:themeColor="text1"/>
                <w:sz w:val="24"/>
              </w:rPr>
              <w:t>CO</w:t>
            </w:r>
            <w:r>
              <w:rPr>
                <w:rFonts w:ascii="Times New Roman" w:hAnsi="Times New Roman" w:eastAsia="宋体"/>
                <w:color w:val="000000" w:themeColor="text1"/>
                <w:sz w:val="24"/>
                <w:vertAlign w:val="subscript"/>
              </w:rPr>
              <w:t>2</w:t>
            </w:r>
            <w:r>
              <w:rPr>
                <w:rFonts w:hint="eastAsia" w:ascii="Times New Roman" w:eastAsia="宋体"/>
                <w:color w:val="000000" w:themeColor="text1"/>
                <w:sz w:val="24"/>
              </w:rPr>
              <w:t>和</w:t>
            </w:r>
            <w:r>
              <w:rPr>
                <w:rFonts w:ascii="Times New Roman" w:hAnsi="Times New Roman" w:eastAsia="宋体"/>
                <w:color w:val="000000" w:themeColor="text1"/>
                <w:sz w:val="24"/>
              </w:rPr>
              <w:t>H</w:t>
            </w:r>
            <w:r>
              <w:rPr>
                <w:rFonts w:ascii="Times New Roman" w:hAnsi="Times New Roman" w:eastAsia="宋体"/>
                <w:color w:val="000000" w:themeColor="text1"/>
                <w:sz w:val="24"/>
                <w:vertAlign w:val="subscript"/>
              </w:rPr>
              <w:t>2</w:t>
            </w:r>
            <w:r>
              <w:rPr>
                <w:rFonts w:ascii="Times New Roman" w:hAnsi="Times New Roman" w:eastAsia="宋体"/>
                <w:color w:val="000000" w:themeColor="text1"/>
                <w:sz w:val="24"/>
              </w:rPr>
              <w:t>O</w:t>
            </w:r>
            <w:r>
              <w:rPr>
                <w:rFonts w:hint="eastAsia" w:ascii="Times New Roman" w:eastAsia="宋体"/>
                <w:color w:val="000000" w:themeColor="text1"/>
                <w:sz w:val="24"/>
              </w:rPr>
              <w:t>，</w:t>
            </w:r>
            <w:r>
              <w:rPr>
                <w:rFonts w:hint="eastAsia" w:ascii="Times New Roman" w:hAnsi="Times New Roman" w:eastAsia="宋体"/>
                <w:color w:val="000000" w:themeColor="text1"/>
                <w:sz w:val="24"/>
              </w:rPr>
              <w:t>UV</w:t>
            </w:r>
            <w:r>
              <w:rPr>
                <w:rFonts w:hint="eastAsia" w:ascii="Times New Roman" w:eastAsia="宋体"/>
                <w:color w:val="000000" w:themeColor="text1"/>
                <w:sz w:val="24"/>
              </w:rPr>
              <w:t>光氧催化设备适用于大部分有机废气，适用于中低浓度、中小风量的废气治理。</w:t>
            </w:r>
          </w:p>
          <w:p>
            <w:pPr>
              <w:adjustRightInd w:val="0"/>
              <w:snapToGrid w:val="0"/>
              <w:spacing w:line="440" w:lineRule="exact"/>
              <w:ind w:firstLine="480" w:firstLineChars="200"/>
              <w:rPr>
                <w:rFonts w:ascii="Times New Roman" w:hAnsi="Times New Roman" w:eastAsia="宋体"/>
                <w:color w:val="000000" w:themeColor="text1"/>
                <w:sz w:val="24"/>
              </w:rPr>
            </w:pPr>
            <w:r>
              <w:rPr>
                <w:rFonts w:hint="eastAsia" w:ascii="Times New Roman" w:eastAsia="宋体"/>
                <w:color w:val="000000" w:themeColor="text1"/>
                <w:sz w:val="24"/>
              </w:rPr>
              <w:t>活性炭吸附装置是当由风机提供动力，有机废气在负压条件下进入吸附箱中的活性炭吸附层，由于活性炭吸附剂表面上存在着未平衡和未饱和的分子引力或化学键力，因此当活性炭吸附剂的表面与气体接触时，就能吸引气体分子，使其浓聚并保持在活性炭表面，此现象称为吸附。利用活性炭吸附剂表面的吸附能力，使废气与大表面的多孔性活性炭吸附剂相接触，废气中的污染物被吸附在活性炭表面上，使其与气体混合物分离，净化后的气体高空排放。活性炭吸附箱是一种干式废气处理设备，由箱体和填装在箱体内的吸附单元组成，适用于常温、低浓度、废气量中小的废气治理。</w:t>
            </w:r>
          </w:p>
          <w:p>
            <w:pPr>
              <w:adjustRightInd w:val="0"/>
              <w:snapToGrid w:val="0"/>
              <w:spacing w:line="440" w:lineRule="exact"/>
              <w:ind w:firstLine="480" w:firstLineChars="200"/>
              <w:rPr>
                <w:rFonts w:ascii="Times New Roman" w:hAnsi="Times New Roman" w:eastAsia="宋体"/>
                <w:color w:val="000000" w:themeColor="text1"/>
                <w:kern w:val="21"/>
                <w:sz w:val="24"/>
              </w:rPr>
            </w:pPr>
            <w:r>
              <w:rPr>
                <w:rFonts w:hint="eastAsia" w:ascii="Times New Roman" w:eastAsia="宋体"/>
                <w:color w:val="000000" w:themeColor="text1"/>
                <w:kern w:val="21"/>
                <w:sz w:val="24"/>
              </w:rPr>
              <w:t>根据工程分析，本项目</w:t>
            </w:r>
            <w:r>
              <w:rPr>
                <w:rFonts w:hint="eastAsia" w:ascii="Times New Roman" w:eastAsia="宋体"/>
                <w:color w:val="000000" w:themeColor="text1"/>
                <w:sz w:val="24"/>
              </w:rPr>
              <w:t>压合</w:t>
            </w:r>
            <w:r>
              <w:rPr>
                <w:rFonts w:ascii="Times New Roman" w:eastAsia="宋体"/>
                <w:color w:val="000000" w:themeColor="text1"/>
                <w:sz w:val="24"/>
              </w:rPr>
              <w:t>工序</w:t>
            </w:r>
            <w:r>
              <w:rPr>
                <w:rFonts w:hint="eastAsia" w:ascii="Times New Roman" w:eastAsia="宋体"/>
                <w:color w:val="000000" w:themeColor="text1"/>
                <w:kern w:val="21"/>
                <w:sz w:val="24"/>
              </w:rPr>
              <w:t>非甲烷总烃的产生量为</w:t>
            </w:r>
            <w:r>
              <w:rPr>
                <w:rFonts w:hint="eastAsia" w:ascii="Times New Roman" w:hAnsi="Times New Roman" w:eastAsia="宋体"/>
                <w:color w:val="000000" w:themeColor="text1"/>
                <w:kern w:val="21"/>
                <w:sz w:val="24"/>
              </w:rPr>
              <w:t>0.2713</w:t>
            </w:r>
            <w:r>
              <w:rPr>
                <w:rFonts w:ascii="Times New Roman" w:hAnsi="Times New Roman" w:eastAsia="宋体"/>
                <w:color w:val="000000" w:themeColor="text1"/>
                <w:kern w:val="21"/>
                <w:sz w:val="24"/>
              </w:rPr>
              <w:t>t/a</w:t>
            </w:r>
            <w:r>
              <w:rPr>
                <w:rFonts w:hint="eastAsia" w:ascii="Times New Roman" w:eastAsia="宋体"/>
                <w:color w:val="000000" w:themeColor="text1"/>
                <w:kern w:val="21"/>
                <w:sz w:val="24"/>
              </w:rPr>
              <w:t>，设置风机风量为</w:t>
            </w:r>
            <w:r>
              <w:rPr>
                <w:rFonts w:hint="eastAsia" w:ascii="Times New Roman" w:hAnsi="Times New Roman" w:eastAsia="宋体"/>
                <w:color w:val="000000" w:themeColor="text1"/>
                <w:kern w:val="21"/>
                <w:sz w:val="24"/>
              </w:rPr>
              <w:t>2000</w:t>
            </w:r>
            <w:r>
              <w:rPr>
                <w:rFonts w:ascii="Times New Roman" w:hAnsi="Times New Roman" w:eastAsia="宋体"/>
                <w:color w:val="000000" w:themeColor="text1"/>
                <w:kern w:val="21"/>
                <w:sz w:val="24"/>
              </w:rPr>
              <w:t>m</w:t>
            </w:r>
            <w:r>
              <w:rPr>
                <w:rFonts w:ascii="Times New Roman" w:hAnsi="Times New Roman" w:eastAsia="宋体"/>
                <w:color w:val="000000" w:themeColor="text1"/>
                <w:kern w:val="21"/>
                <w:sz w:val="24"/>
                <w:vertAlign w:val="superscript"/>
              </w:rPr>
              <w:t>3</w:t>
            </w:r>
            <w:r>
              <w:rPr>
                <w:rFonts w:ascii="Times New Roman" w:hAnsi="Times New Roman" w:eastAsia="宋体"/>
                <w:color w:val="000000" w:themeColor="text1"/>
                <w:kern w:val="21"/>
                <w:sz w:val="24"/>
              </w:rPr>
              <w:t>/h</w:t>
            </w:r>
            <w:r>
              <w:rPr>
                <w:rFonts w:hint="eastAsia" w:ascii="Times New Roman" w:eastAsia="宋体"/>
                <w:color w:val="000000" w:themeColor="text1"/>
                <w:kern w:val="21"/>
                <w:sz w:val="24"/>
              </w:rPr>
              <w:t>，</w:t>
            </w:r>
            <w:r>
              <w:rPr>
                <w:rFonts w:hint="eastAsia" w:ascii="Times New Roman" w:eastAsia="宋体"/>
                <w:color w:val="000000" w:themeColor="text1"/>
                <w:kern w:val="21"/>
                <w:sz w:val="24"/>
                <w:lang w:val="pt-BR"/>
              </w:rPr>
              <w:t>产生速率为</w:t>
            </w:r>
            <w:r>
              <w:rPr>
                <w:rFonts w:ascii="Times New Roman" w:hAnsi="Times New Roman" w:eastAsia="宋体"/>
                <w:color w:val="000000" w:themeColor="text1"/>
                <w:kern w:val="21"/>
                <w:sz w:val="24"/>
              </w:rPr>
              <w:t>0.</w:t>
            </w:r>
            <w:r>
              <w:rPr>
                <w:rFonts w:hint="eastAsia" w:ascii="Times New Roman" w:hAnsi="Times New Roman" w:eastAsia="宋体"/>
                <w:color w:val="000000" w:themeColor="text1"/>
                <w:kern w:val="21"/>
                <w:sz w:val="24"/>
              </w:rPr>
              <w:t>1507</w:t>
            </w:r>
            <w:r>
              <w:rPr>
                <w:rFonts w:ascii="Times New Roman" w:hAnsi="Times New Roman" w:eastAsia="宋体"/>
                <w:color w:val="000000" w:themeColor="text1"/>
                <w:kern w:val="21"/>
                <w:sz w:val="24"/>
                <w:lang w:val="pt-BR"/>
              </w:rPr>
              <w:t>kg/h</w:t>
            </w:r>
            <w:r>
              <w:rPr>
                <w:rFonts w:hint="eastAsia" w:ascii="Times New Roman" w:eastAsia="宋体"/>
                <w:color w:val="000000" w:themeColor="text1"/>
                <w:kern w:val="21"/>
                <w:sz w:val="24"/>
                <w:lang w:val="pt-BR"/>
              </w:rPr>
              <w:t>，产生浓度为</w:t>
            </w:r>
            <w:r>
              <w:rPr>
                <w:rFonts w:hint="eastAsia" w:ascii="Times New Roman" w:hAnsi="Times New Roman" w:eastAsia="宋体"/>
                <w:snapToGrid w:val="0"/>
                <w:color w:val="000000" w:themeColor="text1"/>
                <w:kern w:val="21"/>
                <w:sz w:val="24"/>
              </w:rPr>
              <w:t>75.35</w:t>
            </w:r>
            <w:r>
              <w:rPr>
                <w:rFonts w:ascii="Times New Roman" w:hAnsi="Times New Roman" w:eastAsia="宋体"/>
                <w:color w:val="000000" w:themeColor="text1"/>
                <w:kern w:val="21"/>
                <w:sz w:val="24"/>
                <w:lang w:val="pt-BR"/>
              </w:rPr>
              <w:t>mg/m</w:t>
            </w:r>
            <w:r>
              <w:rPr>
                <w:rFonts w:ascii="Times New Roman" w:hAnsi="Times New Roman" w:eastAsia="宋体"/>
                <w:color w:val="000000" w:themeColor="text1"/>
                <w:kern w:val="21"/>
                <w:sz w:val="24"/>
                <w:vertAlign w:val="superscript"/>
                <w:lang w:val="pt-BR"/>
              </w:rPr>
              <w:t>3</w:t>
            </w:r>
            <w:r>
              <w:rPr>
                <w:rFonts w:hint="eastAsia" w:ascii="Times New Roman" w:eastAsia="宋体"/>
                <w:color w:val="000000" w:themeColor="text1"/>
                <w:kern w:val="21"/>
                <w:sz w:val="24"/>
              </w:rPr>
              <w:t>，</w:t>
            </w:r>
            <w:r>
              <w:rPr>
                <w:rFonts w:hint="eastAsia" w:ascii="Times New Roman" w:eastAsia="宋体"/>
                <w:color w:val="000000" w:themeColor="text1"/>
                <w:kern w:val="21"/>
                <w:sz w:val="24"/>
                <w:lang w:val="pt-BR"/>
              </w:rPr>
              <w:t>属于</w:t>
            </w:r>
            <w:r>
              <w:rPr>
                <w:rFonts w:ascii="Times New Roman" w:hAnsi="Times New Roman" w:eastAsia="宋体"/>
                <w:color w:val="000000" w:themeColor="text1"/>
                <w:kern w:val="21"/>
                <w:sz w:val="24"/>
              </w:rPr>
              <w:t>1000ppm</w:t>
            </w:r>
            <w:r>
              <w:rPr>
                <w:rFonts w:hint="eastAsia" w:ascii="Times New Roman" w:eastAsia="宋体"/>
                <w:color w:val="000000" w:themeColor="text1"/>
                <w:kern w:val="21"/>
                <w:sz w:val="24"/>
              </w:rPr>
              <w:t>以下的低浓度有机废气，本项目</w:t>
            </w:r>
            <w:r>
              <w:rPr>
                <w:rFonts w:hint="eastAsia" w:ascii="Times New Roman" w:eastAsia="宋体"/>
                <w:color w:val="000000" w:themeColor="text1"/>
                <w:sz w:val="24"/>
              </w:rPr>
              <w:t>压合</w:t>
            </w:r>
            <w:r>
              <w:rPr>
                <w:rFonts w:ascii="Times New Roman" w:eastAsia="宋体"/>
                <w:color w:val="000000" w:themeColor="text1"/>
                <w:sz w:val="24"/>
              </w:rPr>
              <w:t>工序</w:t>
            </w:r>
            <w:r>
              <w:rPr>
                <w:rFonts w:hint="eastAsia" w:ascii="Times New Roman" w:eastAsia="宋体"/>
                <w:color w:val="000000" w:themeColor="text1"/>
                <w:kern w:val="21"/>
                <w:sz w:val="24"/>
              </w:rPr>
              <w:t>外排废气温度在</w:t>
            </w:r>
            <w:r>
              <w:rPr>
                <w:rFonts w:hint="eastAsia" w:ascii="Times New Roman" w:hAnsi="Times New Roman" w:eastAsia="宋体"/>
                <w:color w:val="000000" w:themeColor="text1"/>
                <w:kern w:val="21"/>
                <w:sz w:val="24"/>
              </w:rPr>
              <w:t>30</w:t>
            </w:r>
            <w:r>
              <w:rPr>
                <w:rFonts w:hint="eastAsia" w:ascii="Times New Roman" w:hAnsi="Times New Roman" w:eastAsia="宋体" w:cs="宋体"/>
                <w:color w:val="000000" w:themeColor="text1"/>
                <w:kern w:val="21"/>
                <w:sz w:val="24"/>
              </w:rPr>
              <w:t>℃</w:t>
            </w:r>
            <w:r>
              <w:rPr>
                <w:rFonts w:hint="eastAsia" w:ascii="Times New Roman" w:eastAsia="宋体" w:cs="宋体"/>
                <w:color w:val="000000" w:themeColor="text1"/>
                <w:kern w:val="21"/>
                <w:sz w:val="24"/>
              </w:rPr>
              <w:t>左右</w:t>
            </w:r>
            <w:r>
              <w:rPr>
                <w:rFonts w:hint="eastAsia" w:ascii="Times New Roman" w:eastAsia="宋体"/>
                <w:color w:val="000000" w:themeColor="text1"/>
                <w:kern w:val="21"/>
                <w:sz w:val="24"/>
              </w:rPr>
              <w:t>。</w:t>
            </w:r>
          </w:p>
          <w:p>
            <w:pPr>
              <w:adjustRightInd w:val="0"/>
              <w:snapToGrid w:val="0"/>
              <w:spacing w:line="440" w:lineRule="exact"/>
              <w:ind w:firstLine="480" w:firstLineChars="200"/>
              <w:rPr>
                <w:rFonts w:ascii="Times New Roman" w:hAnsi="Times New Roman" w:eastAsia="宋体"/>
                <w:color w:val="000000" w:themeColor="text1"/>
                <w:sz w:val="24"/>
              </w:rPr>
            </w:pPr>
            <w:r>
              <w:rPr>
                <w:rFonts w:hint="eastAsia" w:ascii="Times New Roman" w:eastAsia="宋体"/>
                <w:color w:val="000000" w:themeColor="text1"/>
                <w:sz w:val="24"/>
              </w:rPr>
              <w:t>综上所述，本项目选用</w:t>
            </w:r>
            <w:r>
              <w:rPr>
                <w:rFonts w:hint="eastAsia" w:ascii="Times New Roman" w:hAnsi="Times New Roman" w:eastAsia="宋体"/>
                <w:color w:val="000000" w:themeColor="text1"/>
                <w:sz w:val="24"/>
              </w:rPr>
              <w:t>“</w:t>
            </w:r>
            <w:r>
              <w:rPr>
                <w:rFonts w:ascii="Times New Roman" w:hAnsi="Times New Roman" w:eastAsia="宋体"/>
                <w:color w:val="000000" w:themeColor="text1"/>
                <w:sz w:val="24"/>
              </w:rPr>
              <w:t>UV光催化氧化+活性炭吸附</w:t>
            </w:r>
            <w:r>
              <w:rPr>
                <w:rFonts w:hint="eastAsia" w:ascii="Times New Roman" w:hAnsi="Times New Roman" w:eastAsia="宋体"/>
                <w:color w:val="000000" w:themeColor="text1"/>
                <w:sz w:val="24"/>
              </w:rPr>
              <w:t>+油烟净化器+水喷淋”装置</w:t>
            </w:r>
            <w:r>
              <w:rPr>
                <w:rFonts w:hint="eastAsia" w:ascii="Times New Roman" w:eastAsia="宋体"/>
                <w:color w:val="000000" w:themeColor="text1"/>
                <w:sz w:val="24"/>
              </w:rPr>
              <w:t>联合处理工艺处理非甲烷总烃可行。</w:t>
            </w:r>
          </w:p>
          <w:p>
            <w:pPr>
              <w:autoSpaceDE w:val="0"/>
              <w:autoSpaceDN w:val="0"/>
              <w:adjustRightInd w:val="0"/>
              <w:spacing w:line="440" w:lineRule="exact"/>
              <w:ind w:firstLine="482" w:firstLineChars="200"/>
              <w:jc w:val="left"/>
              <w:rPr>
                <w:rFonts w:ascii="Times New Roman" w:hAnsi="Times New Roman" w:eastAsia="宋体"/>
                <w:b/>
                <w:bCs/>
                <w:color w:val="000000" w:themeColor="text1"/>
                <w:sz w:val="24"/>
              </w:rPr>
            </w:pPr>
            <w:r>
              <w:rPr>
                <w:rFonts w:ascii="Times New Roman" w:hAnsi="Times New Roman" w:eastAsia="宋体"/>
                <w:b/>
                <w:bCs/>
                <w:color w:val="000000" w:themeColor="text1"/>
                <w:sz w:val="24"/>
              </w:rPr>
              <w:t>2、环境空气影响预测及评价</w:t>
            </w:r>
          </w:p>
          <w:p>
            <w:pPr>
              <w:pStyle w:val="84"/>
              <w:snapToGrid w:val="0"/>
              <w:spacing w:line="440" w:lineRule="exact"/>
              <w:ind w:firstLine="482"/>
              <w:rPr>
                <w:rFonts w:ascii="Times New Roman" w:hAnsi="Times New Roman" w:eastAsia="宋体"/>
                <w:b/>
                <w:bCs/>
                <w:color w:val="000000" w:themeColor="text1"/>
              </w:rPr>
            </w:pPr>
            <w:r>
              <w:rPr>
                <w:rFonts w:ascii="Times New Roman" w:hAnsi="Times New Roman" w:eastAsia="宋体"/>
                <w:b/>
                <w:bCs/>
                <w:color w:val="000000" w:themeColor="text1"/>
              </w:rPr>
              <w:t>（1）预测因子和评价标准</w:t>
            </w:r>
          </w:p>
          <w:p>
            <w:pPr>
              <w:pStyle w:val="84"/>
              <w:snapToGrid w:val="0"/>
              <w:spacing w:line="440" w:lineRule="exact"/>
              <w:ind w:firstLine="480"/>
              <w:rPr>
                <w:rFonts w:ascii="Times New Roman" w:hAnsi="Times New Roman" w:eastAsia="宋体"/>
                <w:color w:val="000000" w:themeColor="text1"/>
              </w:rPr>
            </w:pPr>
            <w:r>
              <w:rPr>
                <w:rFonts w:ascii="Times New Roman" w:hAnsi="Times New Roman" w:eastAsia="宋体"/>
                <w:color w:val="000000" w:themeColor="text1"/>
              </w:rPr>
              <w:t>结合工程分析和污染物产排特点，本次评价选取非甲烷总烃作为预测因子。预测因子和评价标准见表</w:t>
            </w:r>
            <w:r>
              <w:rPr>
                <w:rFonts w:hint="eastAsia" w:ascii="Times New Roman" w:hAnsi="Times New Roman" w:eastAsia="宋体"/>
                <w:color w:val="000000" w:themeColor="text1"/>
              </w:rPr>
              <w:t>34</w:t>
            </w:r>
            <w:r>
              <w:rPr>
                <w:rFonts w:ascii="Times New Roman" w:hAnsi="Times New Roman" w:eastAsia="宋体"/>
                <w:color w:val="000000" w:themeColor="text1"/>
              </w:rPr>
              <w:t>。</w:t>
            </w:r>
          </w:p>
          <w:p>
            <w:pPr>
              <w:pStyle w:val="84"/>
              <w:snapToGrid w:val="0"/>
              <w:spacing w:line="440" w:lineRule="exact"/>
              <w:ind w:firstLine="480"/>
              <w:rPr>
                <w:rFonts w:ascii="Times New Roman" w:hAnsi="Times New Roman" w:eastAsia="宋体"/>
                <w:color w:val="000000" w:themeColor="text1"/>
              </w:rPr>
            </w:pPr>
          </w:p>
          <w:p>
            <w:pPr>
              <w:pStyle w:val="119"/>
              <w:spacing w:before="0" w:line="440" w:lineRule="exact"/>
              <w:ind w:firstLine="0"/>
              <w:jc w:val="center"/>
              <w:rPr>
                <w:rFonts w:eastAsia="宋体" w:cs="Times New Roman"/>
                <w:b/>
                <w:bCs/>
                <w:color w:val="000000" w:themeColor="text1"/>
                <w:kern w:val="2"/>
                <w:sz w:val="24"/>
              </w:rPr>
            </w:pPr>
            <w:r>
              <w:rPr>
                <w:rFonts w:eastAsia="宋体" w:cs="Times New Roman"/>
                <w:b/>
                <w:bCs/>
                <w:color w:val="000000" w:themeColor="text1"/>
                <w:kern w:val="2"/>
                <w:sz w:val="24"/>
              </w:rPr>
              <w:t>表</w:t>
            </w:r>
            <w:r>
              <w:rPr>
                <w:rFonts w:hint="eastAsia" w:eastAsia="宋体" w:cs="Times New Roman"/>
                <w:b/>
                <w:bCs/>
                <w:color w:val="000000" w:themeColor="text1"/>
                <w:kern w:val="2"/>
                <w:sz w:val="24"/>
              </w:rPr>
              <w:t xml:space="preserve">34    </w:t>
            </w:r>
            <w:r>
              <w:rPr>
                <w:rFonts w:eastAsia="宋体" w:cs="Times New Roman"/>
                <w:b/>
                <w:bCs/>
                <w:color w:val="000000" w:themeColor="text1"/>
                <w:kern w:val="2"/>
                <w:sz w:val="24"/>
              </w:rPr>
              <w:t>评价因子和评价标准表</w:t>
            </w:r>
          </w:p>
          <w:tbl>
            <w:tblPr>
              <w:tblStyle w:val="24"/>
              <w:tblW w:w="9084" w:type="dxa"/>
              <w:jc w:val="center"/>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autofit"/>
              <w:tblCellMar>
                <w:top w:w="0" w:type="dxa"/>
                <w:left w:w="28" w:type="dxa"/>
                <w:bottom w:w="0" w:type="dxa"/>
                <w:right w:w="28" w:type="dxa"/>
              </w:tblCellMar>
            </w:tblPr>
            <w:tblGrid>
              <w:gridCol w:w="1566"/>
              <w:gridCol w:w="1559"/>
              <w:gridCol w:w="1134"/>
              <w:gridCol w:w="4825"/>
            </w:tblGrid>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1566" w:type="dxa"/>
                  <w:vAlign w:val="center"/>
                </w:tcPr>
                <w:p>
                  <w:pPr>
                    <w:pStyle w:val="121"/>
                    <w:spacing w:line="240" w:lineRule="auto"/>
                    <w:rPr>
                      <w:rFonts w:ascii="Times New Roman" w:hAnsi="Times New Roman" w:eastAsia="宋体"/>
                      <w:b/>
                      <w:bCs/>
                      <w:color w:val="000000" w:themeColor="text1"/>
                    </w:rPr>
                  </w:pPr>
                  <w:r>
                    <w:rPr>
                      <w:rFonts w:ascii="Times New Roman" w:hAnsi="Times New Roman" w:eastAsia="宋体"/>
                      <w:b/>
                      <w:bCs/>
                      <w:color w:val="000000" w:themeColor="text1"/>
                    </w:rPr>
                    <w:t>预测因子</w:t>
                  </w:r>
                </w:p>
              </w:tc>
              <w:tc>
                <w:tcPr>
                  <w:tcW w:w="1559" w:type="dxa"/>
                  <w:vAlign w:val="center"/>
                </w:tcPr>
                <w:p>
                  <w:pPr>
                    <w:pStyle w:val="121"/>
                    <w:spacing w:line="240" w:lineRule="auto"/>
                    <w:rPr>
                      <w:rFonts w:ascii="Times New Roman" w:hAnsi="Times New Roman" w:eastAsia="宋体"/>
                      <w:b/>
                      <w:bCs/>
                      <w:color w:val="000000" w:themeColor="text1"/>
                    </w:rPr>
                  </w:pPr>
                  <w:r>
                    <w:rPr>
                      <w:rFonts w:ascii="Times New Roman" w:hAnsi="Times New Roman" w:eastAsia="宋体"/>
                      <w:b/>
                      <w:bCs/>
                      <w:color w:val="000000" w:themeColor="text1"/>
                    </w:rPr>
                    <w:t>平均时段</w:t>
                  </w:r>
                </w:p>
              </w:tc>
              <w:tc>
                <w:tcPr>
                  <w:tcW w:w="1134" w:type="dxa"/>
                  <w:vAlign w:val="center"/>
                </w:tcPr>
                <w:p>
                  <w:pPr>
                    <w:pStyle w:val="121"/>
                    <w:spacing w:line="240" w:lineRule="auto"/>
                    <w:rPr>
                      <w:rFonts w:ascii="Times New Roman" w:hAnsi="Times New Roman" w:eastAsia="宋体"/>
                      <w:b/>
                      <w:bCs/>
                      <w:color w:val="000000" w:themeColor="text1"/>
                    </w:rPr>
                  </w:pPr>
                  <w:r>
                    <w:rPr>
                      <w:rFonts w:ascii="Times New Roman" w:hAnsi="Times New Roman" w:eastAsia="宋体"/>
                      <w:b/>
                      <w:bCs/>
                      <w:color w:val="000000" w:themeColor="text1"/>
                    </w:rPr>
                    <w:t>标准值</w:t>
                  </w:r>
                </w:p>
              </w:tc>
              <w:tc>
                <w:tcPr>
                  <w:tcW w:w="4825" w:type="dxa"/>
                  <w:vAlign w:val="center"/>
                </w:tcPr>
                <w:p>
                  <w:pPr>
                    <w:pStyle w:val="121"/>
                    <w:spacing w:line="240" w:lineRule="auto"/>
                    <w:rPr>
                      <w:rFonts w:ascii="Times New Roman" w:hAnsi="Times New Roman" w:eastAsia="宋体"/>
                      <w:b/>
                      <w:bCs/>
                      <w:color w:val="000000" w:themeColor="text1"/>
                    </w:rPr>
                  </w:pPr>
                  <w:r>
                    <w:rPr>
                      <w:rFonts w:ascii="Times New Roman" w:hAnsi="Times New Roman" w:eastAsia="宋体"/>
                      <w:b/>
                      <w:bCs/>
                      <w:color w:val="000000" w:themeColor="text1"/>
                    </w:rPr>
                    <w:t>标准来源</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397" w:hRule="atLeast"/>
                <w:jc w:val="center"/>
              </w:trPr>
              <w:tc>
                <w:tcPr>
                  <w:tcW w:w="1566" w:type="dxa"/>
                  <w:vAlign w:val="center"/>
                </w:tcPr>
                <w:p>
                  <w:pPr>
                    <w:pStyle w:val="121"/>
                    <w:spacing w:line="240" w:lineRule="auto"/>
                    <w:rPr>
                      <w:rFonts w:ascii="Times New Roman" w:hAnsi="Times New Roman" w:eastAsia="宋体"/>
                      <w:color w:val="000000" w:themeColor="text1"/>
                    </w:rPr>
                  </w:pPr>
                  <w:r>
                    <w:rPr>
                      <w:rFonts w:ascii="Times New Roman" w:hAnsi="Times New Roman" w:eastAsia="宋体"/>
                      <w:color w:val="000000" w:themeColor="text1"/>
                    </w:rPr>
                    <w:t>非甲烷总烃</w:t>
                  </w:r>
                </w:p>
              </w:tc>
              <w:tc>
                <w:tcPr>
                  <w:tcW w:w="1559" w:type="dxa"/>
                  <w:vAlign w:val="center"/>
                </w:tcPr>
                <w:p>
                  <w:pPr>
                    <w:jc w:val="center"/>
                    <w:textAlignment w:val="baseline"/>
                    <w:rPr>
                      <w:rFonts w:ascii="Times New Roman" w:hAnsi="Times New Roman" w:eastAsia="宋体"/>
                      <w:color w:val="000000" w:themeColor="text1"/>
                      <w:szCs w:val="21"/>
                    </w:rPr>
                  </w:pPr>
                  <w:r>
                    <w:rPr>
                      <w:rFonts w:hint="eastAsia" w:ascii="Times New Roman" w:hAnsi="Times New Roman" w:eastAsia="宋体"/>
                      <w:color w:val="000000" w:themeColor="text1"/>
                      <w:szCs w:val="21"/>
                    </w:rPr>
                    <w:t>1h平均</w:t>
                  </w:r>
                </w:p>
              </w:tc>
              <w:tc>
                <w:tcPr>
                  <w:tcW w:w="1134" w:type="dxa"/>
                  <w:vAlign w:val="center"/>
                </w:tcPr>
                <w:p>
                  <w:pPr>
                    <w:jc w:val="center"/>
                    <w:textAlignment w:val="baseline"/>
                    <w:rPr>
                      <w:rFonts w:ascii="Times New Roman" w:hAnsi="Times New Roman" w:eastAsia="宋体"/>
                      <w:color w:val="000000" w:themeColor="text1"/>
                      <w:szCs w:val="21"/>
                    </w:rPr>
                  </w:pPr>
                  <w:r>
                    <w:rPr>
                      <w:rFonts w:hint="eastAsia" w:ascii="Times New Roman" w:hAnsi="Times New Roman" w:eastAsia="宋体"/>
                      <w:color w:val="000000" w:themeColor="text1"/>
                      <w:szCs w:val="21"/>
                    </w:rPr>
                    <w:t>2.0m</w:t>
                  </w:r>
                  <w:r>
                    <w:rPr>
                      <w:rFonts w:ascii="Times New Roman" w:hAnsi="Times New Roman" w:eastAsia="宋体"/>
                      <w:color w:val="000000" w:themeColor="text1"/>
                      <w:szCs w:val="21"/>
                    </w:rPr>
                    <w:t>g/m</w:t>
                  </w:r>
                  <w:r>
                    <w:rPr>
                      <w:rFonts w:ascii="Times New Roman" w:hAnsi="Times New Roman" w:eastAsia="宋体"/>
                      <w:color w:val="000000" w:themeColor="text1"/>
                      <w:szCs w:val="21"/>
                      <w:vertAlign w:val="superscript"/>
                    </w:rPr>
                    <w:t>3</w:t>
                  </w:r>
                </w:p>
              </w:tc>
              <w:tc>
                <w:tcPr>
                  <w:tcW w:w="4825" w:type="dxa"/>
                  <w:vAlign w:val="center"/>
                </w:tcPr>
                <w:p>
                  <w:pPr>
                    <w:pStyle w:val="121"/>
                    <w:spacing w:line="240" w:lineRule="auto"/>
                    <w:rPr>
                      <w:rFonts w:ascii="Times New Roman" w:hAnsi="Times New Roman" w:eastAsia="宋体"/>
                      <w:color w:val="000000" w:themeColor="text1"/>
                    </w:rPr>
                  </w:pPr>
                  <w:r>
                    <w:rPr>
                      <w:rFonts w:ascii="Times New Roman" w:eastAsia="宋体"/>
                      <w:color w:val="000000" w:themeColor="text1"/>
                    </w:rPr>
                    <w:t>《大气污染物综合排放标准详解》</w:t>
                  </w:r>
                </w:p>
              </w:tc>
            </w:tr>
          </w:tbl>
          <w:p>
            <w:pPr>
              <w:pStyle w:val="84"/>
              <w:snapToGrid w:val="0"/>
              <w:spacing w:line="440" w:lineRule="exact"/>
              <w:ind w:firstLine="482"/>
              <w:rPr>
                <w:rFonts w:ascii="Times New Roman" w:hAnsi="Times New Roman" w:eastAsia="宋体"/>
                <w:b/>
                <w:bCs/>
                <w:color w:val="000000" w:themeColor="text1"/>
              </w:rPr>
            </w:pPr>
            <w:r>
              <w:rPr>
                <w:rFonts w:ascii="Times New Roman" w:hAnsi="Times New Roman" w:eastAsia="宋体"/>
                <w:b/>
                <w:bCs/>
                <w:color w:val="000000" w:themeColor="text1"/>
              </w:rPr>
              <w:t>（2）估算模型参数</w:t>
            </w:r>
          </w:p>
          <w:p>
            <w:pPr>
              <w:spacing w:line="440" w:lineRule="exact"/>
              <w:ind w:firstLine="480" w:firstLineChars="200"/>
              <w:rPr>
                <w:rFonts w:ascii="Times New Roman" w:hAnsi="Times New Roman" w:eastAsia="宋体"/>
                <w:color w:val="000000" w:themeColor="text1"/>
                <w:sz w:val="24"/>
              </w:rPr>
            </w:pPr>
            <w:r>
              <w:rPr>
                <w:rFonts w:ascii="Times New Roman" w:hAnsi="Times New Roman" w:eastAsia="宋体"/>
                <w:color w:val="000000" w:themeColor="text1"/>
                <w:sz w:val="24"/>
              </w:rPr>
              <w:t>本次大气预测根据《环境影响评价技术导则大气环境》HJ2.2-2018中的规定，利用导则推荐的估算模式AERSCREEN计算工程主要污染源污染物的最大落地浓度及其出现距离，估算模型参数见表</w:t>
            </w:r>
            <w:r>
              <w:rPr>
                <w:rFonts w:hint="eastAsia" w:ascii="Times New Roman" w:hAnsi="Times New Roman" w:eastAsia="宋体"/>
                <w:color w:val="000000" w:themeColor="text1"/>
                <w:sz w:val="24"/>
              </w:rPr>
              <w:t>35。</w:t>
            </w:r>
          </w:p>
          <w:p>
            <w:pPr>
              <w:pStyle w:val="119"/>
              <w:spacing w:before="0" w:line="440" w:lineRule="exact"/>
              <w:ind w:firstLine="0"/>
              <w:jc w:val="center"/>
              <w:rPr>
                <w:rFonts w:eastAsia="宋体" w:cs="Times New Roman"/>
                <w:b/>
                <w:bCs/>
                <w:color w:val="000000" w:themeColor="text1"/>
                <w:kern w:val="2"/>
                <w:sz w:val="24"/>
              </w:rPr>
            </w:pPr>
            <w:r>
              <w:rPr>
                <w:rFonts w:eastAsia="宋体" w:cs="Times New Roman"/>
                <w:b/>
                <w:bCs/>
                <w:color w:val="000000" w:themeColor="text1"/>
                <w:kern w:val="2"/>
                <w:sz w:val="24"/>
              </w:rPr>
              <w:t>表</w:t>
            </w:r>
            <w:r>
              <w:rPr>
                <w:rFonts w:hint="eastAsia" w:eastAsia="宋体" w:cs="Times New Roman"/>
                <w:b/>
                <w:bCs/>
                <w:color w:val="000000" w:themeColor="text1"/>
                <w:kern w:val="2"/>
                <w:sz w:val="24"/>
              </w:rPr>
              <w:t xml:space="preserve">35    </w:t>
            </w:r>
            <w:r>
              <w:rPr>
                <w:rFonts w:eastAsia="宋体" w:cs="Times New Roman"/>
                <w:b/>
                <w:bCs/>
                <w:color w:val="000000" w:themeColor="text1"/>
                <w:kern w:val="2"/>
                <w:sz w:val="24"/>
              </w:rPr>
              <w:t>估算模型参数表</w:t>
            </w:r>
          </w:p>
          <w:tbl>
            <w:tblPr>
              <w:tblStyle w:val="24"/>
              <w:tblW w:w="9072"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379"/>
              <w:gridCol w:w="3677"/>
              <w:gridCol w:w="301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37" w:type="pct"/>
                  <w:gridSpan w:val="2"/>
                  <w:tcBorders>
                    <w:top w:val="single" w:color="auto" w:sz="8" w:space="0"/>
                    <w:bottom w:val="single" w:color="auto" w:sz="8" w:space="0"/>
                  </w:tcBorders>
                  <w:vAlign w:val="center"/>
                </w:tcPr>
                <w:p>
                  <w:pPr>
                    <w:pStyle w:val="121"/>
                    <w:spacing w:line="240" w:lineRule="auto"/>
                    <w:rPr>
                      <w:rFonts w:ascii="Times New Roman" w:hAnsi="Times New Roman" w:eastAsia="宋体"/>
                      <w:b/>
                      <w:bCs/>
                      <w:color w:val="000000" w:themeColor="text1"/>
                    </w:rPr>
                  </w:pPr>
                  <w:r>
                    <w:rPr>
                      <w:rFonts w:ascii="Times New Roman" w:hAnsi="Times New Roman" w:eastAsia="宋体"/>
                      <w:b/>
                      <w:bCs/>
                      <w:color w:val="000000" w:themeColor="text1"/>
                    </w:rPr>
                    <w:t>参数</w:t>
                  </w:r>
                </w:p>
              </w:tc>
              <w:tc>
                <w:tcPr>
                  <w:tcW w:w="1662" w:type="pct"/>
                  <w:tcBorders>
                    <w:top w:val="single" w:color="auto" w:sz="8" w:space="0"/>
                    <w:bottom w:val="single" w:color="auto" w:sz="8" w:space="0"/>
                  </w:tcBorders>
                  <w:vAlign w:val="center"/>
                </w:tcPr>
                <w:p>
                  <w:pPr>
                    <w:pStyle w:val="121"/>
                    <w:spacing w:line="240" w:lineRule="auto"/>
                    <w:rPr>
                      <w:rFonts w:ascii="Times New Roman" w:hAnsi="Times New Roman" w:eastAsia="宋体"/>
                      <w:b/>
                      <w:bCs/>
                      <w:color w:val="000000" w:themeColor="text1"/>
                    </w:rPr>
                  </w:pPr>
                  <w:r>
                    <w:rPr>
                      <w:rFonts w:ascii="Times New Roman" w:hAnsi="Times New Roman" w:eastAsia="宋体"/>
                      <w:b/>
                      <w:bCs/>
                      <w:color w:val="000000" w:themeColor="text1"/>
                    </w:rPr>
                    <w:t>取值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11" w:type="pct"/>
                  <w:vMerge w:val="restart"/>
                  <w:tcBorders>
                    <w:top w:val="single" w:color="auto" w:sz="8" w:space="0"/>
                  </w:tcBorders>
                  <w:vAlign w:val="center"/>
                </w:tcPr>
                <w:p>
                  <w:pPr>
                    <w:pStyle w:val="121"/>
                    <w:spacing w:line="240" w:lineRule="auto"/>
                    <w:rPr>
                      <w:rFonts w:ascii="Times New Roman" w:hAnsi="Times New Roman" w:eastAsia="宋体"/>
                      <w:color w:val="000000" w:themeColor="text1"/>
                    </w:rPr>
                  </w:pPr>
                  <w:r>
                    <w:rPr>
                      <w:rFonts w:ascii="Times New Roman" w:hAnsi="Times New Roman" w:eastAsia="宋体"/>
                      <w:color w:val="000000" w:themeColor="text1"/>
                    </w:rPr>
                    <w:t>城市/农村选项</w:t>
                  </w:r>
                </w:p>
              </w:tc>
              <w:tc>
                <w:tcPr>
                  <w:tcW w:w="2025" w:type="pct"/>
                  <w:tcBorders>
                    <w:top w:val="single" w:color="auto" w:sz="8" w:space="0"/>
                  </w:tcBorders>
                  <w:vAlign w:val="center"/>
                </w:tcPr>
                <w:p>
                  <w:pPr>
                    <w:pStyle w:val="121"/>
                    <w:spacing w:line="240" w:lineRule="auto"/>
                    <w:rPr>
                      <w:rFonts w:ascii="Times New Roman" w:hAnsi="Times New Roman" w:eastAsia="宋体"/>
                      <w:color w:val="000000" w:themeColor="text1"/>
                    </w:rPr>
                  </w:pPr>
                  <w:r>
                    <w:rPr>
                      <w:rFonts w:ascii="Times New Roman" w:hAnsi="Times New Roman" w:eastAsia="宋体"/>
                      <w:color w:val="000000" w:themeColor="text1"/>
                    </w:rPr>
                    <w:t>城市/农村</w:t>
                  </w:r>
                </w:p>
              </w:tc>
              <w:tc>
                <w:tcPr>
                  <w:tcW w:w="1662" w:type="pct"/>
                  <w:tcBorders>
                    <w:top w:val="single" w:color="auto" w:sz="8" w:space="0"/>
                  </w:tcBorders>
                  <w:vAlign w:val="center"/>
                </w:tcPr>
                <w:p>
                  <w:pPr>
                    <w:pStyle w:val="121"/>
                    <w:spacing w:line="240" w:lineRule="auto"/>
                    <w:rPr>
                      <w:rFonts w:ascii="Times New Roman" w:hAnsi="Times New Roman" w:eastAsia="宋体"/>
                      <w:color w:val="000000" w:themeColor="text1"/>
                    </w:rPr>
                  </w:pPr>
                  <w:r>
                    <w:rPr>
                      <w:rFonts w:ascii="Times New Roman" w:hAnsi="Times New Roman" w:eastAsia="宋体"/>
                      <w:color w:val="000000" w:themeColor="text1"/>
                    </w:rPr>
                    <w:t>农村</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11" w:type="pct"/>
                  <w:vMerge w:val="continue"/>
                  <w:vAlign w:val="center"/>
                </w:tcPr>
                <w:p>
                  <w:pPr>
                    <w:widowControl/>
                    <w:jc w:val="left"/>
                    <w:rPr>
                      <w:rFonts w:ascii="Times New Roman" w:hAnsi="Times New Roman" w:eastAsia="宋体"/>
                      <w:color w:val="000000" w:themeColor="text1"/>
                      <w:szCs w:val="21"/>
                    </w:rPr>
                  </w:pPr>
                </w:p>
              </w:tc>
              <w:tc>
                <w:tcPr>
                  <w:tcW w:w="2025" w:type="pct"/>
                  <w:vAlign w:val="center"/>
                </w:tcPr>
                <w:p>
                  <w:pPr>
                    <w:pStyle w:val="121"/>
                    <w:spacing w:line="240" w:lineRule="auto"/>
                    <w:rPr>
                      <w:rFonts w:ascii="Times New Roman" w:hAnsi="Times New Roman" w:eastAsia="宋体"/>
                      <w:color w:val="000000" w:themeColor="text1"/>
                    </w:rPr>
                  </w:pPr>
                  <w:r>
                    <w:rPr>
                      <w:rFonts w:ascii="Times New Roman" w:hAnsi="Times New Roman" w:eastAsia="宋体"/>
                      <w:color w:val="000000" w:themeColor="text1"/>
                    </w:rPr>
                    <w:t>人口数（城市选项时）</w:t>
                  </w:r>
                </w:p>
              </w:tc>
              <w:tc>
                <w:tcPr>
                  <w:tcW w:w="1662" w:type="pct"/>
                  <w:vAlign w:val="center"/>
                </w:tcPr>
                <w:p>
                  <w:pPr>
                    <w:pStyle w:val="121"/>
                    <w:spacing w:line="240" w:lineRule="auto"/>
                    <w:rPr>
                      <w:rFonts w:ascii="Times New Roman" w:hAnsi="Times New Roman" w:eastAsia="宋体"/>
                      <w:color w:val="000000" w:themeColor="text1"/>
                    </w:rPr>
                  </w:pPr>
                  <w:r>
                    <w:rPr>
                      <w:rFonts w:ascii="Times New Roman" w:hAnsi="Times New Roman" w:eastAsia="宋体"/>
                      <w:color w:val="000000" w:themeColor="text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37" w:type="pct"/>
                  <w:gridSpan w:val="2"/>
                  <w:vAlign w:val="center"/>
                </w:tcPr>
                <w:p>
                  <w:pPr>
                    <w:pStyle w:val="121"/>
                    <w:spacing w:line="240" w:lineRule="auto"/>
                    <w:rPr>
                      <w:rFonts w:ascii="Times New Roman" w:hAnsi="Times New Roman" w:eastAsia="宋体"/>
                      <w:color w:val="000000" w:themeColor="text1"/>
                    </w:rPr>
                  </w:pPr>
                  <w:r>
                    <w:rPr>
                      <w:rFonts w:ascii="Times New Roman" w:hAnsi="Times New Roman" w:eastAsia="宋体"/>
                      <w:color w:val="000000" w:themeColor="text1"/>
                    </w:rPr>
                    <w:t>最高环境温度/℃</w:t>
                  </w:r>
                </w:p>
              </w:tc>
              <w:tc>
                <w:tcPr>
                  <w:tcW w:w="1662" w:type="pct"/>
                  <w:vAlign w:val="center"/>
                </w:tcPr>
                <w:p>
                  <w:pPr>
                    <w:pStyle w:val="121"/>
                    <w:spacing w:line="240" w:lineRule="auto"/>
                    <w:rPr>
                      <w:rFonts w:ascii="Times New Roman" w:hAnsi="Times New Roman" w:eastAsia="宋体"/>
                      <w:color w:val="000000" w:themeColor="text1"/>
                    </w:rPr>
                  </w:pPr>
                  <w:r>
                    <w:rPr>
                      <w:rFonts w:ascii="Times New Roman" w:hAnsi="Times New Roman" w:eastAsia="宋体"/>
                      <w:color w:val="000000" w:themeColor="text1"/>
                    </w:rPr>
                    <w:t>4</w:t>
                  </w:r>
                  <w:r>
                    <w:rPr>
                      <w:rFonts w:hint="eastAsia" w:ascii="Times New Roman" w:hAnsi="Times New Roman" w:eastAsia="宋体"/>
                      <w:color w:val="000000" w:themeColor="text1"/>
                    </w:rPr>
                    <w:t>0.9</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37" w:type="pct"/>
                  <w:gridSpan w:val="2"/>
                  <w:vAlign w:val="center"/>
                </w:tcPr>
                <w:p>
                  <w:pPr>
                    <w:pStyle w:val="121"/>
                    <w:spacing w:line="240" w:lineRule="auto"/>
                    <w:rPr>
                      <w:rFonts w:ascii="Times New Roman" w:hAnsi="Times New Roman" w:eastAsia="宋体"/>
                      <w:color w:val="000000" w:themeColor="text1"/>
                    </w:rPr>
                  </w:pPr>
                  <w:r>
                    <w:rPr>
                      <w:rFonts w:ascii="Times New Roman" w:hAnsi="Times New Roman" w:eastAsia="宋体"/>
                      <w:color w:val="000000" w:themeColor="text1"/>
                    </w:rPr>
                    <w:t>最低环境温度/℃</w:t>
                  </w:r>
                </w:p>
              </w:tc>
              <w:tc>
                <w:tcPr>
                  <w:tcW w:w="1662" w:type="pct"/>
                  <w:vAlign w:val="center"/>
                </w:tcPr>
                <w:p>
                  <w:pPr>
                    <w:pStyle w:val="121"/>
                    <w:spacing w:line="240" w:lineRule="auto"/>
                    <w:rPr>
                      <w:rFonts w:ascii="Times New Roman" w:hAnsi="Times New Roman" w:eastAsia="宋体"/>
                      <w:color w:val="000000" w:themeColor="text1"/>
                    </w:rPr>
                  </w:pPr>
                  <w:r>
                    <w:rPr>
                      <w:rFonts w:ascii="Times New Roman" w:hAnsi="Times New Roman" w:eastAsia="宋体"/>
                      <w:color w:val="000000" w:themeColor="text1"/>
                    </w:rPr>
                    <w:t>-1</w:t>
                  </w:r>
                  <w:r>
                    <w:rPr>
                      <w:rFonts w:hint="eastAsia" w:ascii="Times New Roman" w:hAnsi="Times New Roman" w:eastAsia="宋体"/>
                      <w:color w:val="000000" w:themeColor="text1"/>
                    </w:rPr>
                    <w:t>3.1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37" w:type="pct"/>
                  <w:gridSpan w:val="2"/>
                  <w:vAlign w:val="center"/>
                </w:tcPr>
                <w:p>
                  <w:pPr>
                    <w:pStyle w:val="121"/>
                    <w:spacing w:line="240" w:lineRule="auto"/>
                    <w:rPr>
                      <w:rFonts w:ascii="Times New Roman" w:hAnsi="Times New Roman" w:eastAsia="宋体"/>
                      <w:color w:val="000000" w:themeColor="text1"/>
                    </w:rPr>
                  </w:pPr>
                  <w:r>
                    <w:rPr>
                      <w:rFonts w:ascii="Times New Roman" w:hAnsi="Times New Roman" w:eastAsia="宋体"/>
                      <w:color w:val="000000" w:themeColor="text1"/>
                    </w:rPr>
                    <w:t>土地利用类型</w:t>
                  </w:r>
                </w:p>
              </w:tc>
              <w:tc>
                <w:tcPr>
                  <w:tcW w:w="1662" w:type="pct"/>
                  <w:vAlign w:val="center"/>
                </w:tcPr>
                <w:p>
                  <w:pPr>
                    <w:pStyle w:val="121"/>
                    <w:spacing w:line="240" w:lineRule="auto"/>
                    <w:rPr>
                      <w:rFonts w:ascii="Times New Roman" w:hAnsi="Times New Roman" w:eastAsia="宋体"/>
                      <w:color w:val="000000" w:themeColor="text1"/>
                    </w:rPr>
                  </w:pPr>
                  <w:r>
                    <w:rPr>
                      <w:rFonts w:ascii="Times New Roman" w:hAnsi="Times New Roman" w:eastAsia="宋体"/>
                      <w:color w:val="000000" w:themeColor="text1"/>
                    </w:rPr>
                    <w:t>工业用地</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37" w:type="pct"/>
                  <w:gridSpan w:val="2"/>
                  <w:vAlign w:val="center"/>
                </w:tcPr>
                <w:p>
                  <w:pPr>
                    <w:pStyle w:val="121"/>
                    <w:spacing w:line="240" w:lineRule="auto"/>
                    <w:rPr>
                      <w:rFonts w:ascii="Times New Roman" w:hAnsi="Times New Roman" w:eastAsia="宋体"/>
                      <w:color w:val="000000" w:themeColor="text1"/>
                    </w:rPr>
                  </w:pPr>
                  <w:r>
                    <w:rPr>
                      <w:rFonts w:ascii="Times New Roman" w:hAnsi="Times New Roman" w:eastAsia="宋体"/>
                      <w:color w:val="000000" w:themeColor="text1"/>
                    </w:rPr>
                    <w:t>区域湿度条件</w:t>
                  </w:r>
                </w:p>
              </w:tc>
              <w:tc>
                <w:tcPr>
                  <w:tcW w:w="1662" w:type="pct"/>
                  <w:vAlign w:val="center"/>
                </w:tcPr>
                <w:p>
                  <w:pPr>
                    <w:pStyle w:val="121"/>
                    <w:spacing w:line="240" w:lineRule="auto"/>
                    <w:rPr>
                      <w:rFonts w:ascii="Times New Roman" w:hAnsi="Times New Roman" w:eastAsia="宋体"/>
                      <w:color w:val="000000" w:themeColor="text1"/>
                    </w:rPr>
                  </w:pPr>
                  <w:r>
                    <w:rPr>
                      <w:rFonts w:ascii="Times New Roman" w:hAnsi="Times New Roman" w:eastAsia="宋体"/>
                      <w:color w:val="000000" w:themeColor="text1"/>
                    </w:rPr>
                    <w:t>中等湿度气候</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11" w:type="pct"/>
                  <w:vMerge w:val="restart"/>
                  <w:vAlign w:val="center"/>
                </w:tcPr>
                <w:p>
                  <w:pPr>
                    <w:pStyle w:val="121"/>
                    <w:spacing w:line="240" w:lineRule="auto"/>
                    <w:rPr>
                      <w:rFonts w:ascii="Times New Roman" w:hAnsi="Times New Roman" w:eastAsia="宋体"/>
                      <w:color w:val="000000" w:themeColor="text1"/>
                    </w:rPr>
                  </w:pPr>
                  <w:r>
                    <w:rPr>
                      <w:rFonts w:ascii="Times New Roman" w:hAnsi="Times New Roman" w:eastAsia="宋体"/>
                      <w:color w:val="000000" w:themeColor="text1"/>
                    </w:rPr>
                    <w:t>是否考虑地形</w:t>
                  </w:r>
                </w:p>
              </w:tc>
              <w:tc>
                <w:tcPr>
                  <w:tcW w:w="2025" w:type="pct"/>
                  <w:vAlign w:val="center"/>
                </w:tcPr>
                <w:p>
                  <w:pPr>
                    <w:pStyle w:val="121"/>
                    <w:spacing w:line="240" w:lineRule="auto"/>
                    <w:rPr>
                      <w:rFonts w:ascii="Times New Roman" w:hAnsi="Times New Roman" w:eastAsia="宋体"/>
                      <w:color w:val="000000" w:themeColor="text1"/>
                    </w:rPr>
                  </w:pPr>
                  <w:r>
                    <w:rPr>
                      <w:rFonts w:ascii="Times New Roman" w:hAnsi="Times New Roman" w:eastAsia="宋体"/>
                      <w:color w:val="000000" w:themeColor="text1"/>
                    </w:rPr>
                    <w:t>考虑地形</w:t>
                  </w:r>
                </w:p>
              </w:tc>
              <w:tc>
                <w:tcPr>
                  <w:tcW w:w="1662" w:type="pct"/>
                  <w:vAlign w:val="center"/>
                </w:tcPr>
                <w:p>
                  <w:pPr>
                    <w:pStyle w:val="121"/>
                    <w:spacing w:line="240" w:lineRule="auto"/>
                    <w:rPr>
                      <w:rFonts w:ascii="Times New Roman" w:hAnsi="Times New Roman" w:eastAsia="宋体"/>
                      <w:color w:val="000000" w:themeColor="text1"/>
                    </w:rPr>
                  </w:pPr>
                  <w:r>
                    <w:rPr>
                      <w:rFonts w:ascii="Times New Roman" w:hAnsi="Times New Roman" w:eastAsia="宋体"/>
                      <w:color w:val="000000" w:themeColor="text1"/>
                    </w:rPr>
                    <w:t>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11" w:type="pct"/>
                  <w:vMerge w:val="continue"/>
                  <w:vAlign w:val="center"/>
                </w:tcPr>
                <w:p>
                  <w:pPr>
                    <w:widowControl/>
                    <w:jc w:val="left"/>
                    <w:rPr>
                      <w:rFonts w:ascii="Times New Roman" w:hAnsi="Times New Roman" w:eastAsia="宋体"/>
                      <w:color w:val="000000" w:themeColor="text1"/>
                      <w:szCs w:val="21"/>
                    </w:rPr>
                  </w:pPr>
                </w:p>
              </w:tc>
              <w:tc>
                <w:tcPr>
                  <w:tcW w:w="2025" w:type="pct"/>
                  <w:vAlign w:val="center"/>
                </w:tcPr>
                <w:p>
                  <w:pPr>
                    <w:pStyle w:val="121"/>
                    <w:spacing w:line="240" w:lineRule="auto"/>
                    <w:rPr>
                      <w:rFonts w:ascii="Times New Roman" w:hAnsi="Times New Roman" w:eastAsia="宋体"/>
                      <w:color w:val="000000" w:themeColor="text1"/>
                    </w:rPr>
                  </w:pPr>
                  <w:r>
                    <w:rPr>
                      <w:rFonts w:ascii="Times New Roman" w:hAnsi="Times New Roman" w:eastAsia="宋体"/>
                      <w:color w:val="000000" w:themeColor="text1"/>
                    </w:rPr>
                    <w:t>地形数据分辨率/m</w:t>
                  </w:r>
                </w:p>
              </w:tc>
              <w:tc>
                <w:tcPr>
                  <w:tcW w:w="1662" w:type="pct"/>
                  <w:vAlign w:val="center"/>
                </w:tcPr>
                <w:p>
                  <w:pPr>
                    <w:pStyle w:val="121"/>
                    <w:spacing w:line="240" w:lineRule="auto"/>
                    <w:rPr>
                      <w:rFonts w:ascii="Times New Roman" w:hAnsi="Times New Roman" w:eastAsia="宋体"/>
                      <w:color w:val="000000" w:themeColor="text1"/>
                    </w:rPr>
                  </w:pPr>
                  <w:r>
                    <w:rPr>
                      <w:rFonts w:ascii="Times New Roman" w:hAnsi="Times New Roman" w:eastAsia="宋体"/>
                      <w:color w:val="000000" w:themeColor="text1"/>
                    </w:rPr>
                    <w:t>90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11" w:type="pct"/>
                  <w:vMerge w:val="restart"/>
                  <w:vAlign w:val="center"/>
                </w:tcPr>
                <w:p>
                  <w:pPr>
                    <w:pStyle w:val="121"/>
                    <w:spacing w:line="240" w:lineRule="auto"/>
                    <w:rPr>
                      <w:rFonts w:ascii="Times New Roman" w:hAnsi="Times New Roman" w:eastAsia="宋体"/>
                      <w:color w:val="000000" w:themeColor="text1"/>
                    </w:rPr>
                  </w:pPr>
                  <w:r>
                    <w:rPr>
                      <w:rFonts w:ascii="Times New Roman" w:hAnsi="Times New Roman" w:eastAsia="宋体"/>
                      <w:color w:val="000000" w:themeColor="text1"/>
                    </w:rPr>
                    <w:t>是否考虑岸线熏烟</w:t>
                  </w:r>
                </w:p>
              </w:tc>
              <w:tc>
                <w:tcPr>
                  <w:tcW w:w="2025" w:type="pct"/>
                  <w:vAlign w:val="center"/>
                </w:tcPr>
                <w:p>
                  <w:pPr>
                    <w:pStyle w:val="121"/>
                    <w:spacing w:line="240" w:lineRule="auto"/>
                    <w:rPr>
                      <w:rFonts w:ascii="Times New Roman" w:hAnsi="Times New Roman" w:eastAsia="宋体"/>
                      <w:color w:val="000000" w:themeColor="text1"/>
                    </w:rPr>
                  </w:pPr>
                  <w:r>
                    <w:rPr>
                      <w:rFonts w:ascii="Times New Roman" w:hAnsi="Times New Roman" w:eastAsia="宋体"/>
                      <w:color w:val="000000" w:themeColor="text1"/>
                    </w:rPr>
                    <w:t>考虑岸线熏烟</w:t>
                  </w:r>
                </w:p>
              </w:tc>
              <w:tc>
                <w:tcPr>
                  <w:tcW w:w="1662" w:type="pct"/>
                  <w:vAlign w:val="center"/>
                </w:tcPr>
                <w:p>
                  <w:pPr>
                    <w:pStyle w:val="121"/>
                    <w:spacing w:line="240" w:lineRule="auto"/>
                    <w:rPr>
                      <w:rFonts w:ascii="Times New Roman" w:hAnsi="Times New Roman" w:eastAsia="宋体"/>
                      <w:color w:val="000000" w:themeColor="text1"/>
                    </w:rPr>
                  </w:pPr>
                  <w:r>
                    <w:rPr>
                      <w:rFonts w:ascii="Times New Roman" w:hAnsi="Times New Roman" w:eastAsia="宋体"/>
                      <w:color w:val="000000" w:themeColor="text1"/>
                    </w:rPr>
                    <w:t>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11" w:type="pct"/>
                  <w:vMerge w:val="continue"/>
                  <w:vAlign w:val="center"/>
                </w:tcPr>
                <w:p>
                  <w:pPr>
                    <w:widowControl/>
                    <w:jc w:val="left"/>
                    <w:rPr>
                      <w:rFonts w:ascii="Times New Roman" w:hAnsi="Times New Roman" w:eastAsia="宋体"/>
                      <w:color w:val="000000" w:themeColor="text1"/>
                      <w:szCs w:val="21"/>
                    </w:rPr>
                  </w:pPr>
                </w:p>
              </w:tc>
              <w:tc>
                <w:tcPr>
                  <w:tcW w:w="2025" w:type="pct"/>
                  <w:vAlign w:val="center"/>
                </w:tcPr>
                <w:p>
                  <w:pPr>
                    <w:pStyle w:val="121"/>
                    <w:spacing w:line="240" w:lineRule="auto"/>
                    <w:rPr>
                      <w:rFonts w:ascii="Times New Roman" w:hAnsi="Times New Roman" w:eastAsia="宋体"/>
                      <w:color w:val="000000" w:themeColor="text1"/>
                    </w:rPr>
                  </w:pPr>
                  <w:r>
                    <w:rPr>
                      <w:rFonts w:ascii="Times New Roman" w:hAnsi="Times New Roman" w:eastAsia="宋体"/>
                      <w:color w:val="000000" w:themeColor="text1"/>
                    </w:rPr>
                    <w:t>岸线距离/km</w:t>
                  </w:r>
                </w:p>
              </w:tc>
              <w:tc>
                <w:tcPr>
                  <w:tcW w:w="1662" w:type="pct"/>
                  <w:vAlign w:val="center"/>
                </w:tcPr>
                <w:p>
                  <w:pPr>
                    <w:pStyle w:val="121"/>
                    <w:spacing w:line="240" w:lineRule="auto"/>
                    <w:rPr>
                      <w:rFonts w:ascii="Times New Roman" w:hAnsi="Times New Roman" w:eastAsia="宋体"/>
                      <w:color w:val="000000" w:themeColor="text1"/>
                    </w:rPr>
                  </w:pPr>
                  <w:r>
                    <w:rPr>
                      <w:rFonts w:ascii="Times New Roman" w:hAnsi="Times New Roman" w:eastAsia="宋体"/>
                      <w:color w:val="000000" w:themeColor="text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11" w:type="pct"/>
                  <w:vMerge w:val="continue"/>
                  <w:tcBorders>
                    <w:bottom w:val="single" w:color="auto" w:sz="8" w:space="0"/>
                  </w:tcBorders>
                  <w:vAlign w:val="center"/>
                </w:tcPr>
                <w:p>
                  <w:pPr>
                    <w:widowControl/>
                    <w:jc w:val="left"/>
                    <w:rPr>
                      <w:rFonts w:ascii="Times New Roman" w:hAnsi="Times New Roman" w:eastAsia="宋体"/>
                      <w:color w:val="000000" w:themeColor="text1"/>
                      <w:szCs w:val="21"/>
                    </w:rPr>
                  </w:pPr>
                </w:p>
              </w:tc>
              <w:tc>
                <w:tcPr>
                  <w:tcW w:w="2025" w:type="pct"/>
                  <w:tcBorders>
                    <w:bottom w:val="single" w:color="auto" w:sz="8" w:space="0"/>
                  </w:tcBorders>
                  <w:vAlign w:val="center"/>
                </w:tcPr>
                <w:p>
                  <w:pPr>
                    <w:pStyle w:val="121"/>
                    <w:spacing w:line="240" w:lineRule="auto"/>
                    <w:rPr>
                      <w:rFonts w:ascii="Times New Roman" w:hAnsi="Times New Roman" w:eastAsia="宋体"/>
                      <w:color w:val="000000" w:themeColor="text1"/>
                    </w:rPr>
                  </w:pPr>
                  <w:r>
                    <w:rPr>
                      <w:rFonts w:ascii="Times New Roman" w:hAnsi="Times New Roman" w:eastAsia="宋体"/>
                      <w:color w:val="000000" w:themeColor="text1"/>
                    </w:rPr>
                    <w:t>岸线方向/ º</w:t>
                  </w:r>
                </w:p>
              </w:tc>
              <w:tc>
                <w:tcPr>
                  <w:tcW w:w="1662" w:type="pct"/>
                  <w:tcBorders>
                    <w:bottom w:val="single" w:color="auto" w:sz="8" w:space="0"/>
                  </w:tcBorders>
                  <w:vAlign w:val="center"/>
                </w:tcPr>
                <w:p>
                  <w:pPr>
                    <w:pStyle w:val="121"/>
                    <w:spacing w:line="240" w:lineRule="auto"/>
                    <w:rPr>
                      <w:rFonts w:ascii="Times New Roman" w:hAnsi="Times New Roman" w:eastAsia="宋体"/>
                      <w:color w:val="000000" w:themeColor="text1"/>
                    </w:rPr>
                  </w:pPr>
                  <w:r>
                    <w:rPr>
                      <w:rFonts w:ascii="Times New Roman" w:hAnsi="Times New Roman" w:eastAsia="宋体"/>
                      <w:color w:val="000000" w:themeColor="text1"/>
                    </w:rPr>
                    <w:t>/</w:t>
                  </w:r>
                </w:p>
              </w:tc>
            </w:tr>
          </w:tbl>
          <w:p>
            <w:pPr>
              <w:pStyle w:val="84"/>
              <w:snapToGrid w:val="0"/>
              <w:spacing w:line="440" w:lineRule="exact"/>
              <w:ind w:firstLine="482"/>
              <w:rPr>
                <w:rFonts w:ascii="Times New Roman" w:hAnsi="Times New Roman" w:eastAsia="宋体"/>
                <w:b/>
                <w:bCs/>
                <w:color w:val="000000" w:themeColor="text1"/>
              </w:rPr>
            </w:pPr>
            <w:r>
              <w:rPr>
                <w:rFonts w:ascii="Times New Roman" w:hAnsi="Times New Roman" w:eastAsia="宋体"/>
                <w:b/>
                <w:bCs/>
                <w:color w:val="000000" w:themeColor="text1"/>
              </w:rPr>
              <w:t>（3）污染源调查</w:t>
            </w:r>
          </w:p>
          <w:p>
            <w:pPr>
              <w:pStyle w:val="119"/>
              <w:spacing w:before="0" w:line="440" w:lineRule="exact"/>
              <w:ind w:firstLine="480" w:firstLineChars="200"/>
              <w:rPr>
                <w:rFonts w:eastAsia="宋体" w:cs="Times New Roman"/>
                <w:color w:val="000000" w:themeColor="text1"/>
                <w:kern w:val="2"/>
                <w:sz w:val="24"/>
                <w:szCs w:val="24"/>
              </w:rPr>
            </w:pPr>
            <w:r>
              <w:rPr>
                <w:rFonts w:eastAsia="宋体" w:cs="Times New Roman"/>
                <w:color w:val="000000" w:themeColor="text1"/>
                <w:kern w:val="2"/>
                <w:sz w:val="24"/>
                <w:szCs w:val="24"/>
              </w:rPr>
              <w:t>本</w:t>
            </w:r>
            <w:r>
              <w:rPr>
                <w:rFonts w:hint="eastAsia" w:eastAsia="宋体"/>
                <w:color w:val="000000" w:themeColor="text1"/>
                <w:sz w:val="24"/>
              </w:rPr>
              <w:t>项目</w:t>
            </w:r>
            <w:r>
              <w:rPr>
                <w:rFonts w:hint="eastAsia" w:eastAsia="宋体"/>
                <w:bCs/>
                <w:color w:val="000000" w:themeColor="text1"/>
                <w:sz w:val="24"/>
              </w:rPr>
              <w:t>压合工序产生的非甲烷总</w:t>
            </w:r>
            <w:r>
              <w:rPr>
                <w:rFonts w:hint="eastAsia" w:eastAsia="宋体"/>
                <w:bCs/>
                <w:color w:val="000000" w:themeColor="text1"/>
                <w:sz w:val="24"/>
                <w:szCs w:val="24"/>
              </w:rPr>
              <w:t>烃</w:t>
            </w:r>
            <w:r>
              <w:rPr>
                <w:rFonts w:hint="eastAsia" w:eastAsia="宋体"/>
                <w:color w:val="000000" w:themeColor="text1"/>
                <w:sz w:val="24"/>
                <w:szCs w:val="24"/>
              </w:rPr>
              <w:t>经封闭集气罩（6个，新建）</w:t>
            </w:r>
            <w:r>
              <w:rPr>
                <w:rFonts w:hint="eastAsia" w:eastAsia="宋体"/>
                <w:color w:val="000000" w:themeColor="text1"/>
                <w:sz w:val="24"/>
              </w:rPr>
              <w:t>+“</w:t>
            </w:r>
            <w:r>
              <w:rPr>
                <w:rFonts w:eastAsia="宋体"/>
                <w:color w:val="000000" w:themeColor="text1"/>
                <w:sz w:val="24"/>
              </w:rPr>
              <w:t>UV光催化氧化</w:t>
            </w:r>
            <w:r>
              <w:rPr>
                <w:rFonts w:hint="eastAsia" w:eastAsia="宋体"/>
                <w:color w:val="000000" w:themeColor="text1"/>
                <w:sz w:val="24"/>
              </w:rPr>
              <w:t>（原有）</w:t>
            </w:r>
            <w:r>
              <w:rPr>
                <w:rFonts w:eastAsia="宋体"/>
                <w:color w:val="000000" w:themeColor="text1"/>
                <w:sz w:val="24"/>
              </w:rPr>
              <w:t>+活性炭吸附</w:t>
            </w:r>
            <w:r>
              <w:rPr>
                <w:rFonts w:hint="eastAsia" w:eastAsia="宋体"/>
                <w:color w:val="000000" w:themeColor="text1"/>
                <w:sz w:val="24"/>
              </w:rPr>
              <w:t>（原有）+油烟净化器（原有）+水喷淋（整改新建）”装置</w:t>
            </w:r>
            <w:r>
              <w:rPr>
                <w:rFonts w:eastAsia="宋体"/>
                <w:color w:val="000000" w:themeColor="text1"/>
                <w:sz w:val="24"/>
              </w:rPr>
              <w:t>+</w:t>
            </w:r>
            <w:r>
              <w:rPr>
                <w:rFonts w:hint="eastAsia" w:eastAsia="宋体"/>
                <w:color w:val="000000" w:themeColor="text1"/>
                <w:sz w:val="24"/>
              </w:rPr>
              <w:t>15m高</w:t>
            </w:r>
            <w:r>
              <w:rPr>
                <w:rFonts w:eastAsia="宋体"/>
                <w:color w:val="000000" w:themeColor="text1"/>
                <w:sz w:val="24"/>
              </w:rPr>
              <w:t>排气筒排放</w:t>
            </w:r>
            <w:r>
              <w:rPr>
                <w:rFonts w:hint="eastAsia" w:eastAsia="宋体"/>
                <w:color w:val="000000" w:themeColor="text1"/>
                <w:sz w:val="24"/>
              </w:rPr>
              <w:t>。</w:t>
            </w:r>
            <w:r>
              <w:rPr>
                <w:rFonts w:eastAsia="宋体" w:cs="Times New Roman"/>
                <w:color w:val="000000" w:themeColor="text1"/>
                <w:kern w:val="2"/>
                <w:sz w:val="24"/>
                <w:szCs w:val="24"/>
              </w:rPr>
              <w:t>项目污染源参数见表3</w:t>
            </w:r>
            <w:r>
              <w:rPr>
                <w:rFonts w:hint="eastAsia" w:eastAsia="宋体" w:cs="Times New Roman"/>
                <w:color w:val="000000" w:themeColor="text1"/>
                <w:kern w:val="2"/>
                <w:sz w:val="24"/>
                <w:szCs w:val="24"/>
              </w:rPr>
              <w:t>6</w:t>
            </w:r>
            <w:r>
              <w:rPr>
                <w:rFonts w:eastAsia="宋体" w:cs="Times New Roman"/>
                <w:color w:val="000000" w:themeColor="text1"/>
                <w:kern w:val="2"/>
                <w:sz w:val="24"/>
                <w:szCs w:val="24"/>
              </w:rPr>
              <w:t>。</w:t>
            </w:r>
          </w:p>
          <w:p>
            <w:pPr>
              <w:pStyle w:val="119"/>
              <w:spacing w:before="0" w:line="440" w:lineRule="exact"/>
              <w:ind w:firstLine="0"/>
              <w:jc w:val="center"/>
              <w:rPr>
                <w:rFonts w:eastAsia="宋体" w:cs="Times New Roman"/>
                <w:b/>
                <w:bCs/>
                <w:color w:val="000000" w:themeColor="text1"/>
                <w:kern w:val="2"/>
                <w:sz w:val="24"/>
              </w:rPr>
            </w:pPr>
            <w:r>
              <w:rPr>
                <w:rFonts w:eastAsia="宋体" w:cs="Times New Roman"/>
                <w:b/>
                <w:bCs/>
                <w:color w:val="000000" w:themeColor="text1"/>
                <w:kern w:val="2"/>
                <w:sz w:val="24"/>
              </w:rPr>
              <w:t>表3</w:t>
            </w:r>
            <w:r>
              <w:rPr>
                <w:rFonts w:hint="eastAsia" w:eastAsia="宋体" w:cs="Times New Roman"/>
                <w:b/>
                <w:bCs/>
                <w:color w:val="000000" w:themeColor="text1"/>
                <w:kern w:val="2"/>
                <w:sz w:val="24"/>
              </w:rPr>
              <w:t xml:space="preserve">6    </w:t>
            </w:r>
            <w:r>
              <w:rPr>
                <w:rFonts w:eastAsia="宋体" w:cs="Times New Roman"/>
                <w:b/>
                <w:bCs/>
                <w:color w:val="000000" w:themeColor="text1"/>
                <w:kern w:val="2"/>
                <w:sz w:val="24"/>
              </w:rPr>
              <w:t>点源参数表</w:t>
            </w:r>
          </w:p>
          <w:tbl>
            <w:tblPr>
              <w:tblStyle w:val="24"/>
              <w:tblW w:w="9072"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56"/>
              <w:gridCol w:w="1076"/>
              <w:gridCol w:w="764"/>
              <w:gridCol w:w="811"/>
              <w:gridCol w:w="1025"/>
              <w:gridCol w:w="626"/>
              <w:gridCol w:w="920"/>
              <w:gridCol w:w="806"/>
              <w:gridCol w:w="1145"/>
              <w:gridCol w:w="114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7" w:type="pct"/>
                  <w:tcBorders>
                    <w:top w:val="single" w:color="auto" w:sz="8" w:space="0"/>
                    <w:bottom w:val="single" w:color="auto" w:sz="8" w:space="0"/>
                  </w:tcBorders>
                  <w:vAlign w:val="center"/>
                </w:tcPr>
                <w:p>
                  <w:pPr>
                    <w:pStyle w:val="121"/>
                    <w:spacing w:line="240" w:lineRule="auto"/>
                    <w:rPr>
                      <w:rFonts w:ascii="Times New Roman" w:hAnsi="Times New Roman" w:eastAsia="宋体"/>
                      <w:b/>
                      <w:bCs/>
                      <w:color w:val="000000" w:themeColor="text1"/>
                    </w:rPr>
                  </w:pPr>
                  <w:r>
                    <w:rPr>
                      <w:rFonts w:ascii="Times New Roman" w:hAnsi="Times New Roman" w:eastAsia="宋体"/>
                      <w:b/>
                      <w:bCs/>
                      <w:color w:val="000000" w:themeColor="text1"/>
                    </w:rPr>
                    <w:t>排气筒</w:t>
                  </w:r>
                </w:p>
                <w:p>
                  <w:pPr>
                    <w:pStyle w:val="121"/>
                    <w:spacing w:line="240" w:lineRule="auto"/>
                    <w:rPr>
                      <w:rFonts w:ascii="Times New Roman" w:hAnsi="Times New Roman" w:eastAsia="宋体"/>
                      <w:b/>
                      <w:bCs/>
                      <w:color w:val="000000" w:themeColor="text1"/>
                    </w:rPr>
                  </w:pPr>
                  <w:r>
                    <w:rPr>
                      <w:rFonts w:ascii="Times New Roman" w:hAnsi="Times New Roman" w:eastAsia="宋体"/>
                      <w:b/>
                      <w:bCs/>
                      <w:color w:val="000000" w:themeColor="text1"/>
                    </w:rPr>
                    <w:t>编号</w:t>
                  </w:r>
                </w:p>
              </w:tc>
              <w:tc>
                <w:tcPr>
                  <w:tcW w:w="593" w:type="pct"/>
                  <w:tcBorders>
                    <w:top w:val="single" w:color="auto" w:sz="8" w:space="0"/>
                    <w:bottom w:val="single" w:color="auto" w:sz="8" w:space="0"/>
                  </w:tcBorders>
                  <w:vAlign w:val="center"/>
                </w:tcPr>
                <w:p>
                  <w:pPr>
                    <w:pStyle w:val="121"/>
                    <w:spacing w:line="240" w:lineRule="auto"/>
                    <w:rPr>
                      <w:rFonts w:ascii="Times New Roman" w:hAnsi="Times New Roman" w:eastAsia="宋体"/>
                      <w:b/>
                      <w:bCs/>
                      <w:color w:val="000000" w:themeColor="text1"/>
                    </w:rPr>
                  </w:pPr>
                  <w:r>
                    <w:rPr>
                      <w:rFonts w:ascii="Times New Roman" w:hAnsi="Times New Roman" w:eastAsia="宋体"/>
                      <w:b/>
                      <w:bCs/>
                      <w:color w:val="000000" w:themeColor="text1"/>
                    </w:rPr>
                    <w:t>所在</w:t>
                  </w:r>
                </w:p>
                <w:p>
                  <w:pPr>
                    <w:pStyle w:val="121"/>
                    <w:spacing w:line="240" w:lineRule="auto"/>
                    <w:rPr>
                      <w:rFonts w:ascii="Times New Roman" w:hAnsi="Times New Roman" w:eastAsia="宋体"/>
                      <w:b/>
                      <w:bCs/>
                      <w:color w:val="000000" w:themeColor="text1"/>
                    </w:rPr>
                  </w:pPr>
                  <w:r>
                    <w:rPr>
                      <w:rFonts w:ascii="Times New Roman" w:hAnsi="Times New Roman" w:eastAsia="宋体"/>
                      <w:b/>
                      <w:bCs/>
                      <w:color w:val="000000" w:themeColor="text1"/>
                    </w:rPr>
                    <w:t>工序</w:t>
                  </w:r>
                </w:p>
              </w:tc>
              <w:tc>
                <w:tcPr>
                  <w:tcW w:w="421" w:type="pct"/>
                  <w:tcBorders>
                    <w:top w:val="single" w:color="auto" w:sz="8" w:space="0"/>
                    <w:bottom w:val="single" w:color="auto" w:sz="8" w:space="0"/>
                  </w:tcBorders>
                  <w:vAlign w:val="center"/>
                </w:tcPr>
                <w:p>
                  <w:pPr>
                    <w:pStyle w:val="121"/>
                    <w:spacing w:line="240" w:lineRule="auto"/>
                    <w:rPr>
                      <w:rFonts w:ascii="Times New Roman" w:hAnsi="Times New Roman" w:eastAsia="宋体"/>
                      <w:b/>
                      <w:bCs/>
                      <w:color w:val="000000" w:themeColor="text1"/>
                    </w:rPr>
                  </w:pPr>
                  <w:r>
                    <w:rPr>
                      <w:rFonts w:ascii="Times New Roman" w:hAnsi="Times New Roman" w:eastAsia="宋体"/>
                      <w:b/>
                      <w:bCs/>
                      <w:color w:val="000000" w:themeColor="text1"/>
                    </w:rPr>
                    <w:t>排气筒高度/m</w:t>
                  </w:r>
                </w:p>
              </w:tc>
              <w:tc>
                <w:tcPr>
                  <w:tcW w:w="447" w:type="pct"/>
                  <w:tcBorders>
                    <w:top w:val="single" w:color="auto" w:sz="8" w:space="0"/>
                    <w:bottom w:val="single" w:color="auto" w:sz="8" w:space="0"/>
                  </w:tcBorders>
                  <w:vAlign w:val="center"/>
                </w:tcPr>
                <w:p>
                  <w:pPr>
                    <w:pStyle w:val="121"/>
                    <w:spacing w:line="240" w:lineRule="auto"/>
                    <w:rPr>
                      <w:rFonts w:ascii="Times New Roman" w:hAnsi="Times New Roman" w:eastAsia="宋体"/>
                      <w:b/>
                      <w:bCs/>
                      <w:color w:val="000000" w:themeColor="text1"/>
                    </w:rPr>
                  </w:pPr>
                  <w:r>
                    <w:rPr>
                      <w:rFonts w:ascii="Times New Roman" w:hAnsi="Times New Roman" w:eastAsia="宋体"/>
                      <w:b/>
                      <w:bCs/>
                      <w:color w:val="000000" w:themeColor="text1"/>
                    </w:rPr>
                    <w:t>排气筒出口内径/m</w:t>
                  </w:r>
                </w:p>
              </w:tc>
              <w:tc>
                <w:tcPr>
                  <w:tcW w:w="565" w:type="pct"/>
                  <w:tcBorders>
                    <w:top w:val="single" w:color="auto" w:sz="8" w:space="0"/>
                    <w:bottom w:val="single" w:color="auto" w:sz="8" w:space="0"/>
                  </w:tcBorders>
                  <w:vAlign w:val="center"/>
                </w:tcPr>
                <w:p>
                  <w:pPr>
                    <w:pStyle w:val="121"/>
                    <w:spacing w:line="240" w:lineRule="auto"/>
                    <w:rPr>
                      <w:rFonts w:ascii="Times New Roman" w:hAnsi="Times New Roman" w:eastAsia="宋体"/>
                      <w:b/>
                      <w:bCs/>
                      <w:color w:val="000000" w:themeColor="text1"/>
                    </w:rPr>
                  </w:pPr>
                  <w:r>
                    <w:rPr>
                      <w:rFonts w:ascii="Times New Roman" w:hAnsi="Times New Roman" w:eastAsia="宋体"/>
                      <w:b/>
                      <w:bCs/>
                      <w:color w:val="000000" w:themeColor="text1"/>
                    </w:rPr>
                    <w:t>烟气流速</w:t>
                  </w:r>
                </w:p>
                <w:p>
                  <w:pPr>
                    <w:pStyle w:val="121"/>
                    <w:spacing w:line="240" w:lineRule="auto"/>
                    <w:rPr>
                      <w:rFonts w:ascii="Times New Roman" w:hAnsi="Times New Roman" w:eastAsia="宋体"/>
                      <w:b/>
                      <w:bCs/>
                      <w:color w:val="000000" w:themeColor="text1"/>
                    </w:rPr>
                  </w:pPr>
                  <w:r>
                    <w:rPr>
                      <w:rFonts w:ascii="Times New Roman" w:hAnsi="Times New Roman" w:eastAsia="宋体"/>
                      <w:b/>
                      <w:bCs/>
                      <w:color w:val="000000" w:themeColor="text1"/>
                    </w:rPr>
                    <w:t>/（m/s）</w:t>
                  </w:r>
                </w:p>
              </w:tc>
              <w:tc>
                <w:tcPr>
                  <w:tcW w:w="345" w:type="pct"/>
                  <w:tcBorders>
                    <w:top w:val="single" w:color="auto" w:sz="8" w:space="0"/>
                    <w:bottom w:val="single" w:color="auto" w:sz="8" w:space="0"/>
                  </w:tcBorders>
                  <w:vAlign w:val="center"/>
                </w:tcPr>
                <w:p>
                  <w:pPr>
                    <w:pStyle w:val="121"/>
                    <w:spacing w:line="240" w:lineRule="auto"/>
                    <w:rPr>
                      <w:rFonts w:ascii="Times New Roman" w:hAnsi="Times New Roman" w:eastAsia="宋体"/>
                      <w:b/>
                      <w:bCs/>
                      <w:color w:val="000000" w:themeColor="text1"/>
                    </w:rPr>
                  </w:pPr>
                  <w:r>
                    <w:rPr>
                      <w:rFonts w:ascii="Times New Roman" w:hAnsi="Times New Roman" w:eastAsia="宋体"/>
                      <w:b/>
                      <w:bCs/>
                      <w:color w:val="000000" w:themeColor="text1"/>
                    </w:rPr>
                    <w:t>烟气温度/℃</w:t>
                  </w:r>
                </w:p>
              </w:tc>
              <w:tc>
                <w:tcPr>
                  <w:tcW w:w="507" w:type="pct"/>
                  <w:tcBorders>
                    <w:top w:val="single" w:color="auto" w:sz="8" w:space="0"/>
                    <w:bottom w:val="single" w:color="auto" w:sz="8" w:space="0"/>
                  </w:tcBorders>
                  <w:vAlign w:val="center"/>
                </w:tcPr>
                <w:p>
                  <w:pPr>
                    <w:pStyle w:val="121"/>
                    <w:spacing w:line="240" w:lineRule="auto"/>
                    <w:rPr>
                      <w:rFonts w:ascii="Times New Roman" w:hAnsi="Times New Roman" w:eastAsia="宋体"/>
                      <w:b/>
                      <w:bCs/>
                      <w:color w:val="000000" w:themeColor="text1"/>
                    </w:rPr>
                  </w:pPr>
                  <w:r>
                    <w:rPr>
                      <w:rFonts w:ascii="Times New Roman" w:hAnsi="Times New Roman" w:eastAsia="宋体"/>
                      <w:b/>
                      <w:bCs/>
                      <w:color w:val="000000" w:themeColor="text1"/>
                    </w:rPr>
                    <w:t>年排放小时数（h）</w:t>
                  </w:r>
                </w:p>
              </w:tc>
              <w:tc>
                <w:tcPr>
                  <w:tcW w:w="444" w:type="pct"/>
                  <w:tcBorders>
                    <w:top w:val="single" w:color="auto" w:sz="8" w:space="0"/>
                    <w:bottom w:val="single" w:color="auto" w:sz="8" w:space="0"/>
                  </w:tcBorders>
                  <w:vAlign w:val="center"/>
                </w:tcPr>
                <w:p>
                  <w:pPr>
                    <w:pStyle w:val="121"/>
                    <w:spacing w:line="240" w:lineRule="auto"/>
                    <w:rPr>
                      <w:rFonts w:ascii="Times New Roman" w:hAnsi="Times New Roman" w:eastAsia="宋体"/>
                      <w:b/>
                      <w:bCs/>
                      <w:color w:val="000000" w:themeColor="text1"/>
                    </w:rPr>
                  </w:pPr>
                  <w:r>
                    <w:rPr>
                      <w:rFonts w:ascii="Times New Roman" w:hAnsi="Times New Roman" w:eastAsia="宋体"/>
                      <w:b/>
                      <w:bCs/>
                      <w:color w:val="000000" w:themeColor="text1"/>
                    </w:rPr>
                    <w:t>排放工况</w:t>
                  </w:r>
                </w:p>
              </w:tc>
              <w:tc>
                <w:tcPr>
                  <w:tcW w:w="1261" w:type="pct"/>
                  <w:gridSpan w:val="2"/>
                  <w:tcBorders>
                    <w:top w:val="single" w:color="auto" w:sz="8" w:space="0"/>
                    <w:bottom w:val="single" w:color="auto" w:sz="8" w:space="0"/>
                  </w:tcBorders>
                  <w:vAlign w:val="center"/>
                </w:tcPr>
                <w:p>
                  <w:pPr>
                    <w:pStyle w:val="121"/>
                    <w:spacing w:line="240" w:lineRule="auto"/>
                    <w:rPr>
                      <w:rFonts w:ascii="Times New Roman" w:hAnsi="Times New Roman" w:eastAsia="宋体"/>
                      <w:b/>
                      <w:bCs/>
                      <w:color w:val="000000" w:themeColor="text1"/>
                    </w:rPr>
                  </w:pPr>
                  <w:r>
                    <w:rPr>
                      <w:rFonts w:ascii="Times New Roman" w:hAnsi="Times New Roman" w:eastAsia="宋体"/>
                      <w:b/>
                      <w:bCs/>
                      <w:color w:val="000000" w:themeColor="text1"/>
                    </w:rPr>
                    <w:t>污染物排放速率（kg/h）</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7" w:type="pct"/>
                  <w:tcBorders>
                    <w:top w:val="single" w:color="auto" w:sz="8" w:space="0"/>
                    <w:bottom w:val="single" w:color="auto" w:sz="8" w:space="0"/>
                  </w:tcBorders>
                  <w:vAlign w:val="center"/>
                </w:tcPr>
                <w:p>
                  <w:pPr>
                    <w:pStyle w:val="121"/>
                    <w:spacing w:line="240" w:lineRule="auto"/>
                    <w:rPr>
                      <w:rFonts w:ascii="Times New Roman" w:hAnsi="Times New Roman" w:eastAsia="宋体"/>
                      <w:color w:val="000000" w:themeColor="text1"/>
                    </w:rPr>
                  </w:pPr>
                  <w:r>
                    <w:rPr>
                      <w:rFonts w:ascii="Times New Roman" w:hAnsi="Times New Roman" w:eastAsia="宋体"/>
                      <w:color w:val="000000" w:themeColor="text1"/>
                    </w:rPr>
                    <w:t>P</w:t>
                  </w:r>
                  <w:r>
                    <w:rPr>
                      <w:rFonts w:ascii="Times New Roman" w:hAnsi="Times New Roman" w:eastAsia="宋体"/>
                      <w:color w:val="000000" w:themeColor="text1"/>
                      <w:vertAlign w:val="subscript"/>
                    </w:rPr>
                    <w:t>1</w:t>
                  </w:r>
                </w:p>
              </w:tc>
              <w:tc>
                <w:tcPr>
                  <w:tcW w:w="593" w:type="pct"/>
                  <w:tcBorders>
                    <w:top w:val="single" w:color="auto" w:sz="8" w:space="0"/>
                    <w:bottom w:val="single" w:color="auto" w:sz="8" w:space="0"/>
                  </w:tcBorders>
                  <w:vAlign w:val="center"/>
                </w:tcPr>
                <w:p>
                  <w:pPr>
                    <w:pStyle w:val="121"/>
                    <w:spacing w:line="240" w:lineRule="auto"/>
                    <w:rPr>
                      <w:rFonts w:ascii="Times New Roman" w:hAnsi="Times New Roman" w:eastAsia="宋体"/>
                      <w:color w:val="000000" w:themeColor="text1"/>
                    </w:rPr>
                  </w:pPr>
                  <w:r>
                    <w:rPr>
                      <w:rFonts w:ascii="Times New Roman" w:hAnsi="Times New Roman" w:eastAsia="宋体"/>
                      <w:color w:val="000000" w:themeColor="text1"/>
                    </w:rPr>
                    <w:t>压合工序</w:t>
                  </w:r>
                </w:p>
              </w:tc>
              <w:tc>
                <w:tcPr>
                  <w:tcW w:w="421" w:type="pct"/>
                  <w:tcBorders>
                    <w:top w:val="single" w:color="auto" w:sz="8" w:space="0"/>
                    <w:bottom w:val="single" w:color="auto" w:sz="8" w:space="0"/>
                  </w:tcBorders>
                  <w:vAlign w:val="center"/>
                </w:tcPr>
                <w:p>
                  <w:pPr>
                    <w:pStyle w:val="121"/>
                    <w:spacing w:line="240" w:lineRule="auto"/>
                    <w:rPr>
                      <w:rFonts w:ascii="Times New Roman" w:hAnsi="Times New Roman" w:eastAsia="宋体"/>
                      <w:color w:val="000000" w:themeColor="text1"/>
                    </w:rPr>
                  </w:pPr>
                  <w:r>
                    <w:rPr>
                      <w:rFonts w:ascii="Times New Roman" w:hAnsi="Times New Roman" w:eastAsia="宋体"/>
                      <w:color w:val="000000" w:themeColor="text1"/>
                    </w:rPr>
                    <w:t>15</w:t>
                  </w:r>
                </w:p>
              </w:tc>
              <w:tc>
                <w:tcPr>
                  <w:tcW w:w="447" w:type="pct"/>
                  <w:tcBorders>
                    <w:top w:val="single" w:color="auto" w:sz="8" w:space="0"/>
                    <w:bottom w:val="single" w:color="auto" w:sz="8" w:space="0"/>
                  </w:tcBorders>
                  <w:vAlign w:val="center"/>
                </w:tcPr>
                <w:p>
                  <w:pPr>
                    <w:pStyle w:val="121"/>
                    <w:spacing w:line="240" w:lineRule="auto"/>
                    <w:rPr>
                      <w:rFonts w:ascii="Times New Roman" w:hAnsi="Times New Roman" w:eastAsia="宋体"/>
                      <w:color w:val="000000" w:themeColor="text1"/>
                    </w:rPr>
                  </w:pPr>
                  <w:r>
                    <w:rPr>
                      <w:rFonts w:ascii="Times New Roman" w:hAnsi="Times New Roman" w:eastAsia="宋体"/>
                      <w:color w:val="000000" w:themeColor="text1"/>
                    </w:rPr>
                    <w:t>0.</w:t>
                  </w:r>
                  <w:r>
                    <w:rPr>
                      <w:rFonts w:hint="eastAsia" w:ascii="Times New Roman" w:hAnsi="Times New Roman" w:eastAsia="宋体"/>
                      <w:color w:val="000000" w:themeColor="text1"/>
                    </w:rPr>
                    <w:t>3</w:t>
                  </w:r>
                </w:p>
              </w:tc>
              <w:tc>
                <w:tcPr>
                  <w:tcW w:w="565" w:type="pct"/>
                  <w:tcBorders>
                    <w:top w:val="single" w:color="auto" w:sz="8" w:space="0"/>
                    <w:bottom w:val="single" w:color="auto" w:sz="8" w:space="0"/>
                  </w:tcBorders>
                  <w:vAlign w:val="center"/>
                </w:tcPr>
                <w:p>
                  <w:pPr>
                    <w:pStyle w:val="121"/>
                    <w:spacing w:line="240" w:lineRule="auto"/>
                    <w:rPr>
                      <w:rFonts w:ascii="Times New Roman" w:hAnsi="Times New Roman" w:eastAsia="宋体"/>
                      <w:color w:val="000000" w:themeColor="text1"/>
                    </w:rPr>
                  </w:pPr>
                  <w:r>
                    <w:rPr>
                      <w:rFonts w:hint="eastAsia" w:ascii="Times New Roman" w:hAnsi="Times New Roman" w:eastAsia="宋体"/>
                      <w:color w:val="000000" w:themeColor="text1"/>
                    </w:rPr>
                    <w:t>7.863</w:t>
                  </w:r>
                </w:p>
              </w:tc>
              <w:tc>
                <w:tcPr>
                  <w:tcW w:w="345" w:type="pct"/>
                  <w:tcBorders>
                    <w:top w:val="single" w:color="auto" w:sz="8" w:space="0"/>
                    <w:bottom w:val="single" w:color="auto" w:sz="8" w:space="0"/>
                  </w:tcBorders>
                  <w:vAlign w:val="center"/>
                </w:tcPr>
                <w:p>
                  <w:pPr>
                    <w:pStyle w:val="121"/>
                    <w:spacing w:line="240" w:lineRule="auto"/>
                    <w:rPr>
                      <w:rFonts w:ascii="Times New Roman" w:hAnsi="Times New Roman" w:eastAsia="宋体"/>
                      <w:color w:val="000000" w:themeColor="text1"/>
                    </w:rPr>
                  </w:pPr>
                  <w:r>
                    <w:rPr>
                      <w:rFonts w:hint="eastAsia" w:ascii="Times New Roman" w:hAnsi="Times New Roman" w:eastAsia="宋体"/>
                      <w:color w:val="000000" w:themeColor="text1"/>
                    </w:rPr>
                    <w:t>30</w:t>
                  </w:r>
                </w:p>
              </w:tc>
              <w:tc>
                <w:tcPr>
                  <w:tcW w:w="507" w:type="pct"/>
                  <w:tcBorders>
                    <w:top w:val="single" w:color="auto" w:sz="8" w:space="0"/>
                    <w:bottom w:val="single" w:color="auto" w:sz="8" w:space="0"/>
                  </w:tcBorders>
                  <w:vAlign w:val="center"/>
                </w:tcPr>
                <w:p>
                  <w:pPr>
                    <w:pStyle w:val="121"/>
                    <w:spacing w:line="240" w:lineRule="auto"/>
                    <w:rPr>
                      <w:rFonts w:ascii="Times New Roman" w:hAnsi="Times New Roman" w:eastAsia="宋体"/>
                      <w:color w:val="000000" w:themeColor="text1"/>
                    </w:rPr>
                  </w:pPr>
                  <w:r>
                    <w:rPr>
                      <w:rFonts w:hint="eastAsia" w:ascii="Times New Roman" w:hAnsi="Times New Roman" w:eastAsia="宋体"/>
                      <w:color w:val="000000" w:themeColor="text1"/>
                    </w:rPr>
                    <w:t>18</w:t>
                  </w:r>
                  <w:r>
                    <w:rPr>
                      <w:rFonts w:ascii="Times New Roman" w:hAnsi="Times New Roman" w:eastAsia="宋体"/>
                      <w:color w:val="000000" w:themeColor="text1"/>
                    </w:rPr>
                    <w:t>00</w:t>
                  </w:r>
                </w:p>
              </w:tc>
              <w:tc>
                <w:tcPr>
                  <w:tcW w:w="444" w:type="pct"/>
                  <w:tcBorders>
                    <w:top w:val="single" w:color="auto" w:sz="8" w:space="0"/>
                    <w:bottom w:val="single" w:color="auto" w:sz="8" w:space="0"/>
                  </w:tcBorders>
                  <w:vAlign w:val="center"/>
                </w:tcPr>
                <w:p>
                  <w:pPr>
                    <w:pStyle w:val="121"/>
                    <w:spacing w:line="240" w:lineRule="auto"/>
                    <w:rPr>
                      <w:rFonts w:ascii="Times New Roman" w:hAnsi="Times New Roman" w:eastAsia="宋体"/>
                      <w:color w:val="000000" w:themeColor="text1"/>
                    </w:rPr>
                  </w:pPr>
                  <w:r>
                    <w:rPr>
                      <w:rFonts w:ascii="Times New Roman" w:hAnsi="Times New Roman" w:eastAsia="宋体"/>
                      <w:color w:val="000000" w:themeColor="text1"/>
                    </w:rPr>
                    <w:t>正常</w:t>
                  </w:r>
                </w:p>
              </w:tc>
              <w:tc>
                <w:tcPr>
                  <w:tcW w:w="631" w:type="pct"/>
                  <w:tcBorders>
                    <w:top w:val="single" w:color="auto" w:sz="8" w:space="0"/>
                    <w:bottom w:val="single" w:color="auto" w:sz="8" w:space="0"/>
                  </w:tcBorders>
                  <w:vAlign w:val="center"/>
                </w:tcPr>
                <w:p>
                  <w:pPr>
                    <w:pStyle w:val="121"/>
                    <w:spacing w:line="240" w:lineRule="auto"/>
                    <w:rPr>
                      <w:rFonts w:ascii="Times New Roman" w:hAnsi="Times New Roman" w:eastAsia="宋体"/>
                      <w:color w:val="000000" w:themeColor="text1"/>
                    </w:rPr>
                  </w:pPr>
                  <w:r>
                    <w:rPr>
                      <w:rFonts w:ascii="Times New Roman" w:hAnsi="Times New Roman" w:eastAsia="宋体"/>
                      <w:color w:val="000000" w:themeColor="text1"/>
                    </w:rPr>
                    <w:t>非甲烷总烃</w:t>
                  </w:r>
                </w:p>
              </w:tc>
              <w:tc>
                <w:tcPr>
                  <w:tcW w:w="630" w:type="pct"/>
                  <w:tcBorders>
                    <w:top w:val="single" w:color="auto" w:sz="8" w:space="0"/>
                    <w:bottom w:val="single" w:color="auto" w:sz="8" w:space="0"/>
                  </w:tcBorders>
                  <w:vAlign w:val="center"/>
                </w:tcPr>
                <w:p>
                  <w:pPr>
                    <w:pStyle w:val="121"/>
                    <w:spacing w:line="240" w:lineRule="auto"/>
                    <w:rPr>
                      <w:rFonts w:ascii="Times New Roman" w:hAnsi="Times New Roman" w:eastAsia="宋体"/>
                      <w:color w:val="000000" w:themeColor="text1"/>
                    </w:rPr>
                  </w:pPr>
                  <w:r>
                    <w:rPr>
                      <w:rFonts w:hint="eastAsia" w:ascii="Times New Roman" w:hAnsi="Times New Roman" w:eastAsia="宋体"/>
                      <w:color w:val="000000" w:themeColor="text1"/>
                    </w:rPr>
                    <w:t>0.0302</w:t>
                  </w:r>
                </w:p>
              </w:tc>
            </w:tr>
          </w:tbl>
          <w:p>
            <w:pPr>
              <w:pStyle w:val="119"/>
              <w:spacing w:before="0" w:line="440" w:lineRule="atLeast"/>
              <w:ind w:firstLine="0"/>
              <w:jc w:val="center"/>
              <w:rPr>
                <w:rFonts w:eastAsia="宋体" w:cs="Times New Roman"/>
                <w:b/>
                <w:bCs/>
                <w:color w:val="000000" w:themeColor="text1"/>
                <w:kern w:val="2"/>
                <w:sz w:val="24"/>
              </w:rPr>
            </w:pPr>
            <w:r>
              <w:rPr>
                <w:rFonts w:eastAsia="宋体" w:cs="Times New Roman"/>
                <w:b/>
                <w:bCs/>
                <w:color w:val="000000" w:themeColor="text1"/>
                <w:kern w:val="2"/>
                <w:sz w:val="24"/>
              </w:rPr>
              <w:t>表3</w:t>
            </w:r>
            <w:r>
              <w:rPr>
                <w:rFonts w:hint="eastAsia" w:eastAsia="宋体" w:cs="Times New Roman"/>
                <w:b/>
                <w:bCs/>
                <w:color w:val="000000" w:themeColor="text1"/>
                <w:kern w:val="2"/>
                <w:sz w:val="24"/>
              </w:rPr>
              <w:t xml:space="preserve">7    </w:t>
            </w:r>
            <w:r>
              <w:rPr>
                <w:rFonts w:eastAsia="宋体" w:cs="Times New Roman"/>
                <w:b/>
                <w:bCs/>
                <w:color w:val="000000" w:themeColor="text1"/>
                <w:kern w:val="2"/>
                <w:sz w:val="24"/>
              </w:rPr>
              <w:t>面源参数表</w:t>
            </w:r>
          </w:p>
          <w:tbl>
            <w:tblPr>
              <w:tblStyle w:val="24"/>
              <w:tblW w:w="9072"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00"/>
              <w:gridCol w:w="1145"/>
              <w:gridCol w:w="898"/>
              <w:gridCol w:w="1167"/>
              <w:gridCol w:w="1090"/>
              <w:gridCol w:w="1326"/>
              <w:gridCol w:w="234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6" w:type="pct"/>
                  <w:vMerge w:val="restart"/>
                  <w:tcBorders>
                    <w:top w:val="single" w:color="auto" w:sz="8" w:space="0"/>
                    <w:bottom w:val="single" w:color="auto" w:sz="4" w:space="0"/>
                  </w:tcBorders>
                  <w:vAlign w:val="center"/>
                </w:tcPr>
                <w:p>
                  <w:pPr>
                    <w:pStyle w:val="121"/>
                    <w:spacing w:line="240" w:lineRule="auto"/>
                    <w:rPr>
                      <w:rFonts w:ascii="Times New Roman" w:hAnsi="Times New Roman" w:eastAsia="宋体"/>
                      <w:b/>
                      <w:bCs/>
                      <w:color w:val="000000" w:themeColor="text1"/>
                    </w:rPr>
                  </w:pPr>
                  <w:r>
                    <w:rPr>
                      <w:rFonts w:ascii="Times New Roman" w:hAnsi="Times New Roman" w:eastAsia="宋体"/>
                      <w:b/>
                      <w:bCs/>
                      <w:color w:val="000000" w:themeColor="text1"/>
                    </w:rPr>
                    <w:t>面源长度/m</w:t>
                  </w:r>
                </w:p>
              </w:tc>
              <w:tc>
                <w:tcPr>
                  <w:tcW w:w="631" w:type="pct"/>
                  <w:vMerge w:val="restart"/>
                  <w:tcBorders>
                    <w:top w:val="single" w:color="auto" w:sz="8" w:space="0"/>
                    <w:bottom w:val="single" w:color="auto" w:sz="4" w:space="0"/>
                  </w:tcBorders>
                  <w:vAlign w:val="center"/>
                </w:tcPr>
                <w:p>
                  <w:pPr>
                    <w:pStyle w:val="121"/>
                    <w:spacing w:line="240" w:lineRule="auto"/>
                    <w:rPr>
                      <w:rFonts w:ascii="Times New Roman" w:hAnsi="Times New Roman" w:eastAsia="宋体"/>
                      <w:b/>
                      <w:bCs/>
                      <w:color w:val="000000" w:themeColor="text1"/>
                    </w:rPr>
                  </w:pPr>
                  <w:r>
                    <w:rPr>
                      <w:rFonts w:ascii="Times New Roman" w:hAnsi="Times New Roman" w:eastAsia="宋体"/>
                      <w:b/>
                      <w:bCs/>
                      <w:color w:val="000000" w:themeColor="text1"/>
                    </w:rPr>
                    <w:t>面源宽度/m</w:t>
                  </w:r>
                </w:p>
              </w:tc>
              <w:tc>
                <w:tcPr>
                  <w:tcW w:w="495" w:type="pct"/>
                  <w:vMerge w:val="restart"/>
                  <w:tcBorders>
                    <w:top w:val="single" w:color="auto" w:sz="8" w:space="0"/>
                    <w:bottom w:val="single" w:color="auto" w:sz="4" w:space="0"/>
                  </w:tcBorders>
                  <w:vAlign w:val="center"/>
                </w:tcPr>
                <w:p>
                  <w:pPr>
                    <w:pStyle w:val="121"/>
                    <w:spacing w:line="240" w:lineRule="auto"/>
                    <w:rPr>
                      <w:rFonts w:ascii="Times New Roman" w:hAnsi="Times New Roman" w:eastAsia="宋体"/>
                      <w:b/>
                      <w:bCs/>
                      <w:color w:val="000000" w:themeColor="text1"/>
                    </w:rPr>
                  </w:pPr>
                  <w:r>
                    <w:rPr>
                      <w:rFonts w:ascii="Times New Roman" w:hAnsi="Times New Roman" w:eastAsia="宋体"/>
                      <w:b/>
                      <w:bCs/>
                      <w:color w:val="000000" w:themeColor="text1"/>
                    </w:rPr>
                    <w:t>与正北向夹角/°</w:t>
                  </w:r>
                </w:p>
              </w:tc>
              <w:tc>
                <w:tcPr>
                  <w:tcW w:w="643" w:type="pct"/>
                  <w:vMerge w:val="restart"/>
                  <w:tcBorders>
                    <w:top w:val="single" w:color="auto" w:sz="8" w:space="0"/>
                    <w:bottom w:val="single" w:color="auto" w:sz="4" w:space="0"/>
                  </w:tcBorders>
                  <w:vAlign w:val="center"/>
                </w:tcPr>
                <w:p>
                  <w:pPr>
                    <w:pStyle w:val="121"/>
                    <w:spacing w:line="240" w:lineRule="auto"/>
                    <w:rPr>
                      <w:rFonts w:ascii="Times New Roman" w:hAnsi="Times New Roman" w:eastAsia="宋体"/>
                      <w:b/>
                      <w:bCs/>
                      <w:color w:val="000000" w:themeColor="text1"/>
                    </w:rPr>
                  </w:pPr>
                  <w:r>
                    <w:rPr>
                      <w:rFonts w:ascii="Times New Roman" w:hAnsi="Times New Roman" w:eastAsia="宋体"/>
                      <w:b/>
                      <w:bCs/>
                      <w:color w:val="000000" w:themeColor="text1"/>
                    </w:rPr>
                    <w:t>面源有效排放高度/m</w:t>
                  </w:r>
                </w:p>
              </w:tc>
              <w:tc>
                <w:tcPr>
                  <w:tcW w:w="601" w:type="pct"/>
                  <w:vMerge w:val="restart"/>
                  <w:tcBorders>
                    <w:top w:val="single" w:color="auto" w:sz="8" w:space="0"/>
                    <w:bottom w:val="single" w:color="auto" w:sz="4" w:space="0"/>
                  </w:tcBorders>
                  <w:vAlign w:val="center"/>
                </w:tcPr>
                <w:p>
                  <w:pPr>
                    <w:pStyle w:val="121"/>
                    <w:spacing w:line="240" w:lineRule="auto"/>
                    <w:rPr>
                      <w:rFonts w:ascii="Times New Roman" w:hAnsi="Times New Roman" w:eastAsia="宋体"/>
                      <w:b/>
                      <w:bCs/>
                      <w:color w:val="000000" w:themeColor="text1"/>
                    </w:rPr>
                  </w:pPr>
                  <w:r>
                    <w:rPr>
                      <w:rFonts w:ascii="Times New Roman" w:hAnsi="Times New Roman" w:eastAsia="宋体"/>
                      <w:b/>
                      <w:bCs/>
                      <w:color w:val="000000" w:themeColor="text1"/>
                    </w:rPr>
                    <w:t>年排放小时数（h）</w:t>
                  </w:r>
                </w:p>
              </w:tc>
              <w:tc>
                <w:tcPr>
                  <w:tcW w:w="731" w:type="pct"/>
                  <w:vMerge w:val="restart"/>
                  <w:tcBorders>
                    <w:top w:val="single" w:color="auto" w:sz="8" w:space="0"/>
                    <w:bottom w:val="single" w:color="auto" w:sz="4" w:space="0"/>
                  </w:tcBorders>
                  <w:vAlign w:val="center"/>
                </w:tcPr>
                <w:p>
                  <w:pPr>
                    <w:pStyle w:val="121"/>
                    <w:spacing w:line="240" w:lineRule="auto"/>
                    <w:rPr>
                      <w:rFonts w:ascii="Times New Roman" w:hAnsi="Times New Roman" w:eastAsia="宋体"/>
                      <w:b/>
                      <w:bCs/>
                      <w:color w:val="000000" w:themeColor="text1"/>
                    </w:rPr>
                  </w:pPr>
                  <w:r>
                    <w:rPr>
                      <w:rFonts w:ascii="Times New Roman" w:hAnsi="Times New Roman" w:eastAsia="宋体"/>
                      <w:b/>
                      <w:bCs/>
                      <w:color w:val="000000" w:themeColor="text1"/>
                    </w:rPr>
                    <w:t>排放工况</w:t>
                  </w:r>
                </w:p>
              </w:tc>
              <w:tc>
                <w:tcPr>
                  <w:tcW w:w="1293" w:type="pct"/>
                  <w:tcBorders>
                    <w:top w:val="single" w:color="auto" w:sz="8" w:space="0"/>
                    <w:bottom w:val="single" w:color="auto" w:sz="4" w:space="0"/>
                  </w:tcBorders>
                  <w:vAlign w:val="center"/>
                </w:tcPr>
                <w:p>
                  <w:pPr>
                    <w:pStyle w:val="121"/>
                    <w:spacing w:line="240" w:lineRule="auto"/>
                    <w:rPr>
                      <w:rFonts w:ascii="Times New Roman" w:hAnsi="Times New Roman" w:eastAsia="宋体"/>
                      <w:b/>
                      <w:bCs/>
                      <w:color w:val="000000" w:themeColor="text1"/>
                    </w:rPr>
                  </w:pPr>
                  <w:r>
                    <w:rPr>
                      <w:rFonts w:ascii="Times New Roman" w:hAnsi="Times New Roman" w:eastAsia="宋体"/>
                      <w:b/>
                      <w:bCs/>
                      <w:color w:val="000000" w:themeColor="text1"/>
                    </w:rPr>
                    <w:t>污染物排放速率（kg/h）</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6" w:type="pct"/>
                  <w:vMerge w:val="continue"/>
                  <w:tcBorders>
                    <w:top w:val="single" w:color="auto" w:sz="4" w:space="0"/>
                    <w:bottom w:val="single" w:color="auto" w:sz="8" w:space="0"/>
                  </w:tcBorders>
                  <w:vAlign w:val="center"/>
                </w:tcPr>
                <w:p>
                  <w:pPr>
                    <w:pStyle w:val="121"/>
                    <w:spacing w:line="240" w:lineRule="auto"/>
                    <w:rPr>
                      <w:rFonts w:ascii="Times New Roman" w:hAnsi="Times New Roman" w:eastAsia="宋体"/>
                      <w:b/>
                      <w:bCs/>
                      <w:color w:val="000000" w:themeColor="text1"/>
                    </w:rPr>
                  </w:pPr>
                </w:p>
              </w:tc>
              <w:tc>
                <w:tcPr>
                  <w:tcW w:w="631" w:type="pct"/>
                  <w:vMerge w:val="continue"/>
                  <w:tcBorders>
                    <w:top w:val="single" w:color="auto" w:sz="4" w:space="0"/>
                    <w:bottom w:val="single" w:color="auto" w:sz="8" w:space="0"/>
                  </w:tcBorders>
                  <w:vAlign w:val="center"/>
                </w:tcPr>
                <w:p>
                  <w:pPr>
                    <w:pStyle w:val="121"/>
                    <w:spacing w:line="240" w:lineRule="auto"/>
                    <w:rPr>
                      <w:rFonts w:ascii="Times New Roman" w:hAnsi="Times New Roman" w:eastAsia="宋体"/>
                      <w:b/>
                      <w:bCs/>
                      <w:color w:val="000000" w:themeColor="text1"/>
                    </w:rPr>
                  </w:pPr>
                </w:p>
              </w:tc>
              <w:tc>
                <w:tcPr>
                  <w:tcW w:w="495" w:type="pct"/>
                  <w:vMerge w:val="continue"/>
                  <w:tcBorders>
                    <w:top w:val="single" w:color="auto" w:sz="4" w:space="0"/>
                    <w:bottom w:val="single" w:color="auto" w:sz="8" w:space="0"/>
                  </w:tcBorders>
                  <w:vAlign w:val="center"/>
                </w:tcPr>
                <w:p>
                  <w:pPr>
                    <w:pStyle w:val="121"/>
                    <w:spacing w:line="240" w:lineRule="auto"/>
                    <w:rPr>
                      <w:rFonts w:ascii="Times New Roman" w:hAnsi="Times New Roman" w:eastAsia="宋体"/>
                      <w:b/>
                      <w:bCs/>
                      <w:color w:val="000000" w:themeColor="text1"/>
                    </w:rPr>
                  </w:pPr>
                </w:p>
              </w:tc>
              <w:tc>
                <w:tcPr>
                  <w:tcW w:w="643" w:type="pct"/>
                  <w:vMerge w:val="continue"/>
                  <w:tcBorders>
                    <w:top w:val="single" w:color="auto" w:sz="4" w:space="0"/>
                    <w:bottom w:val="single" w:color="auto" w:sz="8" w:space="0"/>
                  </w:tcBorders>
                  <w:vAlign w:val="center"/>
                </w:tcPr>
                <w:p>
                  <w:pPr>
                    <w:pStyle w:val="121"/>
                    <w:spacing w:line="240" w:lineRule="auto"/>
                    <w:rPr>
                      <w:rFonts w:ascii="Times New Roman" w:hAnsi="Times New Roman" w:eastAsia="宋体"/>
                      <w:b/>
                      <w:bCs/>
                      <w:color w:val="000000" w:themeColor="text1"/>
                    </w:rPr>
                  </w:pPr>
                </w:p>
              </w:tc>
              <w:tc>
                <w:tcPr>
                  <w:tcW w:w="601" w:type="pct"/>
                  <w:vMerge w:val="continue"/>
                  <w:tcBorders>
                    <w:top w:val="single" w:color="auto" w:sz="4" w:space="0"/>
                    <w:bottom w:val="single" w:color="auto" w:sz="8" w:space="0"/>
                  </w:tcBorders>
                  <w:vAlign w:val="center"/>
                </w:tcPr>
                <w:p>
                  <w:pPr>
                    <w:pStyle w:val="121"/>
                    <w:spacing w:line="240" w:lineRule="auto"/>
                    <w:rPr>
                      <w:rFonts w:ascii="Times New Roman" w:hAnsi="Times New Roman" w:eastAsia="宋体"/>
                      <w:b/>
                      <w:bCs/>
                      <w:color w:val="000000" w:themeColor="text1"/>
                    </w:rPr>
                  </w:pPr>
                </w:p>
              </w:tc>
              <w:tc>
                <w:tcPr>
                  <w:tcW w:w="731" w:type="pct"/>
                  <w:vMerge w:val="continue"/>
                  <w:tcBorders>
                    <w:top w:val="single" w:color="auto" w:sz="4" w:space="0"/>
                    <w:bottom w:val="single" w:color="auto" w:sz="8" w:space="0"/>
                  </w:tcBorders>
                  <w:vAlign w:val="center"/>
                </w:tcPr>
                <w:p>
                  <w:pPr>
                    <w:pStyle w:val="121"/>
                    <w:spacing w:line="240" w:lineRule="auto"/>
                    <w:rPr>
                      <w:rFonts w:ascii="Times New Roman" w:hAnsi="Times New Roman" w:eastAsia="宋体"/>
                      <w:b/>
                      <w:bCs/>
                      <w:color w:val="000000" w:themeColor="text1"/>
                    </w:rPr>
                  </w:pPr>
                </w:p>
              </w:tc>
              <w:tc>
                <w:tcPr>
                  <w:tcW w:w="1293" w:type="pct"/>
                  <w:tcBorders>
                    <w:top w:val="single" w:color="auto" w:sz="4" w:space="0"/>
                    <w:bottom w:val="single" w:color="auto" w:sz="8" w:space="0"/>
                  </w:tcBorders>
                  <w:vAlign w:val="center"/>
                </w:tcPr>
                <w:p>
                  <w:pPr>
                    <w:pStyle w:val="121"/>
                    <w:spacing w:line="240" w:lineRule="auto"/>
                    <w:rPr>
                      <w:rFonts w:ascii="Times New Roman" w:hAnsi="Times New Roman" w:eastAsia="宋体"/>
                      <w:b/>
                      <w:bCs/>
                      <w:color w:val="000000" w:themeColor="text1"/>
                    </w:rPr>
                  </w:pPr>
                  <w:r>
                    <w:rPr>
                      <w:rFonts w:ascii="Times New Roman" w:hAnsi="Times New Roman" w:eastAsia="宋体"/>
                      <w:b/>
                      <w:bCs/>
                      <w:color w:val="000000" w:themeColor="text1"/>
                    </w:rPr>
                    <w:t>非甲烷总烃</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6" w:type="pct"/>
                  <w:tcBorders>
                    <w:top w:val="single" w:color="auto" w:sz="8" w:space="0"/>
                    <w:bottom w:val="single" w:color="auto" w:sz="8" w:space="0"/>
                  </w:tcBorders>
                  <w:vAlign w:val="center"/>
                </w:tcPr>
                <w:p>
                  <w:pPr>
                    <w:pStyle w:val="121"/>
                    <w:spacing w:line="240" w:lineRule="auto"/>
                    <w:rPr>
                      <w:rFonts w:ascii="Times New Roman" w:hAnsi="Times New Roman" w:eastAsia="宋体"/>
                      <w:color w:val="000000" w:themeColor="text1"/>
                    </w:rPr>
                  </w:pPr>
                  <w:r>
                    <w:rPr>
                      <w:rFonts w:hint="eastAsia" w:ascii="Times New Roman" w:hAnsi="Times New Roman" w:eastAsia="宋体"/>
                      <w:color w:val="000000" w:themeColor="text1"/>
                    </w:rPr>
                    <w:t>45</w:t>
                  </w:r>
                </w:p>
              </w:tc>
              <w:tc>
                <w:tcPr>
                  <w:tcW w:w="631" w:type="pct"/>
                  <w:tcBorders>
                    <w:top w:val="single" w:color="auto" w:sz="8" w:space="0"/>
                    <w:bottom w:val="single" w:color="auto" w:sz="8" w:space="0"/>
                  </w:tcBorders>
                  <w:vAlign w:val="center"/>
                </w:tcPr>
                <w:p>
                  <w:pPr>
                    <w:pStyle w:val="121"/>
                    <w:spacing w:line="240" w:lineRule="auto"/>
                    <w:rPr>
                      <w:rFonts w:ascii="Times New Roman" w:hAnsi="Times New Roman" w:eastAsia="宋体"/>
                      <w:color w:val="000000" w:themeColor="text1"/>
                    </w:rPr>
                  </w:pPr>
                  <w:r>
                    <w:rPr>
                      <w:rFonts w:hint="eastAsia" w:ascii="Times New Roman" w:hAnsi="Times New Roman" w:eastAsia="宋体"/>
                      <w:color w:val="000000" w:themeColor="text1"/>
                    </w:rPr>
                    <w:t>45</w:t>
                  </w:r>
                </w:p>
              </w:tc>
              <w:tc>
                <w:tcPr>
                  <w:tcW w:w="495" w:type="pct"/>
                  <w:tcBorders>
                    <w:top w:val="single" w:color="auto" w:sz="8" w:space="0"/>
                    <w:bottom w:val="single" w:color="auto" w:sz="8" w:space="0"/>
                  </w:tcBorders>
                  <w:vAlign w:val="center"/>
                </w:tcPr>
                <w:p>
                  <w:pPr>
                    <w:pStyle w:val="121"/>
                    <w:spacing w:line="240" w:lineRule="auto"/>
                    <w:rPr>
                      <w:rFonts w:ascii="Times New Roman" w:hAnsi="Times New Roman" w:eastAsia="宋体"/>
                      <w:color w:val="000000" w:themeColor="text1"/>
                    </w:rPr>
                  </w:pPr>
                  <w:r>
                    <w:rPr>
                      <w:rFonts w:ascii="Times New Roman" w:hAnsi="Times New Roman" w:eastAsia="宋体"/>
                      <w:color w:val="000000" w:themeColor="text1"/>
                    </w:rPr>
                    <w:t>0</w:t>
                  </w:r>
                </w:p>
              </w:tc>
              <w:tc>
                <w:tcPr>
                  <w:tcW w:w="643" w:type="pct"/>
                  <w:tcBorders>
                    <w:top w:val="single" w:color="auto" w:sz="8" w:space="0"/>
                    <w:bottom w:val="single" w:color="auto" w:sz="8" w:space="0"/>
                  </w:tcBorders>
                  <w:vAlign w:val="center"/>
                </w:tcPr>
                <w:p>
                  <w:pPr>
                    <w:pStyle w:val="121"/>
                    <w:spacing w:line="240" w:lineRule="auto"/>
                    <w:rPr>
                      <w:rFonts w:ascii="Times New Roman" w:hAnsi="Times New Roman" w:eastAsia="宋体"/>
                      <w:color w:val="000000" w:themeColor="text1"/>
                    </w:rPr>
                  </w:pPr>
                  <w:r>
                    <w:rPr>
                      <w:rFonts w:ascii="Times New Roman" w:hAnsi="Times New Roman" w:eastAsia="宋体"/>
                      <w:color w:val="000000" w:themeColor="text1"/>
                    </w:rPr>
                    <w:t>15</w:t>
                  </w:r>
                </w:p>
              </w:tc>
              <w:tc>
                <w:tcPr>
                  <w:tcW w:w="601" w:type="pct"/>
                  <w:tcBorders>
                    <w:top w:val="single" w:color="auto" w:sz="8" w:space="0"/>
                    <w:bottom w:val="single" w:color="auto" w:sz="8" w:space="0"/>
                  </w:tcBorders>
                  <w:vAlign w:val="center"/>
                </w:tcPr>
                <w:p>
                  <w:pPr>
                    <w:pStyle w:val="121"/>
                    <w:spacing w:line="240" w:lineRule="auto"/>
                    <w:rPr>
                      <w:rFonts w:ascii="Times New Roman" w:hAnsi="Times New Roman" w:eastAsia="宋体"/>
                      <w:color w:val="000000" w:themeColor="text1"/>
                    </w:rPr>
                  </w:pPr>
                  <w:r>
                    <w:rPr>
                      <w:rFonts w:hint="eastAsia" w:ascii="Times New Roman" w:hAnsi="Times New Roman" w:eastAsia="宋体"/>
                      <w:color w:val="000000" w:themeColor="text1"/>
                    </w:rPr>
                    <w:t>18</w:t>
                  </w:r>
                  <w:r>
                    <w:rPr>
                      <w:rFonts w:ascii="Times New Roman" w:hAnsi="Times New Roman" w:eastAsia="宋体"/>
                      <w:color w:val="000000" w:themeColor="text1"/>
                    </w:rPr>
                    <w:t>00</w:t>
                  </w:r>
                </w:p>
              </w:tc>
              <w:tc>
                <w:tcPr>
                  <w:tcW w:w="731" w:type="pct"/>
                  <w:tcBorders>
                    <w:top w:val="single" w:color="auto" w:sz="8" w:space="0"/>
                    <w:bottom w:val="single" w:color="auto" w:sz="8" w:space="0"/>
                  </w:tcBorders>
                  <w:vAlign w:val="center"/>
                </w:tcPr>
                <w:p>
                  <w:pPr>
                    <w:pStyle w:val="121"/>
                    <w:spacing w:line="240" w:lineRule="auto"/>
                    <w:rPr>
                      <w:rFonts w:ascii="Times New Roman" w:hAnsi="Times New Roman" w:eastAsia="宋体"/>
                      <w:color w:val="000000" w:themeColor="text1"/>
                    </w:rPr>
                  </w:pPr>
                  <w:r>
                    <w:rPr>
                      <w:rFonts w:ascii="Times New Roman" w:hAnsi="Times New Roman" w:eastAsia="宋体"/>
                      <w:color w:val="000000" w:themeColor="text1"/>
                    </w:rPr>
                    <w:t>连续</w:t>
                  </w:r>
                </w:p>
              </w:tc>
              <w:tc>
                <w:tcPr>
                  <w:tcW w:w="1293" w:type="pct"/>
                  <w:tcBorders>
                    <w:top w:val="single" w:color="auto" w:sz="8" w:space="0"/>
                    <w:bottom w:val="single" w:color="auto" w:sz="8" w:space="0"/>
                  </w:tcBorders>
                  <w:vAlign w:val="center"/>
                </w:tcPr>
                <w:p>
                  <w:pPr>
                    <w:pStyle w:val="121"/>
                    <w:spacing w:line="240" w:lineRule="auto"/>
                    <w:rPr>
                      <w:rFonts w:ascii="Times New Roman" w:hAnsi="Times New Roman" w:eastAsia="宋体"/>
                      <w:color w:val="000000" w:themeColor="text1"/>
                    </w:rPr>
                  </w:pPr>
                  <w:r>
                    <w:rPr>
                      <w:rFonts w:ascii="Times New Roman" w:hAnsi="Times New Roman" w:eastAsia="宋体"/>
                      <w:color w:val="000000" w:themeColor="text1"/>
                    </w:rPr>
                    <w:t>0.0</w:t>
                  </w:r>
                  <w:r>
                    <w:rPr>
                      <w:rFonts w:hint="eastAsia" w:ascii="Times New Roman" w:hAnsi="Times New Roman" w:eastAsia="宋体"/>
                      <w:color w:val="000000" w:themeColor="text1"/>
                    </w:rPr>
                    <w:t>079</w:t>
                  </w:r>
                </w:p>
              </w:tc>
            </w:tr>
          </w:tbl>
          <w:p>
            <w:pPr>
              <w:pStyle w:val="84"/>
              <w:snapToGrid w:val="0"/>
              <w:spacing w:line="440" w:lineRule="exact"/>
              <w:ind w:firstLine="482"/>
              <w:rPr>
                <w:rFonts w:ascii="Times New Roman" w:hAnsi="Times New Roman" w:eastAsia="宋体"/>
                <w:b/>
                <w:bCs/>
                <w:color w:val="000000" w:themeColor="text1"/>
              </w:rPr>
            </w:pPr>
            <w:r>
              <w:rPr>
                <w:rFonts w:ascii="Times New Roman" w:hAnsi="Times New Roman" w:eastAsia="宋体"/>
                <w:b/>
                <w:bCs/>
                <w:color w:val="000000" w:themeColor="text1"/>
              </w:rPr>
              <w:t>（3）预测结果分析</w:t>
            </w:r>
          </w:p>
          <w:p>
            <w:pPr>
              <w:adjustRightInd w:val="0"/>
              <w:snapToGrid w:val="0"/>
              <w:spacing w:line="440" w:lineRule="exact"/>
              <w:ind w:firstLine="480" w:firstLineChars="200"/>
              <w:rPr>
                <w:rFonts w:ascii="Times New Roman" w:hAnsi="Times New Roman" w:eastAsia="宋体"/>
                <w:snapToGrid w:val="0"/>
                <w:color w:val="000000" w:themeColor="text1"/>
                <w:kern w:val="0"/>
                <w:sz w:val="24"/>
              </w:rPr>
            </w:pPr>
            <w:r>
              <w:rPr>
                <w:rFonts w:ascii="Times New Roman" w:hAnsi="Times New Roman" w:eastAsia="宋体"/>
                <w:snapToGrid w:val="0"/>
                <w:color w:val="000000" w:themeColor="text1"/>
                <w:kern w:val="0"/>
                <w:sz w:val="24"/>
              </w:rPr>
              <w:t>采用《环境影响评价技术导则大气环境》（HJ2.2-2018）中推荐的估算模型AERSCREEN预测全厂废气排放对周围大气环境的影响，预测结果见下表。</w:t>
            </w:r>
          </w:p>
          <w:p>
            <w:pPr>
              <w:adjustRightInd w:val="0"/>
              <w:snapToGrid w:val="0"/>
              <w:spacing w:line="440" w:lineRule="exact"/>
              <w:jc w:val="center"/>
              <w:rPr>
                <w:rFonts w:ascii="Times New Roman" w:hAnsi="Times New Roman" w:eastAsia="宋体"/>
                <w:b/>
                <w:bCs/>
                <w:snapToGrid w:val="0"/>
                <w:color w:val="000000" w:themeColor="text1"/>
                <w:sz w:val="24"/>
                <w:szCs w:val="20"/>
              </w:rPr>
            </w:pPr>
            <w:r>
              <w:rPr>
                <w:rFonts w:ascii="Times New Roman" w:hAnsi="Times New Roman" w:eastAsia="宋体"/>
                <w:b/>
                <w:bCs/>
                <w:snapToGrid w:val="0"/>
                <w:color w:val="000000" w:themeColor="text1"/>
                <w:sz w:val="24"/>
                <w:szCs w:val="20"/>
              </w:rPr>
              <w:t>表3</w:t>
            </w:r>
            <w:r>
              <w:rPr>
                <w:rFonts w:hint="eastAsia" w:ascii="Times New Roman" w:hAnsi="Times New Roman" w:eastAsia="宋体"/>
                <w:b/>
                <w:bCs/>
                <w:snapToGrid w:val="0"/>
                <w:color w:val="000000" w:themeColor="text1"/>
                <w:sz w:val="24"/>
                <w:szCs w:val="20"/>
              </w:rPr>
              <w:t xml:space="preserve">8    </w:t>
            </w:r>
            <w:r>
              <w:rPr>
                <w:rFonts w:ascii="Times New Roman" w:hAnsi="Times New Roman" w:eastAsia="宋体"/>
                <w:b/>
                <w:bCs/>
                <w:snapToGrid w:val="0"/>
                <w:color w:val="000000" w:themeColor="text1"/>
                <w:sz w:val="24"/>
                <w:szCs w:val="20"/>
              </w:rPr>
              <w:t>AERSCREEN估算模型计算结果一览表</w:t>
            </w:r>
          </w:p>
          <w:tbl>
            <w:tblPr>
              <w:tblStyle w:val="24"/>
              <w:tblW w:w="9072" w:type="dxa"/>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53"/>
              <w:gridCol w:w="1586"/>
              <w:gridCol w:w="1477"/>
              <w:gridCol w:w="1862"/>
              <w:gridCol w:w="978"/>
              <w:gridCol w:w="1090"/>
              <w:gridCol w:w="1326"/>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5" w:type="pct"/>
                  <w:tcBorders>
                    <w:top w:val="single" w:color="000000" w:sz="8" w:space="0"/>
                    <w:bottom w:val="single" w:color="000000" w:sz="8" w:space="0"/>
                  </w:tcBorders>
                  <w:vAlign w:val="center"/>
                </w:tcPr>
                <w:p>
                  <w:pPr>
                    <w:snapToGrid w:val="0"/>
                    <w:jc w:val="center"/>
                    <w:rPr>
                      <w:rFonts w:ascii="Times New Roman" w:hAnsi="Times New Roman" w:eastAsia="宋体"/>
                      <w:b/>
                      <w:color w:val="000000" w:themeColor="text1"/>
                      <w:szCs w:val="21"/>
                    </w:rPr>
                  </w:pPr>
                  <w:r>
                    <w:rPr>
                      <w:rFonts w:ascii="Times New Roman" w:hAnsi="Times New Roman" w:eastAsia="宋体"/>
                      <w:b/>
                      <w:color w:val="000000" w:themeColor="text1"/>
                      <w:szCs w:val="21"/>
                    </w:rPr>
                    <w:t>排放方式</w:t>
                  </w:r>
                </w:p>
              </w:tc>
              <w:tc>
                <w:tcPr>
                  <w:tcW w:w="874" w:type="pct"/>
                  <w:tcBorders>
                    <w:top w:val="single" w:color="000000" w:sz="8" w:space="0"/>
                    <w:bottom w:val="single" w:color="000000" w:sz="8" w:space="0"/>
                  </w:tcBorders>
                  <w:vAlign w:val="center"/>
                </w:tcPr>
                <w:p>
                  <w:pPr>
                    <w:snapToGrid w:val="0"/>
                    <w:jc w:val="center"/>
                    <w:rPr>
                      <w:rFonts w:ascii="Times New Roman" w:hAnsi="Times New Roman" w:eastAsia="宋体"/>
                      <w:b/>
                      <w:color w:val="000000" w:themeColor="text1"/>
                      <w:szCs w:val="21"/>
                    </w:rPr>
                  </w:pPr>
                  <w:r>
                    <w:rPr>
                      <w:rFonts w:ascii="Times New Roman" w:hAnsi="Times New Roman" w:eastAsia="宋体"/>
                      <w:b/>
                      <w:color w:val="000000" w:themeColor="text1"/>
                      <w:szCs w:val="21"/>
                    </w:rPr>
                    <w:t>污染源</w:t>
                  </w:r>
                </w:p>
              </w:tc>
              <w:tc>
                <w:tcPr>
                  <w:tcW w:w="814" w:type="pct"/>
                  <w:tcBorders>
                    <w:top w:val="single" w:color="000000" w:sz="8" w:space="0"/>
                    <w:bottom w:val="single" w:color="000000" w:sz="8" w:space="0"/>
                  </w:tcBorders>
                  <w:vAlign w:val="center"/>
                </w:tcPr>
                <w:p>
                  <w:pPr>
                    <w:snapToGrid w:val="0"/>
                    <w:jc w:val="center"/>
                    <w:rPr>
                      <w:rFonts w:ascii="Times New Roman" w:hAnsi="Times New Roman" w:eastAsia="宋体"/>
                      <w:b/>
                      <w:color w:val="000000" w:themeColor="text1"/>
                      <w:szCs w:val="21"/>
                    </w:rPr>
                  </w:pPr>
                  <w:r>
                    <w:rPr>
                      <w:rFonts w:ascii="Times New Roman" w:hAnsi="Times New Roman" w:eastAsia="宋体"/>
                      <w:b/>
                      <w:color w:val="000000" w:themeColor="text1"/>
                      <w:szCs w:val="21"/>
                    </w:rPr>
                    <w:t>污染物</w:t>
                  </w:r>
                </w:p>
              </w:tc>
              <w:tc>
                <w:tcPr>
                  <w:tcW w:w="1026" w:type="pct"/>
                  <w:tcBorders>
                    <w:top w:val="single" w:color="000000" w:sz="8" w:space="0"/>
                    <w:bottom w:val="single" w:color="000000" w:sz="8" w:space="0"/>
                  </w:tcBorders>
                  <w:vAlign w:val="center"/>
                </w:tcPr>
                <w:p>
                  <w:pPr>
                    <w:snapToGrid w:val="0"/>
                    <w:jc w:val="center"/>
                    <w:rPr>
                      <w:rFonts w:ascii="Times New Roman" w:hAnsi="Times New Roman" w:eastAsia="宋体"/>
                      <w:b/>
                      <w:color w:val="000000" w:themeColor="text1"/>
                      <w:szCs w:val="21"/>
                    </w:rPr>
                  </w:pPr>
                  <w:r>
                    <w:rPr>
                      <w:rFonts w:ascii="Times New Roman" w:hAnsi="Times New Roman" w:eastAsia="宋体"/>
                      <w:b/>
                      <w:color w:val="000000" w:themeColor="text1"/>
                      <w:szCs w:val="21"/>
                    </w:rPr>
                    <w:t>下风向质量浓度Ci（μg/m</w:t>
                  </w:r>
                  <w:r>
                    <w:rPr>
                      <w:rFonts w:ascii="Times New Roman" w:hAnsi="Times New Roman" w:eastAsia="宋体"/>
                      <w:b/>
                      <w:color w:val="000000" w:themeColor="text1"/>
                      <w:szCs w:val="21"/>
                      <w:vertAlign w:val="superscript"/>
                    </w:rPr>
                    <w:t>3</w:t>
                  </w:r>
                  <w:r>
                    <w:rPr>
                      <w:rFonts w:ascii="Times New Roman" w:hAnsi="Times New Roman" w:eastAsia="宋体"/>
                      <w:b/>
                      <w:color w:val="000000" w:themeColor="text1"/>
                      <w:szCs w:val="21"/>
                    </w:rPr>
                    <w:t>）</w:t>
                  </w:r>
                </w:p>
              </w:tc>
              <w:tc>
                <w:tcPr>
                  <w:tcW w:w="539" w:type="pct"/>
                  <w:tcBorders>
                    <w:top w:val="single" w:color="000000" w:sz="8" w:space="0"/>
                    <w:bottom w:val="single" w:color="000000" w:sz="8" w:space="0"/>
                  </w:tcBorders>
                  <w:vAlign w:val="center"/>
                </w:tcPr>
                <w:p>
                  <w:pPr>
                    <w:snapToGrid w:val="0"/>
                    <w:jc w:val="center"/>
                    <w:rPr>
                      <w:rFonts w:ascii="Times New Roman" w:hAnsi="Times New Roman" w:eastAsia="宋体"/>
                      <w:b/>
                      <w:color w:val="000000" w:themeColor="text1"/>
                      <w:szCs w:val="21"/>
                    </w:rPr>
                  </w:pPr>
                  <w:r>
                    <w:rPr>
                      <w:rFonts w:ascii="Times New Roman" w:hAnsi="Times New Roman" w:eastAsia="宋体"/>
                      <w:b/>
                      <w:color w:val="000000" w:themeColor="text1"/>
                      <w:szCs w:val="21"/>
                    </w:rPr>
                    <w:t>占标率Pi（%）</w:t>
                  </w:r>
                </w:p>
              </w:tc>
              <w:tc>
                <w:tcPr>
                  <w:tcW w:w="601" w:type="pct"/>
                  <w:tcBorders>
                    <w:top w:val="single" w:color="000000" w:sz="8" w:space="0"/>
                    <w:bottom w:val="single" w:color="000000" w:sz="8" w:space="0"/>
                  </w:tcBorders>
                  <w:vAlign w:val="center"/>
                </w:tcPr>
                <w:p>
                  <w:pPr>
                    <w:snapToGrid w:val="0"/>
                    <w:jc w:val="center"/>
                    <w:rPr>
                      <w:rFonts w:ascii="Times New Roman" w:hAnsi="Times New Roman" w:eastAsia="宋体"/>
                      <w:b/>
                      <w:color w:val="000000" w:themeColor="text1"/>
                      <w:szCs w:val="21"/>
                    </w:rPr>
                  </w:pPr>
                  <w:r>
                    <w:rPr>
                      <w:rFonts w:ascii="Times New Roman" w:hAnsi="Times New Roman" w:eastAsia="宋体"/>
                      <w:b/>
                      <w:color w:val="000000" w:themeColor="text1"/>
                      <w:szCs w:val="21"/>
                    </w:rPr>
                    <w:t>出现距离（m）</w:t>
                  </w:r>
                </w:p>
              </w:tc>
              <w:tc>
                <w:tcPr>
                  <w:tcW w:w="731" w:type="pct"/>
                  <w:tcBorders>
                    <w:top w:val="single" w:color="000000" w:sz="8" w:space="0"/>
                    <w:bottom w:val="single" w:color="000000" w:sz="8" w:space="0"/>
                  </w:tcBorders>
                  <w:vAlign w:val="center"/>
                </w:tcPr>
                <w:p>
                  <w:pPr>
                    <w:snapToGrid w:val="0"/>
                    <w:jc w:val="center"/>
                    <w:rPr>
                      <w:rFonts w:ascii="Times New Roman" w:hAnsi="Times New Roman" w:eastAsia="宋体"/>
                      <w:b/>
                      <w:color w:val="000000" w:themeColor="text1"/>
                      <w:szCs w:val="21"/>
                    </w:rPr>
                  </w:pPr>
                  <w:r>
                    <w:rPr>
                      <w:rFonts w:ascii="Times New Roman" w:hAnsi="Times New Roman" w:eastAsia="宋体"/>
                      <w:b/>
                      <w:color w:val="000000" w:themeColor="text1"/>
                      <w:szCs w:val="21"/>
                    </w:rPr>
                    <w:t>标准值Coi*（μg/m</w:t>
                  </w:r>
                  <w:r>
                    <w:rPr>
                      <w:rFonts w:ascii="Times New Roman" w:hAnsi="Times New Roman" w:eastAsia="宋体"/>
                      <w:b/>
                      <w:color w:val="000000" w:themeColor="text1"/>
                      <w:szCs w:val="21"/>
                      <w:vertAlign w:val="superscript"/>
                    </w:rPr>
                    <w:t>3</w:t>
                  </w:r>
                  <w:r>
                    <w:rPr>
                      <w:rFonts w:ascii="Times New Roman" w:hAnsi="Times New Roman" w:eastAsia="宋体"/>
                      <w:b/>
                      <w:color w:val="000000" w:themeColor="text1"/>
                      <w:szCs w:val="21"/>
                    </w:rPr>
                    <w:t>）</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5" w:type="pct"/>
                  <w:tcBorders>
                    <w:top w:val="single" w:color="000000" w:sz="8" w:space="0"/>
                    <w:bottom w:val="single" w:color="000000" w:sz="4" w:space="0"/>
                  </w:tcBorders>
                  <w:vAlign w:val="center"/>
                </w:tcPr>
                <w:p>
                  <w:pPr>
                    <w:snapToGrid w:val="0"/>
                    <w:jc w:val="center"/>
                    <w:rPr>
                      <w:rFonts w:ascii="Times New Roman" w:hAnsi="Times New Roman" w:eastAsia="宋体"/>
                      <w:bCs/>
                      <w:color w:val="000000" w:themeColor="text1"/>
                      <w:szCs w:val="21"/>
                    </w:rPr>
                  </w:pPr>
                  <w:r>
                    <w:rPr>
                      <w:rFonts w:ascii="Times New Roman" w:hAnsi="Times New Roman" w:eastAsia="宋体"/>
                      <w:color w:val="000000" w:themeColor="text1"/>
                      <w:szCs w:val="21"/>
                    </w:rPr>
                    <w:t>点源</w:t>
                  </w:r>
                </w:p>
              </w:tc>
              <w:tc>
                <w:tcPr>
                  <w:tcW w:w="874" w:type="pct"/>
                  <w:tcBorders>
                    <w:top w:val="single" w:color="000000" w:sz="8" w:space="0"/>
                    <w:bottom w:val="single" w:color="000000" w:sz="4" w:space="0"/>
                  </w:tcBorders>
                  <w:vAlign w:val="center"/>
                </w:tcPr>
                <w:p>
                  <w:pPr>
                    <w:snapToGrid w:val="0"/>
                    <w:jc w:val="center"/>
                    <w:rPr>
                      <w:rFonts w:ascii="Times New Roman" w:hAnsi="Times New Roman" w:eastAsia="宋体"/>
                      <w:bCs/>
                      <w:color w:val="000000" w:themeColor="text1"/>
                      <w:szCs w:val="21"/>
                    </w:rPr>
                  </w:pPr>
                  <w:r>
                    <w:rPr>
                      <w:rFonts w:ascii="Times New Roman" w:hAnsi="Times New Roman" w:eastAsia="宋体"/>
                      <w:color w:val="000000" w:themeColor="text1"/>
                      <w:szCs w:val="21"/>
                    </w:rPr>
                    <w:t>排气筒P</w:t>
                  </w:r>
                  <w:r>
                    <w:rPr>
                      <w:rFonts w:ascii="Times New Roman" w:hAnsi="Times New Roman" w:eastAsia="宋体"/>
                      <w:color w:val="000000" w:themeColor="text1"/>
                      <w:szCs w:val="21"/>
                      <w:vertAlign w:val="subscript"/>
                    </w:rPr>
                    <w:t>1</w:t>
                  </w:r>
                </w:p>
              </w:tc>
              <w:tc>
                <w:tcPr>
                  <w:tcW w:w="814" w:type="pct"/>
                  <w:tcBorders>
                    <w:top w:val="single" w:color="000000" w:sz="8" w:space="0"/>
                    <w:bottom w:val="single" w:color="000000" w:sz="4" w:space="0"/>
                  </w:tcBorders>
                  <w:vAlign w:val="center"/>
                </w:tcPr>
                <w:p>
                  <w:pPr>
                    <w:snapToGrid w:val="0"/>
                    <w:jc w:val="center"/>
                    <w:rPr>
                      <w:rFonts w:ascii="Times New Roman" w:hAnsi="Times New Roman" w:eastAsia="宋体"/>
                      <w:bCs/>
                      <w:color w:val="000000" w:themeColor="text1"/>
                      <w:szCs w:val="21"/>
                    </w:rPr>
                  </w:pPr>
                  <w:r>
                    <w:rPr>
                      <w:rFonts w:ascii="Times New Roman" w:hAnsi="Times New Roman" w:eastAsia="宋体"/>
                      <w:color w:val="000000" w:themeColor="text1"/>
                      <w:szCs w:val="21"/>
                    </w:rPr>
                    <w:t>非甲烷总烃</w:t>
                  </w:r>
                </w:p>
              </w:tc>
              <w:tc>
                <w:tcPr>
                  <w:tcW w:w="1026" w:type="pct"/>
                  <w:tcBorders>
                    <w:top w:val="single" w:color="000000" w:sz="8" w:space="0"/>
                    <w:bottom w:val="single" w:color="000000" w:sz="4" w:space="0"/>
                  </w:tcBorders>
                  <w:vAlign w:val="center"/>
                </w:tcPr>
                <w:p>
                  <w:pPr>
                    <w:snapToGrid w:val="0"/>
                    <w:jc w:val="center"/>
                    <w:rPr>
                      <w:rFonts w:ascii="Times New Roman" w:hAnsi="Times New Roman" w:eastAsia="宋体"/>
                      <w:bCs/>
                      <w:color w:val="000000" w:themeColor="text1"/>
                      <w:szCs w:val="21"/>
                    </w:rPr>
                  </w:pPr>
                  <w:r>
                    <w:rPr>
                      <w:rFonts w:hint="eastAsia" w:ascii="Times New Roman" w:hAnsi="Times New Roman" w:eastAsia="宋体"/>
                      <w:bCs/>
                      <w:color w:val="000000" w:themeColor="text1"/>
                      <w:szCs w:val="21"/>
                    </w:rPr>
                    <w:t>2.373</w:t>
                  </w:r>
                </w:p>
              </w:tc>
              <w:tc>
                <w:tcPr>
                  <w:tcW w:w="539" w:type="pct"/>
                  <w:tcBorders>
                    <w:top w:val="single" w:color="000000" w:sz="8" w:space="0"/>
                    <w:bottom w:val="single" w:color="000000" w:sz="4" w:space="0"/>
                  </w:tcBorders>
                  <w:vAlign w:val="center"/>
                </w:tcPr>
                <w:p>
                  <w:pPr>
                    <w:snapToGrid w:val="0"/>
                    <w:jc w:val="center"/>
                    <w:rPr>
                      <w:rFonts w:ascii="Times New Roman" w:hAnsi="Times New Roman" w:eastAsia="宋体"/>
                      <w:bCs/>
                      <w:color w:val="000000" w:themeColor="text1"/>
                      <w:szCs w:val="21"/>
                    </w:rPr>
                  </w:pPr>
                  <w:r>
                    <w:rPr>
                      <w:rFonts w:ascii="Times New Roman" w:hAnsi="Times New Roman" w:eastAsia="宋体"/>
                      <w:bCs/>
                      <w:color w:val="000000" w:themeColor="text1"/>
                      <w:szCs w:val="21"/>
                    </w:rPr>
                    <w:t>0.</w:t>
                  </w:r>
                  <w:r>
                    <w:rPr>
                      <w:rFonts w:hint="eastAsia" w:ascii="Times New Roman" w:hAnsi="Times New Roman" w:eastAsia="宋体"/>
                      <w:bCs/>
                      <w:color w:val="000000" w:themeColor="text1"/>
                      <w:szCs w:val="21"/>
                    </w:rPr>
                    <w:t>12</w:t>
                  </w:r>
                </w:p>
              </w:tc>
              <w:tc>
                <w:tcPr>
                  <w:tcW w:w="601" w:type="pct"/>
                  <w:tcBorders>
                    <w:top w:val="single" w:color="000000" w:sz="8" w:space="0"/>
                    <w:bottom w:val="single" w:color="000000" w:sz="4" w:space="0"/>
                  </w:tcBorders>
                  <w:vAlign w:val="center"/>
                </w:tcPr>
                <w:p>
                  <w:pPr>
                    <w:snapToGrid w:val="0"/>
                    <w:jc w:val="center"/>
                    <w:rPr>
                      <w:rFonts w:ascii="Times New Roman" w:hAnsi="Times New Roman" w:eastAsia="宋体"/>
                      <w:bCs/>
                      <w:color w:val="000000" w:themeColor="text1"/>
                      <w:szCs w:val="21"/>
                    </w:rPr>
                  </w:pPr>
                  <w:r>
                    <w:rPr>
                      <w:rFonts w:hint="eastAsia" w:ascii="Times New Roman" w:hAnsi="Times New Roman" w:eastAsia="宋体"/>
                      <w:bCs/>
                      <w:color w:val="000000" w:themeColor="text1"/>
                      <w:szCs w:val="21"/>
                    </w:rPr>
                    <w:t>219</w:t>
                  </w:r>
                </w:p>
              </w:tc>
              <w:tc>
                <w:tcPr>
                  <w:tcW w:w="731" w:type="pct"/>
                  <w:tcBorders>
                    <w:top w:val="single" w:color="000000" w:sz="8" w:space="0"/>
                    <w:bottom w:val="single" w:color="000000" w:sz="4" w:space="0"/>
                  </w:tcBorders>
                  <w:vAlign w:val="center"/>
                </w:tcPr>
                <w:p>
                  <w:pPr>
                    <w:snapToGrid w:val="0"/>
                    <w:jc w:val="center"/>
                    <w:rPr>
                      <w:rFonts w:ascii="Times New Roman" w:hAnsi="Times New Roman" w:eastAsia="宋体"/>
                      <w:bCs/>
                      <w:color w:val="000000" w:themeColor="text1"/>
                      <w:szCs w:val="21"/>
                    </w:rPr>
                  </w:pPr>
                  <w:r>
                    <w:rPr>
                      <w:rFonts w:hint="eastAsia" w:ascii="Times New Roman" w:hAnsi="Times New Roman" w:eastAsia="宋体"/>
                      <w:bCs/>
                      <w:color w:val="000000" w:themeColor="text1"/>
                      <w:szCs w:val="21"/>
                    </w:rPr>
                    <w:t>2000</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5" w:type="pct"/>
                  <w:tcBorders>
                    <w:top w:val="single" w:color="000000" w:sz="4" w:space="0"/>
                    <w:bottom w:val="single" w:color="000000" w:sz="4" w:space="0"/>
                  </w:tcBorders>
                  <w:vAlign w:val="center"/>
                </w:tcPr>
                <w:p>
                  <w:pPr>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面源</w:t>
                  </w:r>
                </w:p>
              </w:tc>
              <w:tc>
                <w:tcPr>
                  <w:tcW w:w="874" w:type="pct"/>
                  <w:tcBorders>
                    <w:top w:val="single" w:color="000000" w:sz="4" w:space="0"/>
                    <w:bottom w:val="single" w:color="000000" w:sz="4" w:space="0"/>
                  </w:tcBorders>
                  <w:vAlign w:val="center"/>
                </w:tcPr>
                <w:p>
                  <w:pPr>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生产车间</w:t>
                  </w:r>
                </w:p>
              </w:tc>
              <w:tc>
                <w:tcPr>
                  <w:tcW w:w="814" w:type="pct"/>
                  <w:tcBorders>
                    <w:top w:val="single" w:color="000000" w:sz="4" w:space="0"/>
                    <w:bottom w:val="single" w:color="000000" w:sz="4" w:space="0"/>
                  </w:tcBorders>
                  <w:vAlign w:val="center"/>
                </w:tcPr>
                <w:p>
                  <w:pPr>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非甲烷总烃</w:t>
                  </w:r>
                </w:p>
              </w:tc>
              <w:tc>
                <w:tcPr>
                  <w:tcW w:w="1026" w:type="pct"/>
                  <w:tcBorders>
                    <w:top w:val="single" w:color="000000" w:sz="4" w:space="0"/>
                    <w:bottom w:val="single" w:color="000000" w:sz="4" w:space="0"/>
                  </w:tcBorders>
                  <w:vAlign w:val="center"/>
                </w:tcPr>
                <w:p>
                  <w:pPr>
                    <w:snapToGrid w:val="0"/>
                    <w:jc w:val="center"/>
                    <w:rPr>
                      <w:rFonts w:ascii="Times New Roman" w:hAnsi="Times New Roman" w:eastAsia="宋体"/>
                      <w:bCs/>
                      <w:color w:val="000000" w:themeColor="text1"/>
                      <w:szCs w:val="21"/>
                    </w:rPr>
                  </w:pPr>
                  <w:r>
                    <w:rPr>
                      <w:rFonts w:hint="eastAsia" w:ascii="Times New Roman" w:hAnsi="Times New Roman" w:eastAsia="宋体"/>
                      <w:bCs/>
                      <w:color w:val="000000" w:themeColor="text1"/>
                      <w:szCs w:val="21"/>
                    </w:rPr>
                    <w:t>1.052</w:t>
                  </w:r>
                </w:p>
              </w:tc>
              <w:tc>
                <w:tcPr>
                  <w:tcW w:w="539" w:type="pct"/>
                  <w:tcBorders>
                    <w:top w:val="single" w:color="000000" w:sz="4" w:space="0"/>
                    <w:bottom w:val="single" w:color="000000" w:sz="4" w:space="0"/>
                  </w:tcBorders>
                  <w:vAlign w:val="center"/>
                </w:tcPr>
                <w:p>
                  <w:pPr>
                    <w:snapToGrid w:val="0"/>
                    <w:jc w:val="center"/>
                    <w:rPr>
                      <w:rFonts w:ascii="Times New Roman" w:hAnsi="Times New Roman" w:eastAsia="宋体"/>
                      <w:bCs/>
                      <w:color w:val="000000" w:themeColor="text1"/>
                      <w:szCs w:val="21"/>
                    </w:rPr>
                  </w:pPr>
                  <w:r>
                    <w:rPr>
                      <w:rFonts w:hint="eastAsia" w:ascii="Times New Roman" w:hAnsi="Times New Roman" w:eastAsia="宋体"/>
                      <w:bCs/>
                      <w:color w:val="000000" w:themeColor="text1"/>
                      <w:szCs w:val="21"/>
                    </w:rPr>
                    <w:t>0.05</w:t>
                  </w:r>
                </w:p>
              </w:tc>
              <w:tc>
                <w:tcPr>
                  <w:tcW w:w="601" w:type="pct"/>
                  <w:tcBorders>
                    <w:top w:val="single" w:color="000000" w:sz="4" w:space="0"/>
                    <w:bottom w:val="single" w:color="000000" w:sz="4" w:space="0"/>
                  </w:tcBorders>
                  <w:vAlign w:val="center"/>
                </w:tcPr>
                <w:p>
                  <w:pPr>
                    <w:snapToGrid w:val="0"/>
                    <w:jc w:val="center"/>
                    <w:rPr>
                      <w:rFonts w:ascii="Times New Roman" w:hAnsi="Times New Roman" w:eastAsia="宋体"/>
                      <w:bCs/>
                      <w:color w:val="000000" w:themeColor="text1"/>
                      <w:szCs w:val="21"/>
                    </w:rPr>
                  </w:pPr>
                  <w:r>
                    <w:rPr>
                      <w:rFonts w:hint="eastAsia" w:ascii="Times New Roman" w:hAnsi="Times New Roman" w:eastAsia="宋体"/>
                      <w:bCs/>
                      <w:color w:val="000000" w:themeColor="text1"/>
                      <w:szCs w:val="21"/>
                    </w:rPr>
                    <w:t>165</w:t>
                  </w:r>
                </w:p>
              </w:tc>
              <w:tc>
                <w:tcPr>
                  <w:tcW w:w="731" w:type="pct"/>
                  <w:tcBorders>
                    <w:top w:val="single" w:color="000000" w:sz="4" w:space="0"/>
                    <w:bottom w:val="single" w:color="000000" w:sz="4" w:space="0"/>
                  </w:tcBorders>
                  <w:vAlign w:val="center"/>
                </w:tcPr>
                <w:p>
                  <w:pPr>
                    <w:snapToGrid w:val="0"/>
                    <w:jc w:val="center"/>
                    <w:rPr>
                      <w:rFonts w:ascii="Times New Roman" w:hAnsi="Times New Roman" w:eastAsia="宋体"/>
                      <w:bCs/>
                      <w:color w:val="000000" w:themeColor="text1"/>
                      <w:szCs w:val="21"/>
                    </w:rPr>
                  </w:pPr>
                  <w:r>
                    <w:rPr>
                      <w:rFonts w:hint="eastAsia" w:ascii="Times New Roman" w:hAnsi="Times New Roman" w:eastAsia="宋体"/>
                      <w:bCs/>
                      <w:color w:val="000000" w:themeColor="text1"/>
                      <w:szCs w:val="21"/>
                    </w:rPr>
                    <w:t>2000</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89" w:type="pct"/>
                  <w:gridSpan w:val="2"/>
                  <w:tcBorders>
                    <w:top w:val="single" w:color="000000" w:sz="4" w:space="0"/>
                    <w:bottom w:val="single" w:color="000000" w:sz="8" w:space="0"/>
                  </w:tcBorders>
                  <w:vAlign w:val="center"/>
                </w:tcPr>
                <w:p>
                  <w:pPr>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各源最大值</w:t>
                  </w:r>
                </w:p>
              </w:tc>
              <w:tc>
                <w:tcPr>
                  <w:tcW w:w="814" w:type="pct"/>
                  <w:tcBorders>
                    <w:top w:val="single" w:color="000000" w:sz="4" w:space="0"/>
                    <w:bottom w:val="single" w:color="000000" w:sz="8" w:space="0"/>
                  </w:tcBorders>
                  <w:vAlign w:val="center"/>
                </w:tcPr>
                <w:p>
                  <w:pPr>
                    <w:snapToGrid w:val="0"/>
                    <w:jc w:val="center"/>
                    <w:rPr>
                      <w:rFonts w:ascii="Times New Roman" w:hAnsi="Times New Roman" w:eastAsia="宋体"/>
                      <w:bCs/>
                      <w:color w:val="000000" w:themeColor="text1"/>
                      <w:szCs w:val="21"/>
                    </w:rPr>
                  </w:pPr>
                  <w:r>
                    <w:rPr>
                      <w:rFonts w:ascii="Times New Roman" w:hAnsi="Times New Roman" w:eastAsia="宋体"/>
                      <w:color w:val="000000" w:themeColor="text1"/>
                      <w:szCs w:val="21"/>
                    </w:rPr>
                    <w:t>非甲烷总烃</w:t>
                  </w:r>
                </w:p>
              </w:tc>
              <w:tc>
                <w:tcPr>
                  <w:tcW w:w="1026" w:type="pct"/>
                  <w:tcBorders>
                    <w:top w:val="single" w:color="000000" w:sz="4" w:space="0"/>
                    <w:bottom w:val="single" w:color="000000" w:sz="8" w:space="0"/>
                  </w:tcBorders>
                  <w:vAlign w:val="center"/>
                </w:tcPr>
                <w:p>
                  <w:pPr>
                    <w:snapToGrid w:val="0"/>
                    <w:jc w:val="center"/>
                    <w:rPr>
                      <w:rFonts w:ascii="Times New Roman" w:hAnsi="Times New Roman" w:eastAsia="宋体"/>
                      <w:bCs/>
                      <w:color w:val="000000" w:themeColor="text1"/>
                      <w:szCs w:val="21"/>
                    </w:rPr>
                  </w:pPr>
                  <w:r>
                    <w:rPr>
                      <w:rFonts w:hint="eastAsia" w:ascii="Times New Roman" w:hAnsi="Times New Roman" w:eastAsia="宋体"/>
                      <w:bCs/>
                      <w:color w:val="000000" w:themeColor="text1"/>
                      <w:szCs w:val="21"/>
                    </w:rPr>
                    <w:t>2.373</w:t>
                  </w:r>
                </w:p>
              </w:tc>
              <w:tc>
                <w:tcPr>
                  <w:tcW w:w="539" w:type="pct"/>
                  <w:tcBorders>
                    <w:top w:val="single" w:color="000000" w:sz="4" w:space="0"/>
                    <w:bottom w:val="single" w:color="000000" w:sz="8" w:space="0"/>
                  </w:tcBorders>
                  <w:vAlign w:val="center"/>
                </w:tcPr>
                <w:p>
                  <w:pPr>
                    <w:snapToGrid w:val="0"/>
                    <w:jc w:val="center"/>
                    <w:rPr>
                      <w:rFonts w:ascii="Times New Roman" w:hAnsi="Times New Roman" w:eastAsia="宋体"/>
                      <w:bCs/>
                      <w:color w:val="000000" w:themeColor="text1"/>
                      <w:szCs w:val="21"/>
                    </w:rPr>
                  </w:pPr>
                  <w:r>
                    <w:rPr>
                      <w:rFonts w:ascii="Times New Roman" w:hAnsi="Times New Roman" w:eastAsia="宋体"/>
                      <w:bCs/>
                      <w:color w:val="000000" w:themeColor="text1"/>
                      <w:szCs w:val="21"/>
                    </w:rPr>
                    <w:t>0.</w:t>
                  </w:r>
                  <w:r>
                    <w:rPr>
                      <w:rFonts w:hint="eastAsia" w:ascii="Times New Roman" w:hAnsi="Times New Roman" w:eastAsia="宋体"/>
                      <w:bCs/>
                      <w:color w:val="000000" w:themeColor="text1"/>
                      <w:szCs w:val="21"/>
                    </w:rPr>
                    <w:t>12</w:t>
                  </w:r>
                </w:p>
              </w:tc>
              <w:tc>
                <w:tcPr>
                  <w:tcW w:w="601" w:type="pct"/>
                  <w:tcBorders>
                    <w:top w:val="single" w:color="000000" w:sz="4" w:space="0"/>
                    <w:bottom w:val="single" w:color="000000" w:sz="8" w:space="0"/>
                  </w:tcBorders>
                  <w:vAlign w:val="center"/>
                </w:tcPr>
                <w:p>
                  <w:pPr>
                    <w:snapToGrid w:val="0"/>
                    <w:jc w:val="center"/>
                    <w:rPr>
                      <w:rFonts w:ascii="Times New Roman" w:hAnsi="Times New Roman" w:eastAsia="宋体"/>
                      <w:bCs/>
                      <w:color w:val="000000" w:themeColor="text1"/>
                      <w:szCs w:val="21"/>
                    </w:rPr>
                  </w:pPr>
                  <w:r>
                    <w:rPr>
                      <w:rFonts w:hint="eastAsia" w:ascii="Times New Roman" w:hAnsi="Times New Roman" w:eastAsia="宋体"/>
                      <w:bCs/>
                      <w:color w:val="000000" w:themeColor="text1"/>
                      <w:szCs w:val="21"/>
                    </w:rPr>
                    <w:t>219</w:t>
                  </w:r>
                </w:p>
              </w:tc>
              <w:tc>
                <w:tcPr>
                  <w:tcW w:w="731" w:type="pct"/>
                  <w:tcBorders>
                    <w:top w:val="single" w:color="000000" w:sz="4" w:space="0"/>
                    <w:bottom w:val="single" w:color="000000" w:sz="8" w:space="0"/>
                  </w:tcBorders>
                  <w:vAlign w:val="center"/>
                </w:tcPr>
                <w:p>
                  <w:pPr>
                    <w:snapToGrid w:val="0"/>
                    <w:jc w:val="center"/>
                    <w:rPr>
                      <w:rFonts w:ascii="Times New Roman" w:hAnsi="Times New Roman" w:eastAsia="宋体"/>
                      <w:bCs/>
                      <w:color w:val="000000" w:themeColor="text1"/>
                      <w:szCs w:val="21"/>
                    </w:rPr>
                  </w:pPr>
                  <w:r>
                    <w:rPr>
                      <w:rFonts w:hint="eastAsia" w:ascii="Times New Roman" w:hAnsi="Times New Roman" w:eastAsia="宋体"/>
                      <w:bCs/>
                      <w:color w:val="000000" w:themeColor="text1"/>
                      <w:szCs w:val="21"/>
                    </w:rPr>
                    <w:t>2000</w:t>
                  </w:r>
                </w:p>
              </w:tc>
            </w:tr>
          </w:tbl>
          <w:p>
            <w:pPr>
              <w:spacing w:line="440" w:lineRule="exact"/>
              <w:ind w:firstLine="482" w:firstLineChars="200"/>
              <w:textAlignment w:val="baseline"/>
              <w:rPr>
                <w:rFonts w:ascii="Times New Roman" w:hAnsi="Times New Roman" w:eastAsia="宋体"/>
                <w:b/>
                <w:bCs/>
                <w:color w:val="000000" w:themeColor="text1"/>
                <w:sz w:val="24"/>
              </w:rPr>
            </w:pPr>
            <w:r>
              <w:rPr>
                <w:rFonts w:ascii="Times New Roman" w:hAnsi="Times New Roman" w:eastAsia="宋体"/>
                <w:b/>
                <w:bCs/>
                <w:color w:val="000000" w:themeColor="text1"/>
                <w:sz w:val="24"/>
              </w:rPr>
              <w:t xml:space="preserve">（4）评价等级判定 </w:t>
            </w:r>
          </w:p>
          <w:p>
            <w:pPr>
              <w:spacing w:line="440" w:lineRule="exact"/>
              <w:ind w:firstLine="480" w:firstLineChars="200"/>
              <w:textAlignment w:val="baseline"/>
              <w:rPr>
                <w:rFonts w:ascii="Times New Roman" w:hAnsi="Times New Roman" w:eastAsia="宋体"/>
                <w:color w:val="000000" w:themeColor="text1"/>
                <w:sz w:val="24"/>
              </w:rPr>
            </w:pPr>
            <w:r>
              <w:rPr>
                <w:rFonts w:ascii="Times New Roman" w:hAnsi="Times New Roman" w:eastAsia="宋体"/>
                <w:color w:val="000000" w:themeColor="text1"/>
                <w:sz w:val="24"/>
              </w:rPr>
              <w:t>根据《环境影响评价技术导则 大气环境》（HJ2.2-2018）的大气评价分级依据，见表</w:t>
            </w:r>
            <w:r>
              <w:rPr>
                <w:rFonts w:hint="eastAsia" w:ascii="Times New Roman" w:hAnsi="Times New Roman" w:eastAsia="宋体"/>
                <w:color w:val="000000" w:themeColor="text1"/>
                <w:sz w:val="24"/>
              </w:rPr>
              <w:t>39</w:t>
            </w:r>
            <w:r>
              <w:rPr>
                <w:rFonts w:ascii="Times New Roman" w:hAnsi="Times New Roman" w:eastAsia="宋体"/>
                <w:color w:val="000000" w:themeColor="text1"/>
                <w:sz w:val="24"/>
              </w:rPr>
              <w:t>。</w:t>
            </w:r>
          </w:p>
          <w:p>
            <w:pPr>
              <w:adjustRightInd w:val="0"/>
              <w:snapToGrid w:val="0"/>
              <w:spacing w:line="440" w:lineRule="exact"/>
              <w:jc w:val="center"/>
              <w:rPr>
                <w:rFonts w:ascii="Times New Roman" w:hAnsi="Times New Roman" w:eastAsia="宋体"/>
                <w:b/>
                <w:bCs/>
                <w:snapToGrid w:val="0"/>
                <w:color w:val="000000" w:themeColor="text1"/>
                <w:sz w:val="24"/>
                <w:szCs w:val="20"/>
              </w:rPr>
            </w:pPr>
            <w:r>
              <w:rPr>
                <w:rFonts w:ascii="Times New Roman" w:hAnsi="Times New Roman" w:eastAsia="宋体"/>
                <w:b/>
                <w:bCs/>
                <w:snapToGrid w:val="0"/>
                <w:color w:val="000000" w:themeColor="text1"/>
                <w:sz w:val="24"/>
                <w:szCs w:val="20"/>
              </w:rPr>
              <w:t>表</w:t>
            </w:r>
            <w:r>
              <w:rPr>
                <w:rFonts w:hint="eastAsia" w:ascii="Times New Roman" w:hAnsi="Times New Roman" w:eastAsia="宋体"/>
                <w:b/>
                <w:bCs/>
                <w:snapToGrid w:val="0"/>
                <w:color w:val="000000" w:themeColor="text1"/>
                <w:sz w:val="24"/>
                <w:szCs w:val="20"/>
              </w:rPr>
              <w:t xml:space="preserve">39    </w:t>
            </w:r>
            <w:r>
              <w:rPr>
                <w:rFonts w:ascii="Times New Roman" w:hAnsi="Times New Roman" w:eastAsia="宋体"/>
                <w:b/>
                <w:bCs/>
                <w:snapToGrid w:val="0"/>
                <w:color w:val="000000" w:themeColor="text1"/>
                <w:sz w:val="24"/>
                <w:szCs w:val="20"/>
              </w:rPr>
              <w:t>大气评价工作分级依据</w:t>
            </w:r>
          </w:p>
          <w:tbl>
            <w:tblPr>
              <w:tblStyle w:val="24"/>
              <w:tblW w:w="9072"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535"/>
              <w:gridCol w:w="453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99" w:type="pct"/>
                  <w:tcBorders>
                    <w:top w:val="single" w:color="auto" w:sz="8" w:space="0"/>
                    <w:bottom w:val="single" w:color="auto" w:sz="8" w:space="0"/>
                  </w:tcBorders>
                  <w:vAlign w:val="center"/>
                </w:tcPr>
                <w:p>
                  <w:pPr>
                    <w:widowControl/>
                    <w:spacing w:line="240" w:lineRule="atLeast"/>
                    <w:jc w:val="center"/>
                    <w:rPr>
                      <w:rFonts w:ascii="Times New Roman" w:hAnsi="Times New Roman" w:eastAsia="宋体"/>
                      <w:b/>
                      <w:bCs/>
                      <w:color w:val="000000" w:themeColor="text1"/>
                    </w:rPr>
                  </w:pPr>
                  <w:r>
                    <w:rPr>
                      <w:rFonts w:ascii="Times New Roman" w:hAnsi="Times New Roman" w:eastAsia="宋体"/>
                      <w:b/>
                      <w:bCs/>
                      <w:color w:val="000000" w:themeColor="text1"/>
                    </w:rPr>
                    <w:t>评价工作等级</w:t>
                  </w:r>
                </w:p>
              </w:tc>
              <w:tc>
                <w:tcPr>
                  <w:tcW w:w="2500" w:type="pct"/>
                  <w:tcBorders>
                    <w:top w:val="single" w:color="auto" w:sz="8" w:space="0"/>
                    <w:bottom w:val="single" w:color="auto" w:sz="8" w:space="0"/>
                  </w:tcBorders>
                  <w:vAlign w:val="center"/>
                </w:tcPr>
                <w:p>
                  <w:pPr>
                    <w:widowControl/>
                    <w:spacing w:line="240" w:lineRule="atLeast"/>
                    <w:jc w:val="center"/>
                    <w:rPr>
                      <w:rFonts w:ascii="Times New Roman" w:hAnsi="Times New Roman" w:eastAsia="宋体"/>
                      <w:b/>
                      <w:bCs/>
                      <w:color w:val="000000" w:themeColor="text1"/>
                    </w:rPr>
                  </w:pPr>
                  <w:r>
                    <w:rPr>
                      <w:rFonts w:ascii="Times New Roman" w:hAnsi="Times New Roman" w:eastAsia="宋体"/>
                      <w:b/>
                      <w:bCs/>
                      <w:color w:val="000000" w:themeColor="text1"/>
                    </w:rPr>
                    <w:t>评价工作分级判据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99" w:type="pct"/>
                  <w:tcBorders>
                    <w:top w:val="single" w:color="auto" w:sz="8" w:space="0"/>
                  </w:tcBorders>
                  <w:vAlign w:val="center"/>
                </w:tcPr>
                <w:p>
                  <w:pPr>
                    <w:widowControl/>
                    <w:spacing w:line="240" w:lineRule="atLeast"/>
                    <w:jc w:val="center"/>
                    <w:rPr>
                      <w:rFonts w:ascii="Times New Roman" w:hAnsi="Times New Roman" w:eastAsia="宋体"/>
                      <w:color w:val="000000" w:themeColor="text1"/>
                    </w:rPr>
                  </w:pPr>
                  <w:r>
                    <w:rPr>
                      <w:rFonts w:ascii="Times New Roman" w:hAnsi="Times New Roman" w:eastAsia="宋体"/>
                      <w:color w:val="000000" w:themeColor="text1"/>
                    </w:rPr>
                    <w:t>一级</w:t>
                  </w:r>
                </w:p>
              </w:tc>
              <w:tc>
                <w:tcPr>
                  <w:tcW w:w="2500" w:type="pct"/>
                  <w:tcBorders>
                    <w:top w:val="single" w:color="auto" w:sz="8" w:space="0"/>
                  </w:tcBorders>
                  <w:vAlign w:val="center"/>
                </w:tcPr>
                <w:p>
                  <w:pPr>
                    <w:widowControl/>
                    <w:spacing w:line="240" w:lineRule="atLeast"/>
                    <w:jc w:val="center"/>
                    <w:rPr>
                      <w:rFonts w:ascii="Times New Roman" w:hAnsi="Times New Roman" w:eastAsia="宋体"/>
                      <w:color w:val="000000" w:themeColor="text1"/>
                    </w:rPr>
                  </w:pPr>
                  <w:r>
                    <w:rPr>
                      <w:rFonts w:ascii="Times New Roman" w:hAnsi="Times New Roman" w:eastAsia="宋体"/>
                      <w:color w:val="000000" w:themeColor="text1"/>
                    </w:rPr>
                    <w:t>Pmax≥10%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99" w:type="pct"/>
                  <w:vAlign w:val="center"/>
                </w:tcPr>
                <w:p>
                  <w:pPr>
                    <w:widowControl/>
                    <w:spacing w:line="240" w:lineRule="atLeast"/>
                    <w:jc w:val="center"/>
                    <w:rPr>
                      <w:rFonts w:ascii="Times New Roman" w:hAnsi="Times New Roman" w:eastAsia="宋体"/>
                      <w:color w:val="000000" w:themeColor="text1"/>
                    </w:rPr>
                  </w:pPr>
                  <w:r>
                    <w:rPr>
                      <w:rFonts w:ascii="Times New Roman" w:hAnsi="Times New Roman" w:eastAsia="宋体"/>
                      <w:color w:val="000000" w:themeColor="text1"/>
                    </w:rPr>
                    <w:t>二级</w:t>
                  </w:r>
                </w:p>
              </w:tc>
              <w:tc>
                <w:tcPr>
                  <w:tcW w:w="2500" w:type="pct"/>
                  <w:vAlign w:val="center"/>
                </w:tcPr>
                <w:p>
                  <w:pPr>
                    <w:widowControl/>
                    <w:spacing w:line="240" w:lineRule="atLeast"/>
                    <w:jc w:val="center"/>
                    <w:rPr>
                      <w:rFonts w:ascii="Times New Roman" w:hAnsi="Times New Roman" w:eastAsia="宋体"/>
                      <w:color w:val="000000" w:themeColor="text1"/>
                    </w:rPr>
                  </w:pPr>
                  <w:r>
                    <w:rPr>
                      <w:rFonts w:ascii="Times New Roman" w:hAnsi="Times New Roman" w:eastAsia="宋体"/>
                      <w:color w:val="000000" w:themeColor="text1"/>
                    </w:rPr>
                    <w:t>1%≤Pmax＜10%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99" w:type="pct"/>
                  <w:vAlign w:val="center"/>
                </w:tcPr>
                <w:p>
                  <w:pPr>
                    <w:widowControl/>
                    <w:spacing w:line="240" w:lineRule="atLeast"/>
                    <w:jc w:val="center"/>
                    <w:rPr>
                      <w:rFonts w:ascii="Times New Roman" w:hAnsi="Times New Roman" w:eastAsia="宋体"/>
                      <w:color w:val="000000" w:themeColor="text1"/>
                    </w:rPr>
                  </w:pPr>
                  <w:r>
                    <w:rPr>
                      <w:rFonts w:ascii="Times New Roman" w:hAnsi="Times New Roman" w:eastAsia="宋体"/>
                      <w:color w:val="000000" w:themeColor="text1"/>
                    </w:rPr>
                    <w:t>三级</w:t>
                  </w:r>
                </w:p>
              </w:tc>
              <w:tc>
                <w:tcPr>
                  <w:tcW w:w="2500" w:type="pct"/>
                  <w:vAlign w:val="center"/>
                </w:tcPr>
                <w:p>
                  <w:pPr>
                    <w:widowControl/>
                    <w:spacing w:line="240" w:lineRule="atLeast"/>
                    <w:jc w:val="center"/>
                    <w:rPr>
                      <w:rFonts w:ascii="Times New Roman" w:hAnsi="Times New Roman" w:eastAsia="宋体"/>
                      <w:color w:val="000000" w:themeColor="text1"/>
                    </w:rPr>
                  </w:pPr>
                  <w:r>
                    <w:rPr>
                      <w:rFonts w:ascii="Times New Roman" w:hAnsi="Times New Roman" w:eastAsia="宋体"/>
                      <w:color w:val="000000" w:themeColor="text1"/>
                    </w:rPr>
                    <w:t>Pmax＜1%</w:t>
                  </w:r>
                </w:p>
              </w:tc>
            </w:tr>
          </w:tbl>
          <w:p>
            <w:pPr>
              <w:spacing w:line="440" w:lineRule="exact"/>
              <w:ind w:firstLine="480" w:firstLineChars="200"/>
              <w:textAlignment w:val="baseline"/>
              <w:rPr>
                <w:rFonts w:ascii="Times New Roman" w:hAnsi="Times New Roman" w:eastAsia="宋体"/>
                <w:snapToGrid w:val="0"/>
                <w:color w:val="000000" w:themeColor="text1"/>
                <w:kern w:val="0"/>
                <w:sz w:val="24"/>
              </w:rPr>
            </w:pPr>
            <w:r>
              <w:rPr>
                <w:rFonts w:ascii="Times New Roman" w:hAnsi="Times New Roman" w:eastAsia="宋体"/>
                <w:color w:val="000000" w:themeColor="text1"/>
                <w:sz w:val="24"/>
              </w:rPr>
              <w:t>由表</w:t>
            </w:r>
            <w:r>
              <w:rPr>
                <w:rFonts w:hint="eastAsia" w:ascii="Times New Roman" w:hAnsi="Times New Roman" w:eastAsia="宋体"/>
                <w:color w:val="000000" w:themeColor="text1"/>
                <w:sz w:val="24"/>
              </w:rPr>
              <w:t>39</w:t>
            </w:r>
            <w:r>
              <w:rPr>
                <w:rFonts w:ascii="Times New Roman" w:hAnsi="Times New Roman" w:eastAsia="宋体"/>
                <w:color w:val="000000" w:themeColor="text1"/>
                <w:sz w:val="24"/>
              </w:rPr>
              <w:t>结果看出，全厂大气污染源排放的污染物经估算模式预测，非甲烷总烃最大落地浓度值以及占标率分别为</w:t>
            </w:r>
            <w:r>
              <w:rPr>
                <w:rFonts w:hint="eastAsia" w:ascii="Times New Roman" w:hAnsi="Times New Roman" w:eastAsia="宋体"/>
                <w:color w:val="000000" w:themeColor="text1"/>
                <w:sz w:val="24"/>
              </w:rPr>
              <w:t>2.373</w:t>
            </w:r>
            <w:r>
              <w:rPr>
                <w:rFonts w:ascii="Times New Roman" w:hAnsi="Times New Roman" w:eastAsia="宋体"/>
                <w:color w:val="000000" w:themeColor="text1"/>
                <w:sz w:val="24"/>
              </w:rPr>
              <w:t>μg/m</w:t>
            </w:r>
            <w:r>
              <w:rPr>
                <w:rFonts w:ascii="Times New Roman" w:hAnsi="Times New Roman" w:eastAsia="宋体"/>
                <w:color w:val="000000" w:themeColor="text1"/>
                <w:sz w:val="24"/>
                <w:vertAlign w:val="superscript"/>
              </w:rPr>
              <w:t>3</w:t>
            </w:r>
            <w:r>
              <w:rPr>
                <w:rFonts w:ascii="Times New Roman" w:hAnsi="Times New Roman" w:eastAsia="宋体"/>
                <w:color w:val="000000" w:themeColor="text1"/>
                <w:sz w:val="24"/>
              </w:rPr>
              <w:t>和</w:t>
            </w:r>
            <w:r>
              <w:rPr>
                <w:rFonts w:hint="eastAsia" w:ascii="Times New Roman" w:hAnsi="Times New Roman" w:eastAsia="宋体"/>
                <w:color w:val="000000" w:themeColor="text1"/>
                <w:sz w:val="24"/>
              </w:rPr>
              <w:t>0.12</w:t>
            </w:r>
            <w:r>
              <w:rPr>
                <w:rFonts w:ascii="Times New Roman" w:hAnsi="Times New Roman" w:eastAsia="宋体"/>
                <w:color w:val="000000" w:themeColor="text1"/>
                <w:sz w:val="24"/>
              </w:rPr>
              <w:t>%；本项目大气环境影响评价等级为三级，根据《环境影响评价技术导则 大气环境》（HJ2.2-2018）第8.1.</w:t>
            </w:r>
            <w:r>
              <w:rPr>
                <w:rFonts w:hint="eastAsia" w:ascii="Times New Roman" w:hAnsi="Times New Roman" w:eastAsia="宋体"/>
                <w:color w:val="000000" w:themeColor="text1"/>
                <w:sz w:val="24"/>
              </w:rPr>
              <w:t>3</w:t>
            </w:r>
            <w:r>
              <w:rPr>
                <w:rFonts w:ascii="Times New Roman" w:hAnsi="Times New Roman" w:eastAsia="宋体"/>
                <w:color w:val="000000" w:themeColor="text1"/>
                <w:sz w:val="24"/>
              </w:rPr>
              <w:t>条的要求：三级评价项目不进行进一步预测与评价。</w:t>
            </w:r>
          </w:p>
          <w:p>
            <w:pPr>
              <w:spacing w:line="440" w:lineRule="exact"/>
              <w:ind w:firstLine="482" w:firstLineChars="200"/>
              <w:textAlignment w:val="baseline"/>
              <w:rPr>
                <w:rFonts w:ascii="Times New Roman" w:hAnsi="Times New Roman" w:eastAsia="宋体"/>
                <w:b/>
                <w:bCs/>
                <w:color w:val="000000" w:themeColor="text1"/>
                <w:sz w:val="24"/>
              </w:rPr>
            </w:pPr>
            <w:r>
              <w:rPr>
                <w:rFonts w:ascii="Times New Roman" w:hAnsi="Times New Roman" w:eastAsia="宋体"/>
                <w:b/>
                <w:bCs/>
                <w:color w:val="000000" w:themeColor="text1"/>
                <w:sz w:val="24"/>
              </w:rPr>
              <w:t>（5）项目废气污染物排放量核算</w:t>
            </w:r>
          </w:p>
          <w:p>
            <w:pPr>
              <w:spacing w:line="440" w:lineRule="exact"/>
              <w:ind w:firstLine="480" w:firstLineChars="200"/>
              <w:textAlignment w:val="baseline"/>
              <w:rPr>
                <w:rFonts w:ascii="Times New Roman" w:hAnsi="Times New Roman" w:eastAsia="宋体"/>
                <w:color w:val="000000" w:themeColor="text1"/>
                <w:sz w:val="24"/>
              </w:rPr>
            </w:pPr>
            <w:r>
              <w:rPr>
                <w:rFonts w:ascii="Times New Roman" w:hAnsi="Times New Roman" w:eastAsia="宋体"/>
                <w:color w:val="000000" w:themeColor="text1"/>
                <w:sz w:val="24"/>
              </w:rPr>
              <w:t>本项目废气污染物排放量核算见下表：</w:t>
            </w:r>
          </w:p>
          <w:p>
            <w:pPr>
              <w:pStyle w:val="119"/>
              <w:spacing w:before="0" w:line="440" w:lineRule="exact"/>
              <w:ind w:firstLine="0"/>
              <w:jc w:val="center"/>
              <w:rPr>
                <w:rFonts w:eastAsia="宋体" w:cs="Times New Roman"/>
                <w:b/>
                <w:bCs/>
                <w:color w:val="000000" w:themeColor="text1"/>
                <w:sz w:val="24"/>
                <w:szCs w:val="24"/>
              </w:rPr>
            </w:pPr>
            <w:r>
              <w:rPr>
                <w:rFonts w:eastAsia="宋体" w:cs="Times New Roman"/>
                <w:b/>
                <w:bCs/>
                <w:color w:val="000000" w:themeColor="text1"/>
                <w:sz w:val="24"/>
                <w:szCs w:val="24"/>
              </w:rPr>
              <w:t>表</w:t>
            </w:r>
            <w:r>
              <w:rPr>
                <w:rFonts w:hint="eastAsia" w:eastAsia="宋体" w:cs="Times New Roman"/>
                <w:b/>
                <w:bCs/>
                <w:color w:val="000000" w:themeColor="text1"/>
                <w:sz w:val="24"/>
                <w:szCs w:val="24"/>
              </w:rPr>
              <w:t xml:space="preserve">40    </w:t>
            </w:r>
            <w:r>
              <w:rPr>
                <w:rFonts w:eastAsia="宋体" w:cs="Times New Roman"/>
                <w:b/>
                <w:bCs/>
                <w:color w:val="000000" w:themeColor="text1"/>
                <w:sz w:val="24"/>
                <w:szCs w:val="24"/>
              </w:rPr>
              <w:t>大气污染物有组织排放量核算表</w:t>
            </w:r>
          </w:p>
          <w:tbl>
            <w:tblPr>
              <w:tblStyle w:val="24"/>
              <w:tblW w:w="9072" w:type="dxa"/>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615"/>
              <w:gridCol w:w="1166"/>
              <w:gridCol w:w="2268"/>
              <w:gridCol w:w="2088"/>
              <w:gridCol w:w="1935"/>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87" w:type="dxa"/>
                  <w:tcBorders>
                    <w:top w:val="single" w:color="000000" w:sz="8" w:space="0"/>
                    <w:bottom w:val="single" w:color="000000" w:sz="8" w:space="0"/>
                  </w:tcBorders>
                  <w:vAlign w:val="center"/>
                </w:tcPr>
                <w:p>
                  <w:pPr>
                    <w:jc w:val="center"/>
                    <w:rPr>
                      <w:rFonts w:ascii="Times New Roman" w:hAnsi="Times New Roman" w:eastAsia="宋体"/>
                      <w:b/>
                      <w:color w:val="000000" w:themeColor="text1"/>
                      <w:szCs w:val="21"/>
                    </w:rPr>
                  </w:pPr>
                  <w:r>
                    <w:rPr>
                      <w:rFonts w:ascii="Times New Roman" w:hAnsi="Times New Roman" w:eastAsia="宋体"/>
                      <w:b/>
                      <w:color w:val="000000" w:themeColor="text1"/>
                      <w:szCs w:val="21"/>
                    </w:rPr>
                    <w:t>排放口编号</w:t>
                  </w:r>
                </w:p>
              </w:tc>
              <w:tc>
                <w:tcPr>
                  <w:tcW w:w="1146" w:type="dxa"/>
                  <w:tcBorders>
                    <w:top w:val="single" w:color="000000" w:sz="8" w:space="0"/>
                    <w:bottom w:val="single" w:color="000000" w:sz="8" w:space="0"/>
                  </w:tcBorders>
                  <w:vAlign w:val="center"/>
                </w:tcPr>
                <w:p>
                  <w:pPr>
                    <w:jc w:val="center"/>
                    <w:rPr>
                      <w:rFonts w:ascii="Times New Roman" w:hAnsi="Times New Roman" w:eastAsia="宋体"/>
                      <w:b/>
                      <w:color w:val="000000" w:themeColor="text1"/>
                      <w:szCs w:val="21"/>
                    </w:rPr>
                  </w:pPr>
                  <w:r>
                    <w:rPr>
                      <w:rFonts w:ascii="Times New Roman" w:hAnsi="Times New Roman" w:eastAsia="宋体"/>
                      <w:b/>
                      <w:color w:val="000000" w:themeColor="text1"/>
                      <w:szCs w:val="21"/>
                    </w:rPr>
                    <w:t>污染物</w:t>
                  </w:r>
                </w:p>
              </w:tc>
              <w:tc>
                <w:tcPr>
                  <w:tcW w:w="2229" w:type="dxa"/>
                  <w:tcBorders>
                    <w:top w:val="single" w:color="000000" w:sz="8" w:space="0"/>
                    <w:bottom w:val="single" w:color="000000" w:sz="8" w:space="0"/>
                  </w:tcBorders>
                  <w:vAlign w:val="center"/>
                </w:tcPr>
                <w:p>
                  <w:pPr>
                    <w:jc w:val="center"/>
                    <w:rPr>
                      <w:rFonts w:ascii="Times New Roman" w:hAnsi="Times New Roman" w:eastAsia="宋体"/>
                      <w:b/>
                      <w:color w:val="000000" w:themeColor="text1"/>
                      <w:szCs w:val="21"/>
                    </w:rPr>
                  </w:pPr>
                  <w:r>
                    <w:rPr>
                      <w:rFonts w:ascii="Times New Roman" w:hAnsi="Times New Roman" w:eastAsia="宋体"/>
                      <w:b/>
                      <w:color w:val="000000" w:themeColor="text1"/>
                      <w:szCs w:val="21"/>
                    </w:rPr>
                    <w:t>核算排放浓度（mg/m</w:t>
                  </w:r>
                  <w:r>
                    <w:rPr>
                      <w:rFonts w:ascii="Times New Roman" w:hAnsi="Times New Roman" w:eastAsia="宋体"/>
                      <w:b/>
                      <w:color w:val="000000" w:themeColor="text1"/>
                      <w:szCs w:val="21"/>
                      <w:vertAlign w:val="superscript"/>
                    </w:rPr>
                    <w:t>3</w:t>
                  </w:r>
                  <w:r>
                    <w:rPr>
                      <w:rFonts w:ascii="Times New Roman" w:hAnsi="Times New Roman" w:eastAsia="宋体"/>
                      <w:b/>
                      <w:color w:val="000000" w:themeColor="text1"/>
                      <w:szCs w:val="21"/>
                    </w:rPr>
                    <w:t>）</w:t>
                  </w:r>
                </w:p>
              </w:tc>
              <w:tc>
                <w:tcPr>
                  <w:tcW w:w="2052" w:type="dxa"/>
                  <w:tcBorders>
                    <w:top w:val="single" w:color="000000" w:sz="8" w:space="0"/>
                    <w:bottom w:val="single" w:color="000000" w:sz="8" w:space="0"/>
                  </w:tcBorders>
                  <w:vAlign w:val="center"/>
                </w:tcPr>
                <w:p>
                  <w:pPr>
                    <w:jc w:val="center"/>
                    <w:rPr>
                      <w:rFonts w:ascii="Times New Roman" w:hAnsi="Times New Roman" w:eastAsia="宋体"/>
                      <w:b/>
                      <w:color w:val="000000" w:themeColor="text1"/>
                      <w:szCs w:val="21"/>
                    </w:rPr>
                  </w:pPr>
                  <w:r>
                    <w:rPr>
                      <w:rFonts w:ascii="Times New Roman" w:hAnsi="Times New Roman" w:eastAsia="宋体"/>
                      <w:b/>
                      <w:color w:val="000000" w:themeColor="text1"/>
                      <w:szCs w:val="21"/>
                    </w:rPr>
                    <w:t>核算排放速率（kg/h）</w:t>
                  </w:r>
                </w:p>
              </w:tc>
              <w:tc>
                <w:tcPr>
                  <w:tcW w:w="1902" w:type="dxa"/>
                  <w:tcBorders>
                    <w:top w:val="single" w:color="000000" w:sz="8" w:space="0"/>
                    <w:bottom w:val="single" w:color="000000" w:sz="8" w:space="0"/>
                  </w:tcBorders>
                  <w:vAlign w:val="center"/>
                </w:tcPr>
                <w:p>
                  <w:pPr>
                    <w:jc w:val="center"/>
                    <w:rPr>
                      <w:rFonts w:ascii="Times New Roman" w:hAnsi="Times New Roman" w:eastAsia="宋体"/>
                      <w:b/>
                      <w:color w:val="000000" w:themeColor="text1"/>
                      <w:szCs w:val="21"/>
                    </w:rPr>
                  </w:pPr>
                  <w:r>
                    <w:rPr>
                      <w:rFonts w:ascii="Times New Roman" w:hAnsi="Times New Roman" w:eastAsia="宋体"/>
                      <w:b/>
                      <w:color w:val="000000" w:themeColor="text1"/>
                      <w:szCs w:val="21"/>
                    </w:rPr>
                    <w:t>核算年排放量（t/a）</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916" w:type="dxa"/>
                  <w:gridSpan w:val="5"/>
                  <w:tcBorders>
                    <w:top w:val="single" w:color="000000" w:sz="8" w:space="0"/>
                  </w:tcBorders>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一般排放口</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87" w:type="dxa"/>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P</w:t>
                  </w:r>
                  <w:r>
                    <w:rPr>
                      <w:rFonts w:ascii="Times New Roman" w:hAnsi="Times New Roman" w:eastAsia="宋体"/>
                      <w:color w:val="000000" w:themeColor="text1"/>
                      <w:szCs w:val="21"/>
                      <w:vertAlign w:val="subscript"/>
                    </w:rPr>
                    <w:t>1</w:t>
                  </w:r>
                </w:p>
              </w:tc>
              <w:tc>
                <w:tcPr>
                  <w:tcW w:w="1146" w:type="dxa"/>
                  <w:vAlign w:val="center"/>
                </w:tcPr>
                <w:p>
                  <w:pPr>
                    <w:snapToGrid w:val="0"/>
                    <w:jc w:val="center"/>
                    <w:rPr>
                      <w:rFonts w:ascii="Times New Roman" w:hAnsi="Times New Roman" w:eastAsia="宋体"/>
                      <w:bCs/>
                      <w:color w:val="000000" w:themeColor="text1"/>
                      <w:szCs w:val="21"/>
                    </w:rPr>
                  </w:pPr>
                  <w:r>
                    <w:rPr>
                      <w:rFonts w:ascii="Times New Roman" w:hAnsi="Times New Roman" w:eastAsia="宋体"/>
                      <w:color w:val="000000" w:themeColor="text1"/>
                      <w:szCs w:val="21"/>
                    </w:rPr>
                    <w:t>非甲烷总烃</w:t>
                  </w:r>
                </w:p>
              </w:tc>
              <w:tc>
                <w:tcPr>
                  <w:tcW w:w="2229" w:type="dxa"/>
                  <w:vAlign w:val="center"/>
                </w:tcPr>
                <w:p>
                  <w:pPr>
                    <w:adjustRightInd w:val="0"/>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15.1</w:t>
                  </w:r>
                </w:p>
              </w:tc>
              <w:tc>
                <w:tcPr>
                  <w:tcW w:w="2052" w:type="dxa"/>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0.0</w:t>
                  </w:r>
                  <w:r>
                    <w:rPr>
                      <w:rFonts w:hint="eastAsia" w:ascii="Times New Roman" w:hAnsi="Times New Roman" w:eastAsia="宋体"/>
                      <w:color w:val="000000" w:themeColor="text1"/>
                      <w:szCs w:val="21"/>
                    </w:rPr>
                    <w:t>302</w:t>
                  </w:r>
                </w:p>
              </w:tc>
              <w:tc>
                <w:tcPr>
                  <w:tcW w:w="1902" w:type="dxa"/>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0.0</w:t>
                  </w:r>
                  <w:r>
                    <w:rPr>
                      <w:rFonts w:hint="eastAsia" w:ascii="Times New Roman" w:hAnsi="Times New Roman" w:eastAsia="宋体"/>
                      <w:color w:val="000000" w:themeColor="text1"/>
                      <w:szCs w:val="21"/>
                    </w:rPr>
                    <w:t>543</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87" w:type="dxa"/>
                  <w:tcBorders>
                    <w:bottom w:val="single" w:color="000000" w:sz="8" w:space="0"/>
                  </w:tcBorders>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有组织排放合计</w:t>
                  </w:r>
                </w:p>
              </w:tc>
              <w:tc>
                <w:tcPr>
                  <w:tcW w:w="5427" w:type="dxa"/>
                  <w:gridSpan w:val="3"/>
                  <w:tcBorders>
                    <w:bottom w:val="single" w:color="000000" w:sz="8" w:space="0"/>
                  </w:tcBorders>
                  <w:vAlign w:val="center"/>
                </w:tcPr>
                <w:p>
                  <w:pPr>
                    <w:snapToGrid w:val="0"/>
                    <w:jc w:val="center"/>
                    <w:rPr>
                      <w:rFonts w:ascii="Times New Roman" w:hAnsi="Times New Roman" w:eastAsia="宋体"/>
                      <w:bCs/>
                      <w:color w:val="000000" w:themeColor="text1"/>
                      <w:szCs w:val="21"/>
                    </w:rPr>
                  </w:pPr>
                  <w:r>
                    <w:rPr>
                      <w:rFonts w:ascii="Times New Roman" w:hAnsi="Times New Roman" w:eastAsia="宋体"/>
                      <w:color w:val="000000" w:themeColor="text1"/>
                      <w:szCs w:val="21"/>
                    </w:rPr>
                    <w:t>非甲烷总烃</w:t>
                  </w:r>
                </w:p>
              </w:tc>
              <w:tc>
                <w:tcPr>
                  <w:tcW w:w="1902" w:type="dxa"/>
                  <w:tcBorders>
                    <w:bottom w:val="single" w:color="000000" w:sz="8"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0.0</w:t>
                  </w:r>
                  <w:r>
                    <w:rPr>
                      <w:rFonts w:hint="eastAsia" w:ascii="Times New Roman" w:hAnsi="Times New Roman" w:eastAsia="宋体"/>
                      <w:color w:val="000000" w:themeColor="text1"/>
                      <w:szCs w:val="21"/>
                    </w:rPr>
                    <w:t>543</w:t>
                  </w:r>
                </w:p>
              </w:tc>
            </w:tr>
          </w:tbl>
          <w:p>
            <w:pPr>
              <w:pStyle w:val="119"/>
              <w:spacing w:before="0" w:line="440" w:lineRule="exact"/>
              <w:ind w:firstLine="0"/>
              <w:jc w:val="center"/>
              <w:rPr>
                <w:rFonts w:eastAsia="宋体" w:cs="Times New Roman"/>
                <w:b/>
                <w:bCs/>
                <w:color w:val="000000" w:themeColor="text1"/>
                <w:sz w:val="24"/>
                <w:szCs w:val="24"/>
              </w:rPr>
            </w:pPr>
            <w:r>
              <w:rPr>
                <w:rFonts w:eastAsia="宋体" w:cs="Times New Roman"/>
                <w:b/>
                <w:bCs/>
                <w:color w:val="000000" w:themeColor="text1"/>
                <w:sz w:val="24"/>
                <w:szCs w:val="24"/>
              </w:rPr>
              <w:t>表</w:t>
            </w:r>
            <w:r>
              <w:rPr>
                <w:rFonts w:hint="eastAsia" w:eastAsia="宋体" w:cs="Times New Roman"/>
                <w:b/>
                <w:bCs/>
                <w:color w:val="000000" w:themeColor="text1"/>
                <w:sz w:val="24"/>
                <w:szCs w:val="24"/>
              </w:rPr>
              <w:t xml:space="preserve">41    </w:t>
            </w:r>
            <w:r>
              <w:rPr>
                <w:rFonts w:eastAsia="宋体" w:cs="Times New Roman"/>
                <w:b/>
                <w:bCs/>
                <w:color w:val="000000" w:themeColor="text1"/>
                <w:sz w:val="24"/>
                <w:szCs w:val="24"/>
              </w:rPr>
              <w:t>大气污染物无组织排放量核算表</w:t>
            </w:r>
          </w:p>
          <w:tbl>
            <w:tblPr>
              <w:tblStyle w:val="24"/>
              <w:tblW w:w="9072"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57"/>
              <w:gridCol w:w="943"/>
              <w:gridCol w:w="1539"/>
              <w:gridCol w:w="1023"/>
              <w:gridCol w:w="1887"/>
              <w:gridCol w:w="1344"/>
              <w:gridCol w:w="167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2" w:type="pct"/>
                  <w:vMerge w:val="restart"/>
                  <w:tcBorders>
                    <w:top w:val="single" w:color="auto" w:sz="8" w:space="0"/>
                    <w:bottom w:val="single" w:color="auto" w:sz="4" w:space="0"/>
                  </w:tcBorders>
                  <w:vAlign w:val="center"/>
                </w:tcPr>
                <w:p>
                  <w:pPr>
                    <w:widowControl/>
                    <w:adjustRightInd w:val="0"/>
                    <w:snapToGrid w:val="0"/>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序号</w:t>
                  </w:r>
                </w:p>
              </w:tc>
              <w:tc>
                <w:tcPr>
                  <w:tcW w:w="520" w:type="pct"/>
                  <w:vMerge w:val="restart"/>
                  <w:tcBorders>
                    <w:top w:val="single" w:color="auto" w:sz="8" w:space="0"/>
                    <w:bottom w:val="single" w:color="auto" w:sz="4" w:space="0"/>
                  </w:tcBorders>
                  <w:vAlign w:val="center"/>
                </w:tcPr>
                <w:p>
                  <w:pPr>
                    <w:widowControl/>
                    <w:adjustRightInd w:val="0"/>
                    <w:snapToGrid w:val="0"/>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排放口</w:t>
                  </w:r>
                </w:p>
                <w:p>
                  <w:pPr>
                    <w:widowControl/>
                    <w:adjustRightInd w:val="0"/>
                    <w:snapToGrid w:val="0"/>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编号</w:t>
                  </w:r>
                </w:p>
              </w:tc>
              <w:tc>
                <w:tcPr>
                  <w:tcW w:w="848" w:type="pct"/>
                  <w:vMerge w:val="restart"/>
                  <w:tcBorders>
                    <w:top w:val="single" w:color="auto" w:sz="8" w:space="0"/>
                    <w:bottom w:val="single" w:color="auto" w:sz="4" w:space="0"/>
                  </w:tcBorders>
                  <w:vAlign w:val="center"/>
                </w:tcPr>
                <w:p>
                  <w:pPr>
                    <w:widowControl/>
                    <w:adjustRightInd w:val="0"/>
                    <w:snapToGrid w:val="0"/>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产污环节</w:t>
                  </w:r>
                </w:p>
              </w:tc>
              <w:tc>
                <w:tcPr>
                  <w:tcW w:w="564" w:type="pct"/>
                  <w:vMerge w:val="restart"/>
                  <w:tcBorders>
                    <w:top w:val="single" w:color="auto" w:sz="8" w:space="0"/>
                    <w:bottom w:val="single" w:color="auto" w:sz="4" w:space="0"/>
                  </w:tcBorders>
                  <w:vAlign w:val="center"/>
                </w:tcPr>
                <w:p>
                  <w:pPr>
                    <w:widowControl/>
                    <w:adjustRightInd w:val="0"/>
                    <w:snapToGrid w:val="0"/>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污染物</w:t>
                  </w:r>
                </w:p>
              </w:tc>
              <w:tc>
                <w:tcPr>
                  <w:tcW w:w="1781" w:type="pct"/>
                  <w:gridSpan w:val="2"/>
                  <w:tcBorders>
                    <w:top w:val="single" w:color="auto" w:sz="8" w:space="0"/>
                    <w:bottom w:val="single" w:color="auto" w:sz="4" w:space="0"/>
                  </w:tcBorders>
                  <w:vAlign w:val="center"/>
                </w:tcPr>
                <w:p>
                  <w:pPr>
                    <w:widowControl/>
                    <w:adjustRightInd w:val="0"/>
                    <w:snapToGrid w:val="0"/>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国家或地方污染物排放标准</w:t>
                  </w:r>
                </w:p>
              </w:tc>
              <w:tc>
                <w:tcPr>
                  <w:tcW w:w="925" w:type="pct"/>
                  <w:vMerge w:val="restart"/>
                  <w:tcBorders>
                    <w:top w:val="single" w:color="auto" w:sz="8" w:space="0"/>
                    <w:bottom w:val="single" w:color="auto" w:sz="8" w:space="0"/>
                  </w:tcBorders>
                  <w:vAlign w:val="center"/>
                </w:tcPr>
                <w:p>
                  <w:pPr>
                    <w:widowControl/>
                    <w:adjustRightInd w:val="0"/>
                    <w:snapToGrid w:val="0"/>
                    <w:jc w:val="center"/>
                    <w:rPr>
                      <w:rFonts w:ascii="Times New Roman" w:hAnsi="Times New Roman" w:eastAsia="宋体"/>
                      <w:color w:val="000000" w:themeColor="text1"/>
                      <w:szCs w:val="21"/>
                    </w:rPr>
                  </w:pPr>
                  <w:r>
                    <w:rPr>
                      <w:rFonts w:ascii="Times New Roman" w:hAnsi="Times New Roman" w:eastAsia="宋体"/>
                      <w:b/>
                      <w:bCs/>
                      <w:color w:val="000000" w:themeColor="text1"/>
                      <w:szCs w:val="21"/>
                    </w:rPr>
                    <w:t>年排放量（t/a）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2" w:type="pct"/>
                  <w:vMerge w:val="continue"/>
                  <w:tcBorders>
                    <w:top w:val="single" w:color="auto" w:sz="4" w:space="0"/>
                    <w:bottom w:val="single" w:color="auto" w:sz="8" w:space="0"/>
                  </w:tcBorders>
                  <w:vAlign w:val="center"/>
                </w:tcPr>
                <w:p>
                  <w:pPr>
                    <w:widowControl/>
                    <w:adjustRightInd w:val="0"/>
                    <w:snapToGrid w:val="0"/>
                    <w:jc w:val="center"/>
                    <w:rPr>
                      <w:rFonts w:ascii="Times New Roman" w:hAnsi="Times New Roman" w:eastAsia="宋体"/>
                      <w:b/>
                      <w:bCs/>
                      <w:color w:val="000000" w:themeColor="text1"/>
                      <w:szCs w:val="21"/>
                    </w:rPr>
                  </w:pPr>
                </w:p>
              </w:tc>
              <w:tc>
                <w:tcPr>
                  <w:tcW w:w="520" w:type="pct"/>
                  <w:vMerge w:val="continue"/>
                  <w:tcBorders>
                    <w:top w:val="single" w:color="auto" w:sz="4" w:space="0"/>
                    <w:bottom w:val="single" w:color="auto" w:sz="8" w:space="0"/>
                  </w:tcBorders>
                  <w:vAlign w:val="center"/>
                </w:tcPr>
                <w:p>
                  <w:pPr>
                    <w:widowControl/>
                    <w:adjustRightInd w:val="0"/>
                    <w:snapToGrid w:val="0"/>
                    <w:jc w:val="center"/>
                    <w:rPr>
                      <w:rFonts w:ascii="Times New Roman" w:hAnsi="Times New Roman" w:eastAsia="宋体"/>
                      <w:b/>
                      <w:bCs/>
                      <w:color w:val="000000" w:themeColor="text1"/>
                      <w:szCs w:val="21"/>
                    </w:rPr>
                  </w:pPr>
                </w:p>
              </w:tc>
              <w:tc>
                <w:tcPr>
                  <w:tcW w:w="848" w:type="pct"/>
                  <w:vMerge w:val="continue"/>
                  <w:tcBorders>
                    <w:top w:val="single" w:color="auto" w:sz="4" w:space="0"/>
                    <w:bottom w:val="single" w:color="auto" w:sz="8" w:space="0"/>
                  </w:tcBorders>
                  <w:vAlign w:val="center"/>
                </w:tcPr>
                <w:p>
                  <w:pPr>
                    <w:widowControl/>
                    <w:adjustRightInd w:val="0"/>
                    <w:snapToGrid w:val="0"/>
                    <w:jc w:val="center"/>
                    <w:rPr>
                      <w:rFonts w:ascii="Times New Roman" w:hAnsi="Times New Roman" w:eastAsia="宋体"/>
                      <w:b/>
                      <w:bCs/>
                      <w:color w:val="000000" w:themeColor="text1"/>
                      <w:szCs w:val="21"/>
                    </w:rPr>
                  </w:pPr>
                </w:p>
              </w:tc>
              <w:tc>
                <w:tcPr>
                  <w:tcW w:w="564" w:type="pct"/>
                  <w:vMerge w:val="continue"/>
                  <w:tcBorders>
                    <w:top w:val="single" w:color="auto" w:sz="4" w:space="0"/>
                    <w:bottom w:val="single" w:color="auto" w:sz="8" w:space="0"/>
                  </w:tcBorders>
                  <w:vAlign w:val="center"/>
                </w:tcPr>
                <w:p>
                  <w:pPr>
                    <w:widowControl/>
                    <w:adjustRightInd w:val="0"/>
                    <w:snapToGrid w:val="0"/>
                    <w:jc w:val="center"/>
                    <w:rPr>
                      <w:rFonts w:ascii="Times New Roman" w:hAnsi="Times New Roman" w:eastAsia="宋体"/>
                      <w:b/>
                      <w:bCs/>
                      <w:color w:val="000000" w:themeColor="text1"/>
                      <w:szCs w:val="21"/>
                    </w:rPr>
                  </w:pPr>
                </w:p>
              </w:tc>
              <w:tc>
                <w:tcPr>
                  <w:tcW w:w="1040" w:type="pct"/>
                  <w:tcBorders>
                    <w:top w:val="single" w:color="auto" w:sz="4" w:space="0"/>
                    <w:bottom w:val="single" w:color="auto" w:sz="8" w:space="0"/>
                  </w:tcBorders>
                  <w:vAlign w:val="center"/>
                </w:tcPr>
                <w:p>
                  <w:pPr>
                    <w:widowControl/>
                    <w:adjustRightInd w:val="0"/>
                    <w:snapToGrid w:val="0"/>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标准名称</w:t>
                  </w:r>
                </w:p>
              </w:tc>
              <w:tc>
                <w:tcPr>
                  <w:tcW w:w="741" w:type="pct"/>
                  <w:tcBorders>
                    <w:top w:val="single" w:color="auto" w:sz="4" w:space="0"/>
                    <w:bottom w:val="single" w:color="auto" w:sz="8" w:space="0"/>
                  </w:tcBorders>
                  <w:vAlign w:val="center"/>
                </w:tcPr>
                <w:p>
                  <w:pPr>
                    <w:widowControl/>
                    <w:adjustRightInd w:val="0"/>
                    <w:snapToGrid w:val="0"/>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浓度（mg/m</w:t>
                  </w:r>
                  <w:r>
                    <w:rPr>
                      <w:rFonts w:ascii="Times New Roman" w:hAnsi="Times New Roman" w:eastAsia="宋体"/>
                      <w:b/>
                      <w:bCs/>
                      <w:color w:val="000000" w:themeColor="text1"/>
                      <w:szCs w:val="21"/>
                      <w:vertAlign w:val="superscript"/>
                    </w:rPr>
                    <w:t>3</w:t>
                  </w:r>
                  <w:r>
                    <w:rPr>
                      <w:rFonts w:ascii="Times New Roman" w:hAnsi="Times New Roman" w:eastAsia="宋体"/>
                      <w:b/>
                      <w:bCs/>
                      <w:color w:val="000000" w:themeColor="text1"/>
                      <w:szCs w:val="21"/>
                    </w:rPr>
                    <w:t>）</w:t>
                  </w:r>
                </w:p>
              </w:tc>
              <w:tc>
                <w:tcPr>
                  <w:tcW w:w="925" w:type="pct"/>
                  <w:vMerge w:val="continue"/>
                  <w:tcBorders>
                    <w:top w:val="single" w:color="auto" w:sz="4" w:space="0"/>
                    <w:bottom w:val="single" w:color="auto" w:sz="8" w:space="0"/>
                  </w:tcBorders>
                  <w:vAlign w:val="center"/>
                </w:tcPr>
                <w:p>
                  <w:pPr>
                    <w:widowControl/>
                    <w:adjustRightInd w:val="0"/>
                    <w:snapToGrid w:val="0"/>
                    <w:jc w:val="center"/>
                    <w:rPr>
                      <w:rFonts w:ascii="Times New Roman" w:hAnsi="Times New Roman" w:eastAsia="宋体"/>
                      <w:color w:val="000000" w:themeColor="text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2" w:type="pct"/>
                  <w:tcBorders>
                    <w:top w:val="single" w:color="auto" w:sz="8" w:space="0"/>
                    <w:bottom w:val="single" w:color="auto" w:sz="4" w:space="0"/>
                  </w:tcBorders>
                  <w:vAlign w:val="center"/>
                </w:tcPr>
                <w:p>
                  <w:pPr>
                    <w:widowControl/>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1</w:t>
                  </w:r>
                </w:p>
              </w:tc>
              <w:tc>
                <w:tcPr>
                  <w:tcW w:w="520" w:type="pct"/>
                  <w:tcBorders>
                    <w:top w:val="single" w:color="auto" w:sz="8" w:space="0"/>
                    <w:bottom w:val="single" w:color="auto" w:sz="4" w:space="0"/>
                  </w:tcBorders>
                  <w:vAlign w:val="center"/>
                </w:tcPr>
                <w:p>
                  <w:pPr>
                    <w:widowControl/>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生产车间</w:t>
                  </w:r>
                </w:p>
              </w:tc>
              <w:tc>
                <w:tcPr>
                  <w:tcW w:w="848" w:type="pct"/>
                  <w:tcBorders>
                    <w:top w:val="single" w:color="auto" w:sz="8" w:space="0"/>
                    <w:bottom w:val="single" w:color="auto" w:sz="4" w:space="0"/>
                  </w:tcBorders>
                  <w:vAlign w:val="center"/>
                </w:tcPr>
                <w:p>
                  <w:pPr>
                    <w:widowControl/>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压合工序</w:t>
                  </w:r>
                </w:p>
              </w:tc>
              <w:tc>
                <w:tcPr>
                  <w:tcW w:w="564" w:type="pct"/>
                  <w:tcBorders>
                    <w:top w:val="single" w:color="auto" w:sz="8" w:space="0"/>
                    <w:bottom w:val="single" w:color="auto" w:sz="4" w:space="0"/>
                  </w:tcBorders>
                  <w:vAlign w:val="center"/>
                </w:tcPr>
                <w:p>
                  <w:pPr>
                    <w:widowControl/>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非甲烷总烃</w:t>
                  </w:r>
                </w:p>
              </w:tc>
              <w:tc>
                <w:tcPr>
                  <w:tcW w:w="1040" w:type="pct"/>
                  <w:tcBorders>
                    <w:top w:val="single" w:color="auto" w:sz="8" w:space="0"/>
                  </w:tcBorders>
                  <w:vAlign w:val="center"/>
                </w:tcPr>
                <w:p>
                  <w:pPr>
                    <w:widowControl/>
                    <w:adjustRightInd w:val="0"/>
                    <w:snapToGrid w:val="0"/>
                    <w:jc w:val="center"/>
                    <w:rPr>
                      <w:rFonts w:ascii="Times New Roman" w:hAnsi="Times New Roman" w:eastAsia="宋体"/>
                      <w:color w:val="000000" w:themeColor="text1"/>
                      <w:szCs w:val="21"/>
                    </w:rPr>
                  </w:pPr>
                  <w:r>
                    <w:rPr>
                      <w:rFonts w:ascii="Times New Roman" w:eastAsia="宋体"/>
                      <w:color w:val="000000" w:themeColor="text1"/>
                      <w:szCs w:val="21"/>
                    </w:rPr>
                    <w:t>《大气污染物综合排放标准详解》中的</w:t>
                  </w:r>
                  <w:r>
                    <w:rPr>
                      <w:rFonts w:hint="eastAsia" w:ascii="Times New Roman" w:eastAsia="宋体"/>
                      <w:color w:val="000000" w:themeColor="text1"/>
                      <w:szCs w:val="21"/>
                    </w:rPr>
                    <w:t>1h平均</w:t>
                  </w:r>
                </w:p>
              </w:tc>
              <w:tc>
                <w:tcPr>
                  <w:tcW w:w="741" w:type="pct"/>
                  <w:tcBorders>
                    <w:top w:val="single" w:color="auto" w:sz="8" w:space="0"/>
                    <w:bottom w:val="single" w:color="auto" w:sz="4" w:space="0"/>
                  </w:tcBorders>
                  <w:vAlign w:val="center"/>
                </w:tcPr>
                <w:p>
                  <w:pPr>
                    <w:widowControl/>
                    <w:adjustRightInd w:val="0"/>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2.0</w:t>
                  </w:r>
                </w:p>
              </w:tc>
              <w:tc>
                <w:tcPr>
                  <w:tcW w:w="925" w:type="pct"/>
                  <w:tcBorders>
                    <w:top w:val="single" w:color="auto" w:sz="8" w:space="0"/>
                    <w:bottom w:val="single" w:color="auto" w:sz="4" w:space="0"/>
                  </w:tcBorders>
                  <w:vAlign w:val="center"/>
                </w:tcPr>
                <w:p>
                  <w:pPr>
                    <w:widowControl/>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0.</w:t>
                  </w:r>
                  <w:r>
                    <w:rPr>
                      <w:rFonts w:hint="eastAsia" w:ascii="Times New Roman" w:hAnsi="Times New Roman" w:eastAsia="宋体"/>
                      <w:color w:val="000000" w:themeColor="text1"/>
                      <w:szCs w:val="21"/>
                    </w:rPr>
                    <w:t>0143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30" w:type="pct"/>
                  <w:gridSpan w:val="3"/>
                  <w:tcBorders>
                    <w:top w:val="single" w:color="auto" w:sz="4" w:space="0"/>
                    <w:bottom w:val="single" w:color="auto" w:sz="8" w:space="0"/>
                  </w:tcBorders>
                  <w:vAlign w:val="center"/>
                </w:tcPr>
                <w:p>
                  <w:pPr>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无组织排放合计</w:t>
                  </w:r>
                </w:p>
              </w:tc>
              <w:tc>
                <w:tcPr>
                  <w:tcW w:w="2345" w:type="pct"/>
                  <w:gridSpan w:val="3"/>
                  <w:tcBorders>
                    <w:top w:val="single" w:color="auto" w:sz="4" w:space="0"/>
                    <w:bottom w:val="single" w:color="auto" w:sz="8" w:space="0"/>
                  </w:tcBorders>
                  <w:vAlign w:val="center"/>
                </w:tcPr>
                <w:p>
                  <w:pPr>
                    <w:widowControl/>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非甲烷总烃</w:t>
                  </w:r>
                </w:p>
              </w:tc>
              <w:tc>
                <w:tcPr>
                  <w:tcW w:w="925" w:type="pct"/>
                  <w:tcBorders>
                    <w:top w:val="single" w:color="auto" w:sz="4" w:space="0"/>
                    <w:bottom w:val="single" w:color="auto" w:sz="8" w:space="0"/>
                  </w:tcBorders>
                  <w:vAlign w:val="center"/>
                </w:tcPr>
                <w:p>
                  <w:pPr>
                    <w:widowControl/>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0.</w:t>
                  </w:r>
                  <w:r>
                    <w:rPr>
                      <w:rFonts w:hint="eastAsia" w:ascii="Times New Roman" w:hAnsi="Times New Roman" w:eastAsia="宋体"/>
                      <w:color w:val="000000" w:themeColor="text1"/>
                      <w:szCs w:val="21"/>
                    </w:rPr>
                    <w:t>0143</w:t>
                  </w:r>
                </w:p>
              </w:tc>
            </w:tr>
          </w:tbl>
          <w:p>
            <w:pPr>
              <w:keepNext/>
              <w:spacing w:line="440" w:lineRule="exact"/>
              <w:jc w:val="center"/>
              <w:rPr>
                <w:rFonts w:ascii="Times New Roman" w:hAnsi="Times New Roman" w:eastAsia="宋体"/>
                <w:b/>
                <w:bCs/>
                <w:snapToGrid w:val="0"/>
                <w:color w:val="000000" w:themeColor="text1"/>
                <w:kern w:val="0"/>
                <w:sz w:val="24"/>
              </w:rPr>
            </w:pPr>
            <w:r>
              <w:rPr>
                <w:rFonts w:ascii="Times New Roman" w:hAnsi="Times New Roman" w:eastAsia="宋体"/>
                <w:b/>
                <w:bCs/>
                <w:snapToGrid w:val="0"/>
                <w:color w:val="000000" w:themeColor="text1"/>
                <w:kern w:val="0"/>
                <w:sz w:val="24"/>
              </w:rPr>
              <w:t>表</w:t>
            </w:r>
            <w:r>
              <w:rPr>
                <w:rFonts w:hint="eastAsia" w:ascii="Times New Roman" w:hAnsi="Times New Roman" w:eastAsia="宋体"/>
                <w:b/>
                <w:bCs/>
                <w:snapToGrid w:val="0"/>
                <w:color w:val="000000" w:themeColor="text1"/>
                <w:kern w:val="0"/>
                <w:sz w:val="24"/>
              </w:rPr>
              <w:t xml:space="preserve">42    </w:t>
            </w:r>
            <w:r>
              <w:rPr>
                <w:rFonts w:ascii="Times New Roman" w:hAnsi="Times New Roman" w:eastAsia="宋体"/>
                <w:b/>
                <w:bCs/>
                <w:snapToGrid w:val="0"/>
                <w:color w:val="000000" w:themeColor="text1"/>
                <w:kern w:val="0"/>
                <w:sz w:val="24"/>
              </w:rPr>
              <w:t>大气污染物年排放量核算表</w:t>
            </w:r>
          </w:p>
          <w:tbl>
            <w:tblPr>
              <w:tblStyle w:val="24"/>
              <w:tblW w:w="9072" w:type="dxa"/>
              <w:jc w:val="center"/>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autofit"/>
              <w:tblCellMar>
                <w:top w:w="0" w:type="dxa"/>
                <w:left w:w="108" w:type="dxa"/>
                <w:bottom w:w="0" w:type="dxa"/>
                <w:right w:w="108" w:type="dxa"/>
              </w:tblCellMar>
            </w:tblPr>
            <w:tblGrid>
              <w:gridCol w:w="992"/>
              <w:gridCol w:w="4262"/>
              <w:gridCol w:w="3818"/>
            </w:tblGrid>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547" w:type="pct"/>
                  <w:vAlign w:val="center"/>
                </w:tcPr>
                <w:p>
                  <w:pPr>
                    <w:snapToGrid w:val="0"/>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序号</w:t>
                  </w:r>
                </w:p>
              </w:tc>
              <w:tc>
                <w:tcPr>
                  <w:tcW w:w="2349" w:type="pct"/>
                  <w:vAlign w:val="center"/>
                </w:tcPr>
                <w:p>
                  <w:pPr>
                    <w:snapToGrid w:val="0"/>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污染物</w:t>
                  </w:r>
                </w:p>
              </w:tc>
              <w:tc>
                <w:tcPr>
                  <w:tcW w:w="2104" w:type="pct"/>
                  <w:vAlign w:val="center"/>
                </w:tcPr>
                <w:p>
                  <w:pPr>
                    <w:snapToGrid w:val="0"/>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年排放量t/a</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547" w:type="pct"/>
                  <w:vAlign w:val="center"/>
                </w:tcPr>
                <w:p>
                  <w:pPr>
                    <w:spacing w:line="240" w:lineRule="exact"/>
                    <w:ind w:left="-105" w:leftChars="-50" w:right="-105" w:rightChars="-50"/>
                    <w:jc w:val="center"/>
                    <w:rPr>
                      <w:rFonts w:ascii="Times New Roman" w:hAnsi="Times New Roman" w:eastAsia="宋体"/>
                      <w:bCs/>
                      <w:color w:val="000000" w:themeColor="text1"/>
                      <w:szCs w:val="20"/>
                    </w:rPr>
                  </w:pPr>
                  <w:r>
                    <w:rPr>
                      <w:rFonts w:ascii="Times New Roman" w:hAnsi="Times New Roman" w:eastAsia="宋体"/>
                      <w:bCs/>
                      <w:color w:val="000000" w:themeColor="text1"/>
                      <w:szCs w:val="20"/>
                    </w:rPr>
                    <w:t>1</w:t>
                  </w:r>
                </w:p>
              </w:tc>
              <w:tc>
                <w:tcPr>
                  <w:tcW w:w="2349" w:type="pct"/>
                  <w:vAlign w:val="center"/>
                </w:tcPr>
                <w:p>
                  <w:pPr>
                    <w:snapToGrid w:val="0"/>
                    <w:jc w:val="center"/>
                    <w:rPr>
                      <w:rFonts w:ascii="Times New Roman" w:hAnsi="Times New Roman" w:eastAsia="宋体"/>
                      <w:bCs/>
                      <w:color w:val="000000" w:themeColor="text1"/>
                      <w:szCs w:val="21"/>
                    </w:rPr>
                  </w:pPr>
                  <w:r>
                    <w:rPr>
                      <w:rFonts w:ascii="Times New Roman" w:hAnsi="Times New Roman" w:eastAsia="宋体"/>
                      <w:color w:val="000000" w:themeColor="text1"/>
                      <w:szCs w:val="21"/>
                    </w:rPr>
                    <w:t>非甲烷总烃</w:t>
                  </w:r>
                </w:p>
              </w:tc>
              <w:tc>
                <w:tcPr>
                  <w:tcW w:w="2104" w:type="pct"/>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0.0</w:t>
                  </w:r>
                  <w:r>
                    <w:rPr>
                      <w:rFonts w:hint="eastAsia" w:ascii="Times New Roman" w:hAnsi="Times New Roman" w:eastAsia="宋体"/>
                      <w:color w:val="000000" w:themeColor="text1"/>
                      <w:szCs w:val="21"/>
                    </w:rPr>
                    <w:t>686</w:t>
                  </w:r>
                </w:p>
              </w:tc>
            </w:tr>
          </w:tbl>
          <w:p>
            <w:pPr>
              <w:snapToGrid w:val="0"/>
              <w:spacing w:line="440" w:lineRule="exact"/>
              <w:ind w:firstLine="480" w:firstLineChars="200"/>
              <w:rPr>
                <w:rFonts w:ascii="Times New Roman" w:hAnsi="Times New Roman" w:eastAsia="宋体"/>
                <w:color w:val="000000" w:themeColor="text1"/>
                <w:sz w:val="24"/>
              </w:rPr>
            </w:pPr>
            <w:r>
              <w:rPr>
                <w:rFonts w:ascii="Times New Roman" w:hAnsi="Times New Roman" w:eastAsia="宋体"/>
                <w:color w:val="000000" w:themeColor="text1"/>
                <w:sz w:val="24"/>
              </w:rPr>
              <w:t>大气环境影响评价自查表见附件</w:t>
            </w:r>
            <w:r>
              <w:rPr>
                <w:rFonts w:hint="eastAsia" w:ascii="Times New Roman" w:hAnsi="Times New Roman" w:eastAsia="宋体"/>
                <w:color w:val="000000" w:themeColor="text1"/>
                <w:sz w:val="24"/>
              </w:rPr>
              <w:t>7</w:t>
            </w:r>
            <w:r>
              <w:rPr>
                <w:rFonts w:ascii="Times New Roman" w:hAnsi="Times New Roman" w:eastAsia="宋体"/>
                <w:color w:val="000000" w:themeColor="text1"/>
                <w:sz w:val="24"/>
              </w:rPr>
              <w:t>。</w:t>
            </w:r>
          </w:p>
          <w:p>
            <w:pPr>
              <w:pStyle w:val="5"/>
              <w:adjustRightInd w:val="0"/>
              <w:spacing w:line="440" w:lineRule="exact"/>
              <w:ind w:firstLine="482" w:firstLineChars="200"/>
              <w:textAlignment w:val="baseline"/>
              <w:rPr>
                <w:rFonts w:ascii="Times New Roman" w:hAnsi="Times New Roman"/>
                <w:b/>
                <w:bCs/>
                <w:color w:val="000000" w:themeColor="text1"/>
                <w:szCs w:val="24"/>
              </w:rPr>
            </w:pPr>
            <w:r>
              <w:rPr>
                <w:rFonts w:ascii="Times New Roman" w:hAnsi="Times New Roman"/>
                <w:b/>
                <w:bCs/>
                <w:color w:val="000000" w:themeColor="text1"/>
                <w:szCs w:val="24"/>
              </w:rPr>
              <w:t>4、大气环境防护距离的确定</w:t>
            </w:r>
          </w:p>
          <w:p>
            <w:pPr>
              <w:adjustRightInd w:val="0"/>
              <w:snapToGrid w:val="0"/>
              <w:spacing w:line="440" w:lineRule="exact"/>
              <w:ind w:firstLine="480" w:firstLineChars="200"/>
              <w:rPr>
                <w:rFonts w:ascii="Times New Roman" w:hAnsi="Times New Roman" w:eastAsia="宋体"/>
                <w:snapToGrid w:val="0"/>
                <w:color w:val="000000" w:themeColor="text1"/>
                <w:kern w:val="0"/>
                <w:sz w:val="24"/>
              </w:rPr>
            </w:pPr>
            <w:r>
              <w:rPr>
                <w:rFonts w:ascii="Times New Roman" w:hAnsi="Times New Roman" w:eastAsia="宋体"/>
                <w:color w:val="000000" w:themeColor="text1"/>
                <w:sz w:val="24"/>
              </w:rPr>
              <w:t>根据《环境影响评价技术导则 大气环境》（HJ2.2-2018）中的相关要求，本项目非甲烷总烃最大落地浓度值以及占标率分别为</w:t>
            </w:r>
            <w:r>
              <w:rPr>
                <w:rFonts w:hint="eastAsia" w:ascii="Times New Roman" w:hAnsi="Times New Roman" w:eastAsia="宋体"/>
                <w:color w:val="000000" w:themeColor="text1"/>
                <w:sz w:val="24"/>
              </w:rPr>
              <w:t>2.373</w:t>
            </w:r>
            <w:r>
              <w:rPr>
                <w:rFonts w:ascii="Times New Roman" w:hAnsi="Times New Roman" w:eastAsia="宋体"/>
                <w:color w:val="000000" w:themeColor="text1"/>
                <w:sz w:val="24"/>
              </w:rPr>
              <w:t>μg/m</w:t>
            </w:r>
            <w:r>
              <w:rPr>
                <w:rFonts w:ascii="Times New Roman" w:hAnsi="Times New Roman" w:eastAsia="宋体"/>
                <w:color w:val="000000" w:themeColor="text1"/>
                <w:sz w:val="24"/>
                <w:vertAlign w:val="superscript"/>
              </w:rPr>
              <w:t>3</w:t>
            </w:r>
            <w:r>
              <w:rPr>
                <w:rFonts w:ascii="Times New Roman" w:hAnsi="Times New Roman" w:eastAsia="宋体"/>
                <w:color w:val="000000" w:themeColor="text1"/>
                <w:sz w:val="24"/>
              </w:rPr>
              <w:t>和</w:t>
            </w:r>
            <w:r>
              <w:rPr>
                <w:rFonts w:hint="eastAsia" w:ascii="Times New Roman" w:hAnsi="Times New Roman" w:eastAsia="宋体"/>
                <w:color w:val="000000" w:themeColor="text1"/>
                <w:sz w:val="24"/>
              </w:rPr>
              <w:t>0.12</w:t>
            </w:r>
            <w:r>
              <w:rPr>
                <w:rFonts w:ascii="Times New Roman" w:hAnsi="Times New Roman" w:eastAsia="宋体"/>
                <w:color w:val="000000" w:themeColor="text1"/>
                <w:sz w:val="24"/>
              </w:rPr>
              <w:t>%</w:t>
            </w:r>
            <w:r>
              <w:rPr>
                <w:rFonts w:hint="eastAsia" w:ascii="Times New Roman" w:hAnsi="Times New Roman" w:eastAsia="宋体"/>
                <w:color w:val="000000" w:themeColor="text1"/>
                <w:sz w:val="24"/>
              </w:rPr>
              <w:t>；</w:t>
            </w:r>
            <w:r>
              <w:rPr>
                <w:rFonts w:ascii="Times New Roman" w:hAnsi="Times New Roman" w:eastAsia="宋体"/>
                <w:color w:val="000000" w:themeColor="text1"/>
                <w:sz w:val="24"/>
              </w:rPr>
              <w:t>厂界外大气污染物贡献浓度不超过环境质量浓度限值，因此无需设置大气环境防护距离。</w:t>
            </w:r>
          </w:p>
          <w:p>
            <w:pPr>
              <w:spacing w:line="440" w:lineRule="exact"/>
              <w:ind w:firstLine="482" w:firstLineChars="200"/>
              <w:rPr>
                <w:rFonts w:ascii="Times New Roman" w:hAnsi="Times New Roman" w:eastAsia="宋体"/>
                <w:b/>
                <w:bCs/>
                <w:color w:val="000000" w:themeColor="text1"/>
                <w:sz w:val="24"/>
              </w:rPr>
            </w:pPr>
            <w:r>
              <w:rPr>
                <w:rFonts w:ascii="Times New Roman" w:hAnsi="Times New Roman" w:eastAsia="宋体"/>
                <w:b/>
                <w:bCs/>
                <w:color w:val="000000" w:themeColor="text1"/>
                <w:sz w:val="24"/>
              </w:rPr>
              <w:t>5、卫生防护距离</w:t>
            </w:r>
          </w:p>
          <w:p>
            <w:pPr>
              <w:widowControl/>
              <w:spacing w:line="440" w:lineRule="exact"/>
              <w:ind w:firstLine="480" w:firstLineChars="200"/>
              <w:rPr>
                <w:rFonts w:ascii="Times New Roman" w:hAnsi="Times New Roman" w:eastAsia="宋体"/>
                <w:color w:val="000000" w:themeColor="text1"/>
                <w:sz w:val="24"/>
              </w:rPr>
            </w:pPr>
            <w:r>
              <w:rPr>
                <w:rFonts w:ascii="Times New Roman" w:hAnsi="Times New Roman" w:eastAsia="宋体"/>
                <w:color w:val="000000" w:themeColor="text1"/>
                <w:sz w:val="24"/>
              </w:rPr>
              <w:t>依据《制定地方大气污染物排放标准的技术方法》（GB/T13201-91）的规定，对无组织排放源与居住区之间设置卫生防护距离，计算公式如下：</w:t>
            </w:r>
          </w:p>
          <w:p>
            <w:pPr>
              <w:widowControl/>
              <w:spacing w:line="440" w:lineRule="exact"/>
              <w:ind w:firstLine="420" w:firstLineChars="200"/>
              <w:jc w:val="center"/>
              <w:rPr>
                <w:rFonts w:ascii="Times New Roman" w:hAnsi="Times New Roman" w:eastAsia="宋体"/>
                <w:color w:val="000000" w:themeColor="text1"/>
              </w:rPr>
            </w:pPr>
            <w:r>
              <w:rPr>
                <w:rFonts w:ascii="Times New Roman" w:hAnsi="Times New Roman" w:eastAsia="宋体"/>
                <w:color w:val="000000" w:themeColor="text1"/>
              </w:rPr>
              <w:drawing>
                <wp:inline distT="0" distB="0" distL="0" distR="0">
                  <wp:extent cx="2200275" cy="266700"/>
                  <wp:effectExtent l="0" t="0" r="0" b="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noChangeArrowheads="1"/>
                          </pic:cNvPicPr>
                        </pic:nvPicPr>
                        <pic:blipFill>
                          <a:blip r:embed="rId12"/>
                          <a:srcRect/>
                          <a:stretch>
                            <a:fillRect/>
                          </a:stretch>
                        </pic:blipFill>
                        <pic:spPr>
                          <a:xfrm>
                            <a:off x="0" y="0"/>
                            <a:ext cx="2200275" cy="266700"/>
                          </a:xfrm>
                          <a:prstGeom prst="rect">
                            <a:avLst/>
                          </a:prstGeom>
                          <a:noFill/>
                          <a:ln w="9525" cmpd="sng">
                            <a:noFill/>
                            <a:miter lim="800000"/>
                            <a:headEnd/>
                            <a:tailEnd/>
                          </a:ln>
                        </pic:spPr>
                      </pic:pic>
                    </a:graphicData>
                  </a:graphic>
                </wp:inline>
              </w:drawing>
            </w:r>
          </w:p>
          <w:p>
            <w:pPr>
              <w:widowControl/>
              <w:spacing w:line="440" w:lineRule="exact"/>
              <w:ind w:firstLine="480" w:firstLineChars="200"/>
              <w:rPr>
                <w:rFonts w:ascii="Times New Roman" w:hAnsi="Times New Roman" w:eastAsia="宋体"/>
                <w:color w:val="000000" w:themeColor="text1"/>
                <w:sz w:val="24"/>
              </w:rPr>
            </w:pPr>
            <w:r>
              <w:rPr>
                <w:rFonts w:ascii="Times New Roman" w:hAnsi="Times New Roman" w:eastAsia="宋体"/>
                <w:color w:val="000000" w:themeColor="text1"/>
                <w:sz w:val="24"/>
              </w:rPr>
              <w:t>式中：Qc——有害气体无组织排放量可以达到的控制水平（kg/h）；</w:t>
            </w:r>
          </w:p>
          <w:p>
            <w:pPr>
              <w:widowControl/>
              <w:spacing w:line="440" w:lineRule="exact"/>
              <w:ind w:firstLine="480" w:firstLineChars="200"/>
              <w:rPr>
                <w:rFonts w:ascii="Times New Roman" w:hAnsi="Times New Roman" w:eastAsia="宋体"/>
                <w:color w:val="000000" w:themeColor="text1"/>
                <w:sz w:val="24"/>
              </w:rPr>
            </w:pPr>
            <w:r>
              <w:rPr>
                <w:rFonts w:ascii="Times New Roman" w:hAnsi="Times New Roman" w:eastAsia="宋体"/>
                <w:color w:val="000000" w:themeColor="text1"/>
                <w:sz w:val="24"/>
              </w:rPr>
              <w:t xml:space="preserve"> Cm——标准浓度限值（mg/m</w:t>
            </w:r>
            <w:r>
              <w:rPr>
                <w:rFonts w:ascii="Times New Roman" w:hAnsi="Times New Roman" w:eastAsia="宋体"/>
                <w:color w:val="000000" w:themeColor="text1"/>
                <w:sz w:val="24"/>
                <w:vertAlign w:val="superscript"/>
              </w:rPr>
              <w:t>3</w:t>
            </w:r>
            <w:r>
              <w:rPr>
                <w:rFonts w:ascii="Times New Roman" w:hAnsi="Times New Roman" w:eastAsia="宋体"/>
                <w:color w:val="000000" w:themeColor="text1"/>
                <w:sz w:val="24"/>
              </w:rPr>
              <w:t>）；</w:t>
            </w:r>
          </w:p>
          <w:p>
            <w:pPr>
              <w:widowControl/>
              <w:spacing w:line="440" w:lineRule="exact"/>
              <w:ind w:firstLine="480" w:firstLineChars="200"/>
              <w:rPr>
                <w:rFonts w:ascii="Times New Roman" w:hAnsi="Times New Roman" w:eastAsia="宋体"/>
                <w:color w:val="000000" w:themeColor="text1"/>
                <w:sz w:val="24"/>
              </w:rPr>
            </w:pPr>
            <w:r>
              <w:rPr>
                <w:rFonts w:ascii="Times New Roman" w:hAnsi="Times New Roman" w:eastAsia="宋体"/>
                <w:color w:val="000000" w:themeColor="text1"/>
                <w:sz w:val="24"/>
              </w:rPr>
              <w:t xml:space="preserve"> L——所需卫生防护距离（m）；</w:t>
            </w:r>
          </w:p>
          <w:p>
            <w:pPr>
              <w:widowControl/>
              <w:spacing w:line="440" w:lineRule="exact"/>
              <w:ind w:firstLine="480" w:firstLineChars="200"/>
              <w:rPr>
                <w:rFonts w:ascii="Times New Roman" w:hAnsi="Times New Roman" w:eastAsia="宋体"/>
                <w:color w:val="000000" w:themeColor="text1"/>
                <w:sz w:val="24"/>
              </w:rPr>
            </w:pPr>
            <w:r>
              <w:rPr>
                <w:rFonts w:ascii="Times New Roman" w:hAnsi="Times New Roman" w:eastAsia="宋体"/>
                <w:color w:val="000000" w:themeColor="text1"/>
                <w:sz w:val="24"/>
              </w:rPr>
              <w:t xml:space="preserve"> R——有害气体无组织排放源所在生产单元的等效半径（m），根据该生产单元占地面积（m</w:t>
            </w:r>
            <w:r>
              <w:rPr>
                <w:rFonts w:ascii="Times New Roman" w:hAnsi="Times New Roman" w:eastAsia="宋体"/>
                <w:color w:val="000000" w:themeColor="text1"/>
                <w:sz w:val="24"/>
                <w:vertAlign w:val="superscript"/>
              </w:rPr>
              <w:t>2</w:t>
            </w:r>
            <w:r>
              <w:rPr>
                <w:rFonts w:ascii="Times New Roman" w:hAnsi="Times New Roman" w:eastAsia="宋体"/>
                <w:color w:val="000000" w:themeColor="text1"/>
                <w:sz w:val="24"/>
              </w:rPr>
              <w:t>）计算r=(S/π)</w:t>
            </w:r>
            <w:r>
              <w:rPr>
                <w:rFonts w:ascii="Times New Roman" w:hAnsi="Times New Roman" w:eastAsia="宋体"/>
                <w:color w:val="000000" w:themeColor="text1"/>
                <w:sz w:val="24"/>
                <w:vertAlign w:val="superscript"/>
              </w:rPr>
              <w:t>0.5</w:t>
            </w:r>
            <w:r>
              <w:rPr>
                <w:rFonts w:ascii="Times New Roman" w:hAnsi="Times New Roman" w:eastAsia="宋体"/>
                <w:color w:val="000000" w:themeColor="text1"/>
                <w:sz w:val="24"/>
              </w:rPr>
              <w:t>；</w:t>
            </w:r>
          </w:p>
          <w:p>
            <w:pPr>
              <w:widowControl/>
              <w:spacing w:line="440" w:lineRule="exact"/>
              <w:ind w:firstLine="480" w:firstLineChars="200"/>
              <w:rPr>
                <w:rFonts w:ascii="Times New Roman" w:hAnsi="Times New Roman" w:eastAsia="宋体"/>
                <w:color w:val="000000" w:themeColor="text1"/>
                <w:sz w:val="24"/>
              </w:rPr>
            </w:pPr>
            <w:r>
              <w:rPr>
                <w:rFonts w:ascii="Times New Roman" w:hAnsi="Times New Roman" w:eastAsia="宋体"/>
                <w:color w:val="000000" w:themeColor="text1"/>
                <w:sz w:val="24"/>
              </w:rPr>
              <w:t>A、B、C、D——卫生防护距离计算系数（无因次），从GB/T-13201-91中查取。</w:t>
            </w:r>
          </w:p>
          <w:p>
            <w:pPr>
              <w:widowControl/>
              <w:spacing w:line="440" w:lineRule="exact"/>
              <w:ind w:firstLine="480" w:firstLineChars="200"/>
              <w:outlineLvl w:val="0"/>
              <w:rPr>
                <w:rFonts w:ascii="Times New Roman" w:hAnsi="Times New Roman" w:eastAsia="宋体"/>
                <w:color w:val="000000" w:themeColor="text1"/>
                <w:sz w:val="24"/>
              </w:rPr>
            </w:pPr>
            <w:r>
              <w:rPr>
                <w:rFonts w:ascii="Times New Roman" w:hAnsi="Times New Roman" w:eastAsia="宋体"/>
                <w:color w:val="000000" w:themeColor="text1"/>
                <w:sz w:val="24"/>
              </w:rPr>
              <w:t>根据GB/T13201-91的规定（卫生防护距离在100m以内，级差为50m；超过100m但小于1000m时，级差为100m；超过1000m以上时，级差为200m。）将卫生防护距离的计算结果取整。</w:t>
            </w:r>
          </w:p>
          <w:p>
            <w:pPr>
              <w:widowControl/>
              <w:spacing w:line="440" w:lineRule="exact"/>
              <w:ind w:firstLine="480" w:firstLineChars="200"/>
              <w:outlineLvl w:val="0"/>
              <w:rPr>
                <w:rFonts w:ascii="Times New Roman" w:hAnsi="Times New Roman" w:eastAsia="宋体"/>
                <w:color w:val="000000" w:themeColor="text1"/>
                <w:sz w:val="24"/>
              </w:rPr>
            </w:pPr>
            <w:r>
              <w:rPr>
                <w:rFonts w:ascii="Times New Roman" w:hAnsi="Times New Roman" w:eastAsia="宋体"/>
                <w:color w:val="000000" w:themeColor="text1"/>
                <w:sz w:val="24"/>
              </w:rPr>
              <w:t>本次评价选取非甲烷总烃计算卫生防护距离，计算结果见表</w:t>
            </w:r>
            <w:r>
              <w:rPr>
                <w:rFonts w:hint="eastAsia" w:ascii="Times New Roman" w:hAnsi="Times New Roman" w:eastAsia="宋体"/>
                <w:color w:val="000000" w:themeColor="text1"/>
                <w:sz w:val="24"/>
              </w:rPr>
              <w:t>43</w:t>
            </w:r>
            <w:r>
              <w:rPr>
                <w:rFonts w:ascii="Times New Roman" w:hAnsi="Times New Roman" w:eastAsia="宋体"/>
                <w:color w:val="000000" w:themeColor="text1"/>
                <w:sz w:val="24"/>
              </w:rPr>
              <w:t>。</w:t>
            </w:r>
          </w:p>
          <w:p>
            <w:pPr>
              <w:pStyle w:val="119"/>
              <w:spacing w:before="0" w:line="440" w:lineRule="exact"/>
              <w:ind w:firstLine="0"/>
              <w:jc w:val="center"/>
              <w:rPr>
                <w:rFonts w:eastAsia="宋体" w:cs="Times New Roman"/>
                <w:b/>
                <w:bCs/>
                <w:color w:val="000000" w:themeColor="text1"/>
                <w:sz w:val="24"/>
                <w:szCs w:val="24"/>
              </w:rPr>
            </w:pPr>
            <w:r>
              <w:rPr>
                <w:rFonts w:eastAsia="宋体" w:cs="Times New Roman"/>
                <w:b/>
                <w:bCs/>
                <w:color w:val="000000" w:themeColor="text1"/>
                <w:sz w:val="24"/>
                <w:szCs w:val="24"/>
              </w:rPr>
              <w:t>表</w:t>
            </w:r>
            <w:r>
              <w:rPr>
                <w:rFonts w:hint="eastAsia" w:eastAsia="宋体" w:cs="Times New Roman"/>
                <w:b/>
                <w:bCs/>
                <w:color w:val="000000" w:themeColor="text1"/>
                <w:sz w:val="24"/>
                <w:szCs w:val="24"/>
              </w:rPr>
              <w:t xml:space="preserve">43    </w:t>
            </w:r>
            <w:r>
              <w:rPr>
                <w:rFonts w:eastAsia="宋体" w:cs="Times New Roman"/>
                <w:b/>
                <w:bCs/>
                <w:color w:val="000000" w:themeColor="text1"/>
                <w:sz w:val="24"/>
                <w:szCs w:val="24"/>
              </w:rPr>
              <w:t>卫生防护距离计算参数及结果一览表</w:t>
            </w:r>
          </w:p>
          <w:tbl>
            <w:tblPr>
              <w:tblStyle w:val="24"/>
              <w:tblW w:w="9072" w:type="dxa"/>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041"/>
              <w:gridCol w:w="1150"/>
              <w:gridCol w:w="581"/>
              <w:gridCol w:w="579"/>
              <w:gridCol w:w="566"/>
              <w:gridCol w:w="439"/>
              <w:gridCol w:w="572"/>
              <w:gridCol w:w="882"/>
              <w:gridCol w:w="1070"/>
              <w:gridCol w:w="1103"/>
              <w:gridCol w:w="1089"/>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574" w:type="pct"/>
                  <w:vMerge w:val="restart"/>
                  <w:tcBorders>
                    <w:top w:val="single" w:color="000000" w:sz="8" w:space="0"/>
                    <w:bottom w:val="single" w:color="000000" w:sz="4" w:space="0"/>
                  </w:tcBorders>
                  <w:vAlign w:val="center"/>
                </w:tcPr>
                <w:p>
                  <w:pPr>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排放源</w:t>
                  </w:r>
                </w:p>
              </w:tc>
              <w:tc>
                <w:tcPr>
                  <w:tcW w:w="634" w:type="pct"/>
                  <w:vMerge w:val="restart"/>
                  <w:tcBorders>
                    <w:top w:val="single" w:color="000000" w:sz="8" w:space="0"/>
                    <w:bottom w:val="single" w:color="000000" w:sz="4" w:space="0"/>
                  </w:tcBorders>
                  <w:vAlign w:val="center"/>
                </w:tcPr>
                <w:p>
                  <w:pPr>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污染</w:t>
                  </w:r>
                </w:p>
                <w:p>
                  <w:pPr>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因子</w:t>
                  </w:r>
                </w:p>
              </w:tc>
              <w:tc>
                <w:tcPr>
                  <w:tcW w:w="1193" w:type="pct"/>
                  <w:gridSpan w:val="4"/>
                  <w:tcBorders>
                    <w:top w:val="single" w:color="000000" w:sz="8" w:space="0"/>
                    <w:bottom w:val="single" w:color="000000" w:sz="4" w:space="0"/>
                    <w:right w:val="single" w:color="000000" w:sz="8" w:space="0"/>
                  </w:tcBorders>
                  <w:vAlign w:val="center"/>
                </w:tcPr>
                <w:p>
                  <w:pPr>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计算系数</w:t>
                  </w:r>
                </w:p>
              </w:tc>
              <w:tc>
                <w:tcPr>
                  <w:tcW w:w="315" w:type="pct"/>
                  <w:vMerge w:val="restart"/>
                  <w:tcBorders>
                    <w:top w:val="single" w:color="000000" w:sz="8" w:space="0"/>
                    <w:left w:val="single" w:color="000000" w:sz="8" w:space="0"/>
                    <w:bottom w:val="single" w:color="000000" w:sz="8" w:space="0"/>
                  </w:tcBorders>
                  <w:vAlign w:val="center"/>
                </w:tcPr>
                <w:p>
                  <w:pPr>
                    <w:adjustRightInd w:val="0"/>
                    <w:snapToGrid w:val="0"/>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S</w:t>
                  </w:r>
                </w:p>
                <w:p>
                  <w:pPr>
                    <w:adjustRightInd w:val="0"/>
                    <w:snapToGrid w:val="0"/>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(m</w:t>
                  </w:r>
                  <w:r>
                    <w:rPr>
                      <w:rFonts w:ascii="Times New Roman" w:hAnsi="Times New Roman" w:eastAsia="宋体"/>
                      <w:b/>
                      <w:bCs/>
                      <w:color w:val="000000" w:themeColor="text1"/>
                      <w:szCs w:val="21"/>
                      <w:vertAlign w:val="superscript"/>
                    </w:rPr>
                    <w:t>2</w:t>
                  </w:r>
                  <w:r>
                    <w:rPr>
                      <w:rFonts w:ascii="Times New Roman" w:hAnsi="Times New Roman" w:eastAsia="宋体"/>
                      <w:b/>
                      <w:bCs/>
                      <w:color w:val="000000" w:themeColor="text1"/>
                      <w:szCs w:val="21"/>
                    </w:rPr>
                    <w:t>)</w:t>
                  </w:r>
                </w:p>
              </w:tc>
              <w:tc>
                <w:tcPr>
                  <w:tcW w:w="486" w:type="pct"/>
                  <w:vMerge w:val="restart"/>
                  <w:tcBorders>
                    <w:top w:val="single" w:color="000000" w:sz="8" w:space="0"/>
                    <w:bottom w:val="single" w:color="000000" w:sz="8" w:space="0"/>
                  </w:tcBorders>
                  <w:vAlign w:val="center"/>
                </w:tcPr>
                <w:p>
                  <w:pPr>
                    <w:adjustRightInd w:val="0"/>
                    <w:snapToGrid w:val="0"/>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Qc</w:t>
                  </w:r>
                </w:p>
                <w:p>
                  <w:pPr>
                    <w:adjustRightInd w:val="0"/>
                    <w:snapToGrid w:val="0"/>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（kg/h）</w:t>
                  </w:r>
                </w:p>
              </w:tc>
              <w:tc>
                <w:tcPr>
                  <w:tcW w:w="590" w:type="pct"/>
                  <w:vMerge w:val="restart"/>
                  <w:tcBorders>
                    <w:top w:val="single" w:color="000000" w:sz="8" w:space="0"/>
                    <w:bottom w:val="single" w:color="000000" w:sz="8" w:space="0"/>
                  </w:tcBorders>
                  <w:vAlign w:val="center"/>
                </w:tcPr>
                <w:p>
                  <w:pPr>
                    <w:adjustRightInd w:val="0"/>
                    <w:snapToGrid w:val="0"/>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Cm</w:t>
                  </w:r>
                </w:p>
                <w:p>
                  <w:pPr>
                    <w:adjustRightInd w:val="0"/>
                    <w:snapToGrid w:val="0"/>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（mg/m</w:t>
                  </w:r>
                  <w:r>
                    <w:rPr>
                      <w:rFonts w:ascii="Times New Roman" w:hAnsi="Times New Roman" w:eastAsia="宋体"/>
                      <w:b/>
                      <w:bCs/>
                      <w:color w:val="000000" w:themeColor="text1"/>
                      <w:szCs w:val="21"/>
                      <w:vertAlign w:val="superscript"/>
                    </w:rPr>
                    <w:t>3</w:t>
                  </w:r>
                  <w:r>
                    <w:rPr>
                      <w:rFonts w:ascii="Times New Roman" w:hAnsi="Times New Roman" w:eastAsia="宋体"/>
                      <w:b/>
                      <w:bCs/>
                      <w:color w:val="000000" w:themeColor="text1"/>
                      <w:szCs w:val="21"/>
                    </w:rPr>
                    <w:t>）</w:t>
                  </w:r>
                </w:p>
              </w:tc>
              <w:tc>
                <w:tcPr>
                  <w:tcW w:w="608" w:type="pct"/>
                  <w:vMerge w:val="restart"/>
                  <w:tcBorders>
                    <w:top w:val="single" w:color="000000" w:sz="8" w:space="0"/>
                    <w:bottom w:val="single" w:color="000000" w:sz="8" w:space="0"/>
                  </w:tcBorders>
                  <w:vAlign w:val="center"/>
                </w:tcPr>
                <w:p>
                  <w:pPr>
                    <w:adjustRightInd w:val="0"/>
                    <w:snapToGrid w:val="0"/>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计算卫生防护距离(m)</w:t>
                  </w:r>
                </w:p>
              </w:tc>
              <w:tc>
                <w:tcPr>
                  <w:tcW w:w="603" w:type="pct"/>
                  <w:vMerge w:val="restart"/>
                  <w:tcBorders>
                    <w:top w:val="single" w:color="000000" w:sz="8" w:space="0"/>
                    <w:bottom w:val="single" w:color="000000" w:sz="8" w:space="0"/>
                  </w:tcBorders>
                  <w:vAlign w:val="center"/>
                </w:tcPr>
                <w:p>
                  <w:pPr>
                    <w:adjustRightInd w:val="0"/>
                    <w:snapToGrid w:val="0"/>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确定卫生防护距离(m)</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574" w:type="pct"/>
                  <w:vMerge w:val="continue"/>
                  <w:tcBorders>
                    <w:top w:val="single" w:color="000000" w:sz="4" w:space="0"/>
                    <w:bottom w:val="single" w:color="000000" w:sz="8" w:space="0"/>
                  </w:tcBorders>
                  <w:vAlign w:val="center"/>
                </w:tcPr>
                <w:p>
                  <w:pPr>
                    <w:jc w:val="center"/>
                    <w:rPr>
                      <w:rFonts w:ascii="Times New Roman" w:hAnsi="Times New Roman" w:eastAsia="宋体"/>
                      <w:b/>
                      <w:bCs/>
                      <w:color w:val="000000" w:themeColor="text1"/>
                      <w:szCs w:val="21"/>
                    </w:rPr>
                  </w:pPr>
                </w:p>
              </w:tc>
              <w:tc>
                <w:tcPr>
                  <w:tcW w:w="634" w:type="pct"/>
                  <w:vMerge w:val="continue"/>
                  <w:tcBorders>
                    <w:top w:val="single" w:color="000000" w:sz="4" w:space="0"/>
                    <w:bottom w:val="single" w:color="000000" w:sz="8" w:space="0"/>
                  </w:tcBorders>
                  <w:vAlign w:val="center"/>
                </w:tcPr>
                <w:p>
                  <w:pPr>
                    <w:jc w:val="center"/>
                    <w:rPr>
                      <w:rFonts w:ascii="Times New Roman" w:hAnsi="Times New Roman" w:eastAsia="宋体"/>
                      <w:b/>
                      <w:bCs/>
                      <w:color w:val="000000" w:themeColor="text1"/>
                      <w:szCs w:val="21"/>
                    </w:rPr>
                  </w:pPr>
                </w:p>
              </w:tc>
              <w:tc>
                <w:tcPr>
                  <w:tcW w:w="320" w:type="pct"/>
                  <w:tcBorders>
                    <w:top w:val="single" w:color="000000" w:sz="4" w:space="0"/>
                    <w:bottom w:val="single" w:color="000000" w:sz="8" w:space="0"/>
                  </w:tcBorders>
                  <w:vAlign w:val="center"/>
                </w:tcPr>
                <w:p>
                  <w:pPr>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A</w:t>
                  </w:r>
                </w:p>
              </w:tc>
              <w:tc>
                <w:tcPr>
                  <w:tcW w:w="319" w:type="pct"/>
                  <w:tcBorders>
                    <w:top w:val="single" w:color="000000" w:sz="4" w:space="0"/>
                    <w:bottom w:val="single" w:color="000000" w:sz="8" w:space="0"/>
                  </w:tcBorders>
                  <w:vAlign w:val="center"/>
                </w:tcPr>
                <w:p>
                  <w:pPr>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B</w:t>
                  </w:r>
                </w:p>
              </w:tc>
              <w:tc>
                <w:tcPr>
                  <w:tcW w:w="312" w:type="pct"/>
                  <w:tcBorders>
                    <w:top w:val="single" w:color="000000" w:sz="4" w:space="0"/>
                    <w:bottom w:val="single" w:color="000000" w:sz="8" w:space="0"/>
                  </w:tcBorders>
                  <w:vAlign w:val="center"/>
                </w:tcPr>
                <w:p>
                  <w:pPr>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C</w:t>
                  </w:r>
                </w:p>
              </w:tc>
              <w:tc>
                <w:tcPr>
                  <w:tcW w:w="241" w:type="pct"/>
                  <w:tcBorders>
                    <w:top w:val="single" w:color="000000" w:sz="4" w:space="0"/>
                    <w:bottom w:val="single" w:color="000000" w:sz="8" w:space="0"/>
                    <w:right w:val="single" w:color="000000" w:sz="8" w:space="0"/>
                  </w:tcBorders>
                  <w:vAlign w:val="center"/>
                </w:tcPr>
                <w:p>
                  <w:pPr>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D</w:t>
                  </w:r>
                </w:p>
              </w:tc>
              <w:tc>
                <w:tcPr>
                  <w:tcW w:w="315" w:type="pct"/>
                  <w:vMerge w:val="continue"/>
                  <w:tcBorders>
                    <w:top w:val="single" w:color="000000" w:sz="4" w:space="0"/>
                    <w:left w:val="single" w:color="000000" w:sz="8" w:space="0"/>
                    <w:bottom w:val="single" w:color="000000" w:sz="8" w:space="0"/>
                  </w:tcBorders>
                  <w:vAlign w:val="center"/>
                </w:tcPr>
                <w:p>
                  <w:pPr>
                    <w:jc w:val="center"/>
                    <w:rPr>
                      <w:rFonts w:ascii="Times New Roman" w:hAnsi="Times New Roman" w:eastAsia="宋体"/>
                      <w:color w:val="000000" w:themeColor="text1"/>
                      <w:szCs w:val="21"/>
                    </w:rPr>
                  </w:pPr>
                </w:p>
              </w:tc>
              <w:tc>
                <w:tcPr>
                  <w:tcW w:w="486" w:type="pct"/>
                  <w:vMerge w:val="continue"/>
                  <w:tcBorders>
                    <w:top w:val="single" w:color="000000" w:sz="4" w:space="0"/>
                    <w:bottom w:val="single" w:color="000000" w:sz="8" w:space="0"/>
                  </w:tcBorders>
                  <w:vAlign w:val="center"/>
                </w:tcPr>
                <w:p>
                  <w:pPr>
                    <w:jc w:val="center"/>
                    <w:rPr>
                      <w:rFonts w:ascii="Times New Roman" w:hAnsi="Times New Roman" w:eastAsia="宋体"/>
                      <w:color w:val="000000" w:themeColor="text1"/>
                      <w:szCs w:val="21"/>
                    </w:rPr>
                  </w:pPr>
                </w:p>
              </w:tc>
              <w:tc>
                <w:tcPr>
                  <w:tcW w:w="590" w:type="pct"/>
                  <w:vMerge w:val="continue"/>
                  <w:tcBorders>
                    <w:top w:val="single" w:color="000000" w:sz="4" w:space="0"/>
                    <w:bottom w:val="single" w:color="000000" w:sz="8" w:space="0"/>
                  </w:tcBorders>
                  <w:vAlign w:val="center"/>
                </w:tcPr>
                <w:p>
                  <w:pPr>
                    <w:jc w:val="center"/>
                    <w:rPr>
                      <w:rFonts w:ascii="Times New Roman" w:hAnsi="Times New Roman" w:eastAsia="宋体"/>
                      <w:color w:val="000000" w:themeColor="text1"/>
                      <w:szCs w:val="21"/>
                    </w:rPr>
                  </w:pPr>
                </w:p>
              </w:tc>
              <w:tc>
                <w:tcPr>
                  <w:tcW w:w="608" w:type="pct"/>
                  <w:vMerge w:val="continue"/>
                  <w:tcBorders>
                    <w:top w:val="single" w:color="000000" w:sz="4" w:space="0"/>
                    <w:bottom w:val="single" w:color="000000" w:sz="8" w:space="0"/>
                  </w:tcBorders>
                  <w:vAlign w:val="center"/>
                </w:tcPr>
                <w:p>
                  <w:pPr>
                    <w:jc w:val="center"/>
                    <w:rPr>
                      <w:rFonts w:ascii="Times New Roman" w:hAnsi="Times New Roman" w:eastAsia="宋体"/>
                      <w:color w:val="000000" w:themeColor="text1"/>
                      <w:szCs w:val="21"/>
                    </w:rPr>
                  </w:pPr>
                </w:p>
              </w:tc>
              <w:tc>
                <w:tcPr>
                  <w:tcW w:w="603" w:type="pct"/>
                  <w:vMerge w:val="continue"/>
                  <w:tcBorders>
                    <w:top w:val="single" w:color="000000" w:sz="4" w:space="0"/>
                    <w:bottom w:val="single" w:color="000000" w:sz="8" w:space="0"/>
                  </w:tcBorders>
                  <w:vAlign w:val="center"/>
                </w:tcPr>
                <w:p>
                  <w:pPr>
                    <w:jc w:val="center"/>
                    <w:rPr>
                      <w:rFonts w:ascii="Times New Roman" w:hAnsi="Times New Roman" w:eastAsia="宋体"/>
                      <w:color w:val="000000" w:themeColor="text1"/>
                      <w:szCs w:val="21"/>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397" w:hRule="atLeast"/>
                <w:jc w:val="center"/>
              </w:trPr>
              <w:tc>
                <w:tcPr>
                  <w:tcW w:w="574" w:type="pct"/>
                  <w:tcBorders>
                    <w:top w:val="single" w:color="000000" w:sz="8"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生产车间</w:t>
                  </w:r>
                </w:p>
              </w:tc>
              <w:tc>
                <w:tcPr>
                  <w:tcW w:w="634" w:type="pct"/>
                  <w:tcBorders>
                    <w:top w:val="single" w:color="000000" w:sz="8"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非甲烷总烃</w:t>
                  </w:r>
                </w:p>
              </w:tc>
              <w:tc>
                <w:tcPr>
                  <w:tcW w:w="320" w:type="pct"/>
                  <w:tcBorders>
                    <w:top w:val="single" w:color="000000" w:sz="8" w:space="0"/>
                  </w:tcBorders>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470</w:t>
                  </w:r>
                </w:p>
              </w:tc>
              <w:tc>
                <w:tcPr>
                  <w:tcW w:w="319" w:type="pct"/>
                  <w:tcBorders>
                    <w:top w:val="single" w:color="000000" w:sz="8" w:space="0"/>
                  </w:tcBorders>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0.021</w:t>
                  </w:r>
                </w:p>
              </w:tc>
              <w:tc>
                <w:tcPr>
                  <w:tcW w:w="312" w:type="pct"/>
                  <w:tcBorders>
                    <w:top w:val="single" w:color="000000" w:sz="8" w:space="0"/>
                  </w:tcBorders>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1.85</w:t>
                  </w:r>
                </w:p>
              </w:tc>
              <w:tc>
                <w:tcPr>
                  <w:tcW w:w="241" w:type="pct"/>
                  <w:tcBorders>
                    <w:top w:val="single" w:color="000000" w:sz="8" w:space="0"/>
                  </w:tcBorders>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0.84</w:t>
                  </w:r>
                </w:p>
              </w:tc>
              <w:tc>
                <w:tcPr>
                  <w:tcW w:w="315" w:type="pct"/>
                  <w:tcBorders>
                    <w:top w:val="single" w:color="000000" w:sz="8" w:space="0"/>
                  </w:tcBorders>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20</w:t>
                  </w:r>
                  <w:r>
                    <w:rPr>
                      <w:rFonts w:hint="eastAsia" w:ascii="Times New Roman" w:hAnsi="Times New Roman" w:eastAsia="宋体"/>
                      <w:color w:val="000000" w:themeColor="text1"/>
                      <w:szCs w:val="21"/>
                    </w:rPr>
                    <w:t>25</w:t>
                  </w:r>
                </w:p>
              </w:tc>
              <w:tc>
                <w:tcPr>
                  <w:tcW w:w="486" w:type="pct"/>
                  <w:tcBorders>
                    <w:top w:val="single" w:color="000000" w:sz="8" w:space="0"/>
                  </w:tcBorders>
                  <w:vAlign w:val="center"/>
                </w:tcPr>
                <w:p>
                  <w:pPr>
                    <w:pStyle w:val="106"/>
                    <w:kinsoku w:val="0"/>
                    <w:overflowPunct w:val="0"/>
                    <w:snapToGrid w:val="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0.0</w:t>
                  </w:r>
                  <w:r>
                    <w:rPr>
                      <w:rFonts w:hint="eastAsia" w:ascii="Times New Roman" w:hAnsi="Times New Roman" w:eastAsia="宋体"/>
                      <w:color w:val="000000" w:themeColor="text1"/>
                      <w:sz w:val="21"/>
                      <w:szCs w:val="21"/>
                    </w:rPr>
                    <w:t>079</w:t>
                  </w:r>
                </w:p>
              </w:tc>
              <w:tc>
                <w:tcPr>
                  <w:tcW w:w="590" w:type="pct"/>
                  <w:tcBorders>
                    <w:top w:val="single" w:color="000000" w:sz="8" w:space="0"/>
                  </w:tcBorders>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2.0</w:t>
                  </w:r>
                </w:p>
              </w:tc>
              <w:tc>
                <w:tcPr>
                  <w:tcW w:w="608" w:type="pct"/>
                  <w:tcBorders>
                    <w:top w:val="single" w:color="000000" w:sz="8" w:space="0"/>
                  </w:tcBorders>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0.102</w:t>
                  </w:r>
                </w:p>
              </w:tc>
              <w:tc>
                <w:tcPr>
                  <w:tcW w:w="603" w:type="pct"/>
                  <w:tcBorders>
                    <w:top w:val="single" w:color="000000" w:sz="8" w:space="0"/>
                  </w:tcBorders>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50</w:t>
                  </w:r>
                </w:p>
              </w:tc>
            </w:tr>
          </w:tbl>
          <w:p>
            <w:pPr>
              <w:spacing w:line="440" w:lineRule="exact"/>
              <w:ind w:firstLine="480" w:firstLineChars="200"/>
              <w:rPr>
                <w:rFonts w:ascii="Times New Roman" w:hAnsi="Times New Roman" w:eastAsia="宋体"/>
                <w:color w:val="000000" w:themeColor="text1"/>
                <w:sz w:val="24"/>
              </w:rPr>
            </w:pPr>
            <w:r>
              <w:rPr>
                <w:rFonts w:hint="eastAsia" w:ascii="Times New Roman" w:eastAsia="宋体"/>
                <w:color w:val="000000" w:themeColor="text1"/>
                <w:sz w:val="24"/>
              </w:rPr>
              <w:t>本项目非甲烷总烃的卫生防护距离为50m，根据</w:t>
            </w:r>
            <w:r>
              <w:rPr>
                <w:rFonts w:hint="eastAsia" w:ascii="Times New Roman" w:hAnsi="Times New Roman" w:eastAsia="宋体"/>
                <w:color w:val="000000" w:themeColor="text1"/>
                <w:sz w:val="24"/>
              </w:rPr>
              <w:t>《新乡市顺风船科技有限公司年产1000吨PVC塑料制品项目环境影响报告表》</w:t>
            </w:r>
            <w:r>
              <w:rPr>
                <w:rFonts w:ascii="Times New Roman" w:hAnsi="Times New Roman" w:eastAsia="宋体"/>
                <w:color w:val="000000" w:themeColor="text1"/>
                <w:sz w:val="24"/>
              </w:rPr>
              <w:t>可知，企业原有工程生产车间</w:t>
            </w:r>
            <w:r>
              <w:rPr>
                <w:rFonts w:hint="eastAsia" w:ascii="Times New Roman" w:hAnsi="Times New Roman" w:eastAsia="宋体"/>
                <w:color w:val="000000" w:themeColor="text1"/>
                <w:sz w:val="24"/>
              </w:rPr>
              <w:t>1</w:t>
            </w:r>
            <w:r>
              <w:rPr>
                <w:rFonts w:ascii="Times New Roman" w:hAnsi="Times New Roman" w:eastAsia="宋体"/>
                <w:color w:val="000000" w:themeColor="text1"/>
                <w:sz w:val="24"/>
              </w:rPr>
              <w:t>的卫生防护距离为</w:t>
            </w:r>
            <w:r>
              <w:rPr>
                <w:rFonts w:hint="eastAsia" w:ascii="Times New Roman" w:hAnsi="Times New Roman" w:eastAsia="宋体"/>
                <w:color w:val="000000" w:themeColor="text1"/>
                <w:sz w:val="24"/>
              </w:rPr>
              <w:t>100</w:t>
            </w:r>
            <w:r>
              <w:rPr>
                <w:rFonts w:ascii="Times New Roman" w:hAnsi="Times New Roman" w:eastAsia="宋体"/>
                <w:color w:val="000000" w:themeColor="text1"/>
                <w:sz w:val="24"/>
              </w:rPr>
              <w:t>m。根据</w:t>
            </w:r>
            <w:r>
              <w:rPr>
                <w:rFonts w:hint="eastAsia" w:ascii="Times New Roman" w:hAnsi="Times New Roman" w:eastAsia="宋体"/>
                <w:color w:val="000000" w:themeColor="text1"/>
                <w:sz w:val="24"/>
              </w:rPr>
              <w:t>《新乡市顺风船科技有限公司年产2800吨新型环保钙锌稳定剂项目环境影响报告表》可知，</w:t>
            </w:r>
            <w:r>
              <w:rPr>
                <w:rFonts w:ascii="Times New Roman" w:hAnsi="Times New Roman" w:eastAsia="宋体"/>
                <w:color w:val="000000" w:themeColor="text1"/>
                <w:sz w:val="24"/>
              </w:rPr>
              <w:t>企业原有工程生产车间</w:t>
            </w:r>
            <w:r>
              <w:rPr>
                <w:rFonts w:hint="eastAsia" w:ascii="Times New Roman" w:hAnsi="Times New Roman" w:eastAsia="宋体"/>
                <w:color w:val="000000" w:themeColor="text1"/>
                <w:sz w:val="24"/>
              </w:rPr>
              <w:t>2</w:t>
            </w:r>
            <w:r>
              <w:rPr>
                <w:rFonts w:ascii="Times New Roman" w:hAnsi="Times New Roman" w:eastAsia="宋体"/>
                <w:color w:val="000000" w:themeColor="text1"/>
                <w:sz w:val="24"/>
              </w:rPr>
              <w:t>的卫生防护距离为</w:t>
            </w:r>
            <w:r>
              <w:rPr>
                <w:rFonts w:hint="eastAsia" w:ascii="Times New Roman" w:hAnsi="Times New Roman" w:eastAsia="宋体"/>
                <w:color w:val="000000" w:themeColor="text1"/>
                <w:sz w:val="24"/>
              </w:rPr>
              <w:t>50</w:t>
            </w:r>
            <w:r>
              <w:rPr>
                <w:rFonts w:ascii="Times New Roman" w:hAnsi="Times New Roman" w:eastAsia="宋体"/>
                <w:color w:val="000000" w:themeColor="text1"/>
                <w:sz w:val="24"/>
              </w:rPr>
              <w:t>m。结合厂区平面布置，原有工程厂区确定的卫生防护距离为东厂界外</w:t>
            </w:r>
            <w:r>
              <w:rPr>
                <w:rFonts w:hint="eastAsia" w:ascii="Times New Roman" w:hAnsi="Times New Roman" w:eastAsia="宋体"/>
                <w:color w:val="000000" w:themeColor="text1"/>
                <w:sz w:val="24"/>
              </w:rPr>
              <w:t>95</w:t>
            </w:r>
            <w:r>
              <w:rPr>
                <w:rFonts w:ascii="Times New Roman" w:hAnsi="Times New Roman" w:eastAsia="宋体"/>
                <w:color w:val="000000" w:themeColor="text1"/>
                <w:sz w:val="24"/>
              </w:rPr>
              <w:t>m、南厂界外</w:t>
            </w:r>
            <w:r>
              <w:rPr>
                <w:rFonts w:hint="eastAsia" w:ascii="Times New Roman" w:hAnsi="Times New Roman" w:eastAsia="宋体"/>
                <w:color w:val="000000" w:themeColor="text1"/>
                <w:sz w:val="24"/>
              </w:rPr>
              <w:t>96</w:t>
            </w:r>
            <w:r>
              <w:rPr>
                <w:rFonts w:ascii="Times New Roman" w:hAnsi="Times New Roman" w:eastAsia="宋体"/>
                <w:color w:val="000000" w:themeColor="text1"/>
                <w:sz w:val="24"/>
              </w:rPr>
              <w:t>m、西厂界外</w:t>
            </w:r>
            <w:r>
              <w:rPr>
                <w:rFonts w:hint="eastAsia" w:ascii="Times New Roman" w:hAnsi="Times New Roman" w:eastAsia="宋体"/>
                <w:color w:val="000000" w:themeColor="text1"/>
                <w:sz w:val="24"/>
              </w:rPr>
              <w:t>95</w:t>
            </w:r>
            <w:r>
              <w:rPr>
                <w:rFonts w:ascii="Times New Roman" w:hAnsi="Times New Roman" w:eastAsia="宋体"/>
                <w:color w:val="000000" w:themeColor="text1"/>
                <w:sz w:val="24"/>
              </w:rPr>
              <w:t>m、北厂界外</w:t>
            </w:r>
            <w:r>
              <w:rPr>
                <w:rFonts w:hint="eastAsia" w:ascii="Times New Roman" w:hAnsi="Times New Roman" w:eastAsia="宋体"/>
                <w:color w:val="000000" w:themeColor="text1"/>
                <w:sz w:val="24"/>
              </w:rPr>
              <w:t>97</w:t>
            </w:r>
            <w:r>
              <w:rPr>
                <w:rFonts w:ascii="Times New Roman" w:hAnsi="Times New Roman" w:eastAsia="宋体"/>
                <w:color w:val="000000" w:themeColor="text1"/>
                <w:sz w:val="24"/>
              </w:rPr>
              <w:t>m。经现场调查，原有工程卫生防护距离范围内无居民区、学校、医院等环境保护目标，卫生防护距离可以满足要求。</w:t>
            </w:r>
          </w:p>
          <w:p>
            <w:pPr>
              <w:spacing w:line="440" w:lineRule="exact"/>
              <w:ind w:firstLine="480" w:firstLineChars="200"/>
              <w:rPr>
                <w:rFonts w:ascii="Times New Roman" w:hAnsi="Times New Roman" w:eastAsia="宋体"/>
                <w:bCs/>
                <w:color w:val="000000" w:themeColor="text1"/>
                <w:sz w:val="24"/>
              </w:rPr>
            </w:pPr>
            <w:r>
              <w:rPr>
                <w:rFonts w:ascii="Times New Roman" w:hAnsi="Times New Roman" w:eastAsia="宋体"/>
                <w:color w:val="000000" w:themeColor="text1"/>
                <w:sz w:val="24"/>
              </w:rPr>
              <w:t>本项目建设完成后</w:t>
            </w:r>
            <w:r>
              <w:rPr>
                <w:rFonts w:hint="eastAsia" w:ascii="Times New Roman" w:hAnsi="Times New Roman" w:eastAsia="宋体"/>
                <w:color w:val="000000" w:themeColor="text1"/>
                <w:sz w:val="24"/>
              </w:rPr>
              <w:t>，</w:t>
            </w:r>
            <w:r>
              <w:rPr>
                <w:rFonts w:hint="eastAsia" w:ascii="Times New Roman" w:eastAsia="宋体"/>
                <w:bCs/>
                <w:color w:val="000000" w:themeColor="text1"/>
                <w:sz w:val="24"/>
              </w:rPr>
              <w:t>全厂卫生防护距离为</w:t>
            </w:r>
            <w:r>
              <w:rPr>
                <w:rFonts w:ascii="Times New Roman" w:hAnsi="Times New Roman" w:eastAsia="宋体"/>
                <w:color w:val="000000" w:themeColor="text1"/>
                <w:sz w:val="24"/>
              </w:rPr>
              <w:t>东厂界外</w:t>
            </w:r>
            <w:r>
              <w:rPr>
                <w:rFonts w:hint="eastAsia" w:ascii="Times New Roman" w:hAnsi="Times New Roman" w:eastAsia="宋体"/>
                <w:color w:val="000000" w:themeColor="text1"/>
                <w:sz w:val="24"/>
              </w:rPr>
              <w:t>95</w:t>
            </w:r>
            <w:r>
              <w:rPr>
                <w:rFonts w:ascii="Times New Roman" w:hAnsi="Times New Roman" w:eastAsia="宋体"/>
                <w:color w:val="000000" w:themeColor="text1"/>
                <w:sz w:val="24"/>
              </w:rPr>
              <w:t>m、南厂界外</w:t>
            </w:r>
            <w:r>
              <w:rPr>
                <w:rFonts w:hint="eastAsia" w:ascii="Times New Roman" w:hAnsi="Times New Roman" w:eastAsia="宋体"/>
                <w:color w:val="000000" w:themeColor="text1"/>
                <w:sz w:val="24"/>
              </w:rPr>
              <w:t>96</w:t>
            </w:r>
            <w:r>
              <w:rPr>
                <w:rFonts w:ascii="Times New Roman" w:hAnsi="Times New Roman" w:eastAsia="宋体"/>
                <w:color w:val="000000" w:themeColor="text1"/>
                <w:sz w:val="24"/>
              </w:rPr>
              <w:t>m、西厂界外</w:t>
            </w:r>
            <w:r>
              <w:rPr>
                <w:rFonts w:hint="eastAsia" w:ascii="Times New Roman" w:hAnsi="Times New Roman" w:eastAsia="宋体"/>
                <w:color w:val="000000" w:themeColor="text1"/>
                <w:sz w:val="24"/>
              </w:rPr>
              <w:t>95</w:t>
            </w:r>
            <w:r>
              <w:rPr>
                <w:rFonts w:ascii="Times New Roman" w:hAnsi="Times New Roman" w:eastAsia="宋体"/>
                <w:color w:val="000000" w:themeColor="text1"/>
                <w:sz w:val="24"/>
              </w:rPr>
              <w:t>m、北厂界外</w:t>
            </w:r>
            <w:r>
              <w:rPr>
                <w:rFonts w:hint="eastAsia" w:ascii="Times New Roman" w:hAnsi="Times New Roman" w:eastAsia="宋体"/>
                <w:color w:val="000000" w:themeColor="text1"/>
                <w:sz w:val="24"/>
              </w:rPr>
              <w:t>97</w:t>
            </w:r>
            <w:r>
              <w:rPr>
                <w:rFonts w:ascii="Times New Roman" w:hAnsi="Times New Roman" w:eastAsia="宋体"/>
                <w:color w:val="000000" w:themeColor="text1"/>
                <w:sz w:val="24"/>
              </w:rPr>
              <w:t>m。</w:t>
            </w:r>
            <w:r>
              <w:rPr>
                <w:rFonts w:ascii="Times New Roman" w:hAnsi="Times New Roman" w:eastAsia="宋体"/>
                <w:bCs/>
                <w:color w:val="000000" w:themeColor="text1"/>
                <w:sz w:val="24"/>
              </w:rPr>
              <w:t>卫生防护距离不发生改变</w:t>
            </w:r>
            <w:r>
              <w:rPr>
                <w:rFonts w:hint="eastAsia" w:ascii="Times New Roman" w:eastAsia="宋体"/>
                <w:bCs/>
                <w:color w:val="000000" w:themeColor="text1"/>
                <w:sz w:val="24"/>
              </w:rPr>
              <w:t>。</w:t>
            </w:r>
          </w:p>
          <w:p>
            <w:pPr>
              <w:pStyle w:val="113"/>
              <w:adjustRightInd w:val="0"/>
              <w:snapToGrid w:val="0"/>
              <w:spacing w:line="440" w:lineRule="exact"/>
              <w:ind w:firstLine="482"/>
              <w:rPr>
                <w:rFonts w:ascii="Times New Roman" w:hAnsi="Times New Roman" w:eastAsia="宋体"/>
                <w:b/>
                <w:color w:val="000000" w:themeColor="text1"/>
                <w:sz w:val="24"/>
              </w:rPr>
            </w:pPr>
            <w:r>
              <w:rPr>
                <w:rFonts w:ascii="Times New Roman" w:hAnsi="Times New Roman" w:eastAsia="宋体"/>
                <w:b/>
                <w:color w:val="000000" w:themeColor="text1"/>
                <w:sz w:val="24"/>
              </w:rPr>
              <w:t>二、水环境影响分析</w:t>
            </w:r>
          </w:p>
          <w:p>
            <w:pPr>
              <w:adjustRightInd w:val="0"/>
              <w:snapToGrid w:val="0"/>
              <w:spacing w:line="440" w:lineRule="exact"/>
              <w:ind w:firstLine="482" w:firstLineChars="200"/>
              <w:rPr>
                <w:rFonts w:ascii="Times New Roman" w:hAnsi="Times New Roman" w:eastAsia="宋体"/>
                <w:b/>
                <w:bCs/>
                <w:color w:val="000000" w:themeColor="text1"/>
                <w:sz w:val="24"/>
              </w:rPr>
            </w:pPr>
            <w:r>
              <w:rPr>
                <w:rFonts w:ascii="Times New Roman" w:hAnsi="Times New Roman" w:eastAsia="宋体"/>
                <w:b/>
                <w:bCs/>
                <w:color w:val="000000" w:themeColor="text1"/>
                <w:sz w:val="24"/>
              </w:rPr>
              <w:t>1、地表水环境影响分析</w:t>
            </w:r>
          </w:p>
          <w:p>
            <w:pPr>
              <w:adjustRightInd w:val="0"/>
              <w:snapToGrid w:val="0"/>
              <w:spacing w:line="440" w:lineRule="exact"/>
              <w:ind w:firstLine="480" w:firstLineChars="200"/>
              <w:rPr>
                <w:rFonts w:ascii="Times New Roman" w:hAnsi="Times New Roman" w:eastAsia="宋体"/>
                <w:color w:val="000000" w:themeColor="text1"/>
                <w:sz w:val="24"/>
              </w:rPr>
            </w:pPr>
            <w:r>
              <w:rPr>
                <w:rFonts w:ascii="Times New Roman" w:hAnsi="Times New Roman" w:eastAsia="宋体"/>
                <w:color w:val="000000" w:themeColor="text1"/>
                <w:sz w:val="24"/>
              </w:rPr>
              <w:t>项目完成后营运期废水产生环节主要为模具冷却水。</w:t>
            </w:r>
            <w:r>
              <w:rPr>
                <w:rFonts w:hint="eastAsia" w:ascii="Times New Roman" w:eastAsia="宋体"/>
                <w:color w:val="000000" w:themeColor="text1"/>
                <w:sz w:val="24"/>
              </w:rPr>
              <w:t>本项目建成后利用原有项目职工，不新增职工，故本项目无生活污水产生。</w:t>
            </w:r>
          </w:p>
          <w:p>
            <w:pPr>
              <w:pStyle w:val="11"/>
              <w:adjustRightInd w:val="0"/>
              <w:spacing w:line="440" w:lineRule="exact"/>
              <w:ind w:left="0" w:right="0" w:firstLine="482" w:firstLineChars="200"/>
              <w:rPr>
                <w:rFonts w:ascii="Times New Roman" w:hAnsi="Times New Roman" w:eastAsia="宋体"/>
                <w:b/>
                <w:bCs/>
                <w:color w:val="000000" w:themeColor="text1"/>
                <w:szCs w:val="24"/>
              </w:rPr>
            </w:pPr>
            <w:r>
              <w:rPr>
                <w:rFonts w:ascii="Times New Roman" w:hAnsi="Times New Roman" w:eastAsia="宋体"/>
                <w:b/>
                <w:bCs/>
                <w:color w:val="000000" w:themeColor="text1"/>
                <w:kern w:val="0"/>
                <w:szCs w:val="24"/>
              </w:rPr>
              <w:t>（1）</w:t>
            </w:r>
            <w:r>
              <w:rPr>
                <w:rFonts w:ascii="Times New Roman" w:hAnsi="Times New Roman" w:eastAsia="宋体"/>
                <w:b/>
                <w:bCs/>
                <w:color w:val="000000" w:themeColor="text1"/>
                <w:szCs w:val="24"/>
              </w:rPr>
              <w:t>项目模具冷却用水</w:t>
            </w:r>
          </w:p>
          <w:p>
            <w:pPr>
              <w:pStyle w:val="11"/>
              <w:adjustRightInd w:val="0"/>
              <w:spacing w:line="440" w:lineRule="exact"/>
              <w:ind w:left="0" w:right="0" w:firstLine="480" w:firstLineChars="200"/>
              <w:rPr>
                <w:rFonts w:ascii="Times New Roman" w:hAnsi="Times New Roman" w:eastAsia="宋体"/>
                <w:color w:val="000000" w:themeColor="text1"/>
              </w:rPr>
            </w:pPr>
            <w:r>
              <w:rPr>
                <w:rFonts w:ascii="Times New Roman" w:hAnsi="Times New Roman" w:eastAsia="宋体"/>
                <w:bCs/>
                <w:color w:val="000000" w:themeColor="text1"/>
                <w:szCs w:val="24"/>
              </w:rPr>
              <w:t>项目</w:t>
            </w:r>
            <w:r>
              <w:rPr>
                <w:rFonts w:hint="eastAsia" w:ascii="Times New Roman" w:hAnsi="宋体" w:eastAsia="宋体"/>
                <w:bCs/>
                <w:color w:val="000000" w:themeColor="text1"/>
              </w:rPr>
              <w:t>高周波塑熔机在生产过程中需要使用一定量的冷却水对模具进行冷却，使模具保持到40℃的恒温。</w:t>
            </w:r>
            <w:r>
              <w:rPr>
                <w:rFonts w:ascii="Times New Roman" w:hAnsi="Times New Roman" w:eastAsia="宋体"/>
                <w:color w:val="000000" w:themeColor="text1"/>
              </w:rPr>
              <w:t>模具冷却水循环使用不外排</w:t>
            </w:r>
            <w:r>
              <w:rPr>
                <w:rFonts w:hint="eastAsia" w:ascii="Times New Roman" w:hAnsi="Times New Roman" w:eastAsia="宋体"/>
                <w:color w:val="000000" w:themeColor="text1"/>
              </w:rPr>
              <w:t>，</w:t>
            </w:r>
            <w:r>
              <w:rPr>
                <w:rFonts w:ascii="Times New Roman" w:hAnsi="Times New Roman" w:eastAsia="宋体"/>
                <w:color w:val="000000" w:themeColor="text1"/>
              </w:rPr>
              <w:t>定期补充</w:t>
            </w:r>
            <w:r>
              <w:rPr>
                <w:rFonts w:hint="eastAsia" w:ascii="Times New Roman" w:hAnsi="Times New Roman" w:eastAsia="宋体"/>
                <w:color w:val="000000" w:themeColor="text1"/>
              </w:rPr>
              <w:t>；</w:t>
            </w:r>
            <w:r>
              <w:rPr>
                <w:rFonts w:ascii="Times New Roman" w:hAnsi="Times New Roman" w:eastAsia="宋体"/>
                <w:color w:val="000000" w:themeColor="text1"/>
              </w:rPr>
              <w:t>循环水量为</w:t>
            </w:r>
            <w:r>
              <w:rPr>
                <w:rFonts w:hint="eastAsia" w:ascii="Times New Roman" w:hAnsi="Times New Roman" w:eastAsia="宋体"/>
                <w:color w:val="000000" w:themeColor="text1"/>
              </w:rPr>
              <w:t>0.2m</w:t>
            </w:r>
            <w:r>
              <w:rPr>
                <w:rFonts w:hint="eastAsia" w:ascii="Times New Roman" w:hAnsi="Times New Roman" w:eastAsia="宋体"/>
                <w:color w:val="000000" w:themeColor="text1"/>
                <w:vertAlign w:val="superscript"/>
              </w:rPr>
              <w:t>3</w:t>
            </w:r>
            <w:r>
              <w:rPr>
                <w:rFonts w:hint="eastAsia" w:ascii="Times New Roman" w:hAnsi="Times New Roman" w:eastAsia="宋体"/>
                <w:color w:val="000000" w:themeColor="text1"/>
              </w:rPr>
              <w:t>，补充量为0.02m</w:t>
            </w:r>
            <w:r>
              <w:rPr>
                <w:rFonts w:hint="eastAsia" w:ascii="Times New Roman" w:hAnsi="Times New Roman" w:eastAsia="宋体"/>
                <w:color w:val="000000" w:themeColor="text1"/>
                <w:vertAlign w:val="superscript"/>
              </w:rPr>
              <w:t>3</w:t>
            </w:r>
            <w:r>
              <w:rPr>
                <w:rFonts w:hint="eastAsia" w:ascii="Times New Roman" w:hAnsi="Times New Roman" w:eastAsia="宋体"/>
                <w:color w:val="000000" w:themeColor="text1"/>
              </w:rPr>
              <w:t>/d（6m</w:t>
            </w:r>
            <w:r>
              <w:rPr>
                <w:rFonts w:hint="eastAsia" w:ascii="Times New Roman" w:hAnsi="Times New Roman" w:eastAsia="宋体"/>
                <w:color w:val="000000" w:themeColor="text1"/>
                <w:vertAlign w:val="superscript"/>
              </w:rPr>
              <w:t>3</w:t>
            </w:r>
            <w:r>
              <w:rPr>
                <w:rFonts w:hint="eastAsia" w:ascii="Times New Roman" w:hAnsi="Times New Roman" w:eastAsia="宋体"/>
                <w:color w:val="000000" w:themeColor="text1"/>
              </w:rPr>
              <w:t>/a）。</w:t>
            </w:r>
          </w:p>
          <w:p>
            <w:pPr>
              <w:pStyle w:val="11"/>
              <w:adjustRightInd w:val="0"/>
              <w:spacing w:line="440" w:lineRule="exact"/>
              <w:ind w:left="0" w:right="0" w:firstLine="482" w:firstLineChars="200"/>
              <w:rPr>
                <w:rFonts w:ascii="Times New Roman" w:hAnsi="Times New Roman" w:eastAsia="宋体"/>
                <w:b/>
                <w:bCs/>
                <w:color w:val="000000" w:themeColor="text1"/>
                <w:szCs w:val="24"/>
              </w:rPr>
            </w:pPr>
            <w:r>
              <w:rPr>
                <w:rFonts w:ascii="Times New Roman" w:hAnsi="Times New Roman" w:eastAsia="宋体"/>
                <w:b/>
                <w:bCs/>
                <w:color w:val="000000" w:themeColor="text1"/>
                <w:kern w:val="0"/>
                <w:szCs w:val="24"/>
              </w:rPr>
              <w:t>（</w:t>
            </w:r>
            <w:r>
              <w:rPr>
                <w:rFonts w:hint="eastAsia" w:ascii="Times New Roman" w:hAnsi="Times New Roman" w:eastAsia="宋体"/>
                <w:b/>
                <w:bCs/>
                <w:color w:val="000000" w:themeColor="text1"/>
                <w:kern w:val="0"/>
                <w:szCs w:val="24"/>
              </w:rPr>
              <w:t>2</w:t>
            </w:r>
            <w:r>
              <w:rPr>
                <w:rFonts w:ascii="Times New Roman" w:hAnsi="Times New Roman" w:eastAsia="宋体"/>
                <w:b/>
                <w:bCs/>
                <w:color w:val="000000" w:themeColor="text1"/>
                <w:kern w:val="0"/>
                <w:szCs w:val="24"/>
              </w:rPr>
              <w:t>）</w:t>
            </w:r>
            <w:r>
              <w:rPr>
                <w:rFonts w:ascii="Times New Roman" w:hAnsi="Times New Roman" w:eastAsia="宋体"/>
                <w:b/>
                <w:bCs/>
                <w:color w:val="000000" w:themeColor="text1"/>
                <w:szCs w:val="24"/>
              </w:rPr>
              <w:t>生活污水</w:t>
            </w:r>
          </w:p>
          <w:p>
            <w:pPr>
              <w:adjustRightInd w:val="0"/>
              <w:snapToGrid w:val="0"/>
              <w:spacing w:line="440" w:lineRule="exact"/>
              <w:ind w:firstLine="480" w:firstLineChars="200"/>
              <w:rPr>
                <w:rFonts w:ascii="Times New Roman" w:eastAsia="宋体"/>
                <w:color w:val="000000" w:themeColor="text1"/>
                <w:sz w:val="24"/>
              </w:rPr>
            </w:pPr>
            <w:r>
              <w:rPr>
                <w:rFonts w:hint="eastAsia" w:ascii="Times New Roman" w:hAnsi="Times New Roman" w:eastAsia="宋体"/>
                <w:color w:val="000000" w:themeColor="text1"/>
                <w:sz w:val="24"/>
              </w:rPr>
              <w:t>新乡市顺风船科技有限公司</w:t>
            </w:r>
            <w:r>
              <w:rPr>
                <w:rFonts w:hint="eastAsia" w:ascii="Times New Roman" w:eastAsia="宋体"/>
                <w:color w:val="000000" w:themeColor="text1"/>
                <w:sz w:val="24"/>
              </w:rPr>
              <w:t>原有工程职工人数为</w:t>
            </w:r>
            <w:r>
              <w:rPr>
                <w:rFonts w:hint="eastAsia" w:ascii="Times New Roman" w:hAnsi="Times New Roman" w:eastAsia="宋体"/>
                <w:color w:val="000000" w:themeColor="text1"/>
                <w:sz w:val="24"/>
              </w:rPr>
              <w:t>42</w:t>
            </w:r>
            <w:r>
              <w:rPr>
                <w:rFonts w:hint="eastAsia" w:ascii="Times New Roman" w:eastAsia="宋体"/>
                <w:color w:val="000000" w:themeColor="text1"/>
                <w:sz w:val="24"/>
              </w:rPr>
              <w:t>人，每天工作</w:t>
            </w:r>
            <w:r>
              <w:rPr>
                <w:rFonts w:hint="eastAsia" w:ascii="Times New Roman" w:hAnsi="Times New Roman" w:eastAsia="宋体"/>
                <w:color w:val="000000" w:themeColor="text1"/>
                <w:sz w:val="24"/>
              </w:rPr>
              <w:t>8</w:t>
            </w:r>
            <w:r>
              <w:rPr>
                <w:rFonts w:hint="eastAsia" w:ascii="Times New Roman" w:eastAsia="宋体"/>
                <w:color w:val="000000" w:themeColor="text1"/>
                <w:sz w:val="24"/>
              </w:rPr>
              <w:t>小时，年工作</w:t>
            </w:r>
            <w:r>
              <w:rPr>
                <w:rFonts w:hint="eastAsia" w:ascii="Times New Roman" w:hAnsi="Times New Roman" w:eastAsia="宋体"/>
                <w:color w:val="000000" w:themeColor="text1"/>
                <w:sz w:val="24"/>
              </w:rPr>
              <w:t>300</w:t>
            </w:r>
            <w:r>
              <w:rPr>
                <w:rFonts w:hint="eastAsia" w:ascii="Times New Roman" w:eastAsia="宋体"/>
                <w:color w:val="000000" w:themeColor="text1"/>
                <w:sz w:val="24"/>
              </w:rPr>
              <w:t>天。均不在厂区食宿。本项目利用原有职工，不新增职工人数。故本项目无生活污水产生。原有工程</w:t>
            </w:r>
            <w:r>
              <w:rPr>
                <w:rFonts w:hint="eastAsia" w:ascii="Times New Roman" w:hAnsi="Times New Roman" w:eastAsia="宋体"/>
                <w:color w:val="000000" w:themeColor="text1"/>
                <w:sz w:val="24"/>
              </w:rPr>
              <w:t>生活污水</w:t>
            </w:r>
            <w:r>
              <w:rPr>
                <w:rFonts w:ascii="Times New Roman" w:hAnsi="Times New Roman" w:eastAsia="宋体"/>
                <w:color w:val="000000" w:themeColor="text1"/>
                <w:sz w:val="24"/>
              </w:rPr>
              <w:t>经防渗漏化粪池处理后，排放至</w:t>
            </w:r>
            <w:r>
              <w:rPr>
                <w:rFonts w:hint="eastAsia" w:ascii="Times New Roman" w:eastAsia="宋体"/>
                <w:color w:val="000000" w:themeColor="text1"/>
                <w:sz w:val="24"/>
              </w:rPr>
              <w:t>贾屯污水处理厂</w:t>
            </w:r>
            <w:r>
              <w:rPr>
                <w:rFonts w:ascii="Times New Roman" w:hAnsi="Times New Roman" w:eastAsia="宋体"/>
                <w:color w:val="000000" w:themeColor="text1"/>
                <w:sz w:val="24"/>
              </w:rPr>
              <w:t>处理</w:t>
            </w:r>
            <w:r>
              <w:rPr>
                <w:rFonts w:hint="eastAsia" w:ascii="Times New Roman" w:hAnsi="Times New Roman" w:eastAsia="宋体"/>
                <w:color w:val="000000" w:themeColor="text1"/>
                <w:sz w:val="24"/>
              </w:rPr>
              <w:t>。</w:t>
            </w:r>
          </w:p>
          <w:p>
            <w:pPr>
              <w:pStyle w:val="5"/>
              <w:spacing w:line="440" w:lineRule="exact"/>
              <w:ind w:firstLine="482" w:firstLineChars="200"/>
              <w:rPr>
                <w:rFonts w:ascii="Times New Roman" w:hAnsi="Times New Roman"/>
                <w:b/>
                <w:bCs/>
                <w:color w:val="000000" w:themeColor="text1"/>
              </w:rPr>
            </w:pPr>
            <w:r>
              <w:rPr>
                <w:rFonts w:ascii="Times New Roman" w:hAnsi="Times New Roman"/>
                <w:b/>
                <w:bCs/>
                <w:color w:val="000000" w:themeColor="text1"/>
              </w:rPr>
              <w:t>2、地下水环境影响分析</w:t>
            </w:r>
          </w:p>
          <w:p>
            <w:pPr>
              <w:adjustRightInd w:val="0"/>
              <w:snapToGrid w:val="0"/>
              <w:spacing w:line="440" w:lineRule="exact"/>
              <w:ind w:firstLine="480" w:firstLineChars="200"/>
              <w:textAlignment w:val="baseline"/>
              <w:rPr>
                <w:rFonts w:ascii="Times New Roman" w:hAnsi="Times New Roman" w:eastAsia="宋体"/>
                <w:color w:val="000000" w:themeColor="text1"/>
                <w:sz w:val="24"/>
              </w:rPr>
            </w:pPr>
            <w:r>
              <w:rPr>
                <w:rFonts w:ascii="宋体" w:hAnsi="宋体" w:eastAsia="宋体"/>
                <w:color w:val="000000" w:themeColor="text1"/>
                <w:sz w:val="24"/>
              </w:rPr>
              <w:t>本项目属于</w:t>
            </w:r>
            <w:r>
              <w:rPr>
                <w:rFonts w:hint="eastAsia" w:ascii="宋体" w:hAnsi="宋体" w:eastAsia="宋体"/>
                <w:color w:val="000000" w:themeColor="text1"/>
                <w:sz w:val="24"/>
              </w:rPr>
              <w:t>塑料制品项目，不涉及电镀或喷漆工艺</w:t>
            </w:r>
            <w:r>
              <w:rPr>
                <w:rFonts w:ascii="Times New Roman" w:hAnsi="Times New Roman" w:eastAsia="宋体"/>
                <w:color w:val="000000" w:themeColor="text1"/>
                <w:sz w:val="24"/>
              </w:rPr>
              <w:t>。根据《环境影响评价技术导则——地下水环境》（HJ610-2016），本项目为1</w:t>
            </w:r>
            <w:r>
              <w:rPr>
                <w:rFonts w:hint="eastAsia" w:ascii="Times New Roman" w:hAnsi="Times New Roman" w:eastAsia="宋体"/>
                <w:color w:val="000000" w:themeColor="text1"/>
                <w:sz w:val="24"/>
              </w:rPr>
              <w:t>16、塑料制品</w:t>
            </w:r>
            <w:r>
              <w:rPr>
                <w:rFonts w:ascii="Times New Roman" w:hAnsi="Times New Roman" w:eastAsia="宋体"/>
                <w:color w:val="000000" w:themeColor="text1"/>
                <w:sz w:val="24"/>
              </w:rPr>
              <w:t>制造，编制环境影响报告表的项目</w:t>
            </w:r>
            <w:r>
              <w:rPr>
                <w:rFonts w:hint="eastAsia" w:ascii="Times New Roman" w:hAnsi="Times New Roman" w:eastAsia="宋体"/>
                <w:color w:val="000000" w:themeColor="text1"/>
                <w:sz w:val="24"/>
              </w:rPr>
              <w:t>，</w:t>
            </w:r>
            <w:r>
              <w:rPr>
                <w:rFonts w:ascii="Times New Roman" w:hAnsi="Times New Roman" w:eastAsia="宋体"/>
                <w:color w:val="000000" w:themeColor="text1"/>
                <w:sz w:val="24"/>
              </w:rPr>
              <w:t>属于IV类建设项目，因此不需对地下水环境影响进行分析。</w:t>
            </w:r>
          </w:p>
          <w:p>
            <w:pPr>
              <w:adjustRightInd w:val="0"/>
              <w:snapToGrid w:val="0"/>
              <w:spacing w:line="440" w:lineRule="exact"/>
              <w:ind w:firstLine="482" w:firstLineChars="200"/>
              <w:rPr>
                <w:rFonts w:ascii="Times New Roman" w:hAnsi="Times New Roman" w:eastAsia="宋体"/>
                <w:b/>
                <w:bCs/>
                <w:color w:val="000000" w:themeColor="text1"/>
                <w:sz w:val="24"/>
              </w:rPr>
            </w:pPr>
            <w:r>
              <w:rPr>
                <w:rFonts w:ascii="Times New Roman" w:hAnsi="Times New Roman" w:eastAsia="宋体"/>
                <w:b/>
                <w:bCs/>
                <w:color w:val="000000" w:themeColor="text1"/>
                <w:sz w:val="24"/>
              </w:rPr>
              <w:t>三、</w:t>
            </w:r>
            <w:r>
              <w:rPr>
                <w:rFonts w:ascii="Times New Roman" w:hAnsi="Times New Roman" w:eastAsia="宋体"/>
                <w:b/>
                <w:snapToGrid w:val="0"/>
                <w:color w:val="000000" w:themeColor="text1"/>
                <w:kern w:val="0"/>
                <w:sz w:val="24"/>
              </w:rPr>
              <w:t>噪声环境影响分析</w:t>
            </w:r>
          </w:p>
          <w:p>
            <w:pPr>
              <w:adjustRightInd w:val="0"/>
              <w:snapToGrid w:val="0"/>
              <w:spacing w:line="440" w:lineRule="exact"/>
              <w:ind w:firstLine="482" w:firstLineChars="200"/>
              <w:rPr>
                <w:rFonts w:ascii="Times New Roman" w:hAnsi="Times New Roman" w:eastAsia="宋体"/>
                <w:b/>
                <w:bCs/>
                <w:color w:val="000000" w:themeColor="text1"/>
                <w:sz w:val="24"/>
              </w:rPr>
            </w:pPr>
            <w:bookmarkStart w:id="14" w:name="OLE_LINK4"/>
            <w:bookmarkStart w:id="15" w:name="OLE_LINK5"/>
            <w:r>
              <w:rPr>
                <w:rFonts w:ascii="Times New Roman" w:hAnsi="Times New Roman" w:eastAsia="宋体"/>
                <w:b/>
                <w:bCs/>
                <w:color w:val="000000" w:themeColor="text1"/>
                <w:sz w:val="24"/>
              </w:rPr>
              <w:t>1、源强分析</w:t>
            </w:r>
          </w:p>
          <w:p>
            <w:pPr>
              <w:autoSpaceDE w:val="0"/>
              <w:autoSpaceDN w:val="0"/>
              <w:adjustRightInd w:val="0"/>
              <w:spacing w:line="440" w:lineRule="exact"/>
              <w:ind w:firstLine="480" w:firstLineChars="200"/>
              <w:rPr>
                <w:rFonts w:ascii="Times New Roman" w:hAnsi="Times New Roman" w:eastAsia="宋体"/>
                <w:color w:val="000000" w:themeColor="text1"/>
                <w:kern w:val="0"/>
                <w:sz w:val="24"/>
              </w:rPr>
            </w:pPr>
            <w:r>
              <w:rPr>
                <w:rFonts w:ascii="Times New Roman" w:hAnsi="Times New Roman" w:eastAsia="宋体"/>
                <w:color w:val="000000" w:themeColor="text1"/>
                <w:sz w:val="24"/>
              </w:rPr>
              <w:t>项目噪声源主要为</w:t>
            </w:r>
            <w:r>
              <w:rPr>
                <w:rFonts w:hint="eastAsia" w:ascii="Times New Roman" w:hAnsi="宋体" w:eastAsia="宋体"/>
                <w:bCs/>
                <w:color w:val="000000" w:themeColor="text1"/>
                <w:sz w:val="24"/>
              </w:rPr>
              <w:t>高周波塑熔机</w:t>
            </w:r>
            <w:r>
              <w:rPr>
                <w:rFonts w:hint="eastAsia" w:ascii="Times New Roman" w:hAnsi="Times New Roman" w:eastAsia="宋体"/>
                <w:color w:val="000000" w:themeColor="text1"/>
                <w:sz w:val="24"/>
              </w:rPr>
              <w:t>和空压机</w:t>
            </w:r>
            <w:r>
              <w:rPr>
                <w:rFonts w:ascii="Times New Roman" w:hAnsi="Times New Roman" w:eastAsia="宋体"/>
                <w:color w:val="000000" w:themeColor="text1"/>
                <w:sz w:val="24"/>
              </w:rPr>
              <w:t>设备生产</w:t>
            </w:r>
            <w:r>
              <w:rPr>
                <w:rFonts w:ascii="Times New Roman" w:hAnsi="Times New Roman" w:eastAsia="宋体"/>
                <w:color w:val="000000" w:themeColor="text1"/>
                <w:kern w:val="0"/>
                <w:sz w:val="24"/>
              </w:rPr>
              <w:t>运行时产生的机械噪声</w:t>
            </w:r>
            <w:r>
              <w:rPr>
                <w:rFonts w:ascii="Times New Roman" w:hAnsi="Times New Roman" w:eastAsia="宋体"/>
                <w:color w:val="000000" w:themeColor="text1"/>
                <w:sz w:val="24"/>
              </w:rPr>
              <w:t>，源强在60-75dB（A）之间</w:t>
            </w:r>
            <w:r>
              <w:rPr>
                <w:rFonts w:ascii="Times New Roman" w:hAnsi="Times New Roman" w:eastAsia="宋体"/>
                <w:color w:val="000000" w:themeColor="text1"/>
                <w:kern w:val="0"/>
                <w:sz w:val="24"/>
                <w:lang w:val="zh-CN"/>
              </w:rPr>
              <w:t>。评价建议采用</w:t>
            </w:r>
            <w:r>
              <w:rPr>
                <w:rFonts w:hint="eastAsia" w:asciiTheme="minorEastAsia" w:hAnsiTheme="minorEastAsia" w:eastAsiaTheme="minorEastAsia"/>
                <w:color w:val="000000" w:themeColor="text1"/>
                <w:sz w:val="24"/>
              </w:rPr>
              <w:t>基础减振、距离衰减、厂房隔声</w:t>
            </w:r>
            <w:r>
              <w:rPr>
                <w:rFonts w:ascii="Times New Roman" w:hAnsi="Times New Roman" w:eastAsia="宋体"/>
                <w:color w:val="000000" w:themeColor="text1"/>
                <w:kern w:val="0"/>
                <w:sz w:val="24"/>
              </w:rPr>
              <w:t>等降噪措施后，</w:t>
            </w:r>
            <w:r>
              <w:rPr>
                <w:rFonts w:ascii="Times New Roman" w:hAnsi="Times New Roman" w:eastAsia="宋体"/>
                <w:color w:val="000000" w:themeColor="text1"/>
                <w:kern w:val="0"/>
                <w:sz w:val="24"/>
                <w:lang w:val="zh-CN"/>
              </w:rPr>
              <w:t>其噪声源强在</w:t>
            </w:r>
            <w:r>
              <w:rPr>
                <w:rFonts w:ascii="Times New Roman" w:hAnsi="Times New Roman" w:eastAsia="宋体"/>
                <w:color w:val="000000" w:themeColor="text1"/>
                <w:kern w:val="0"/>
                <w:sz w:val="24"/>
              </w:rPr>
              <w:t>30-45dB</w:t>
            </w:r>
            <w:r>
              <w:rPr>
                <w:rFonts w:ascii="Times New Roman" w:hAnsi="Times New Roman" w:eastAsia="宋体"/>
                <w:color w:val="000000" w:themeColor="text1"/>
                <w:kern w:val="0"/>
                <w:sz w:val="24"/>
                <w:lang w:val="zh-CN"/>
              </w:rPr>
              <w:t>(A)之间</w:t>
            </w:r>
            <w:r>
              <w:rPr>
                <w:rFonts w:ascii="Times New Roman" w:hAnsi="Times New Roman" w:eastAsia="宋体"/>
                <w:color w:val="000000" w:themeColor="text1"/>
                <w:kern w:val="0"/>
                <w:sz w:val="24"/>
              </w:rPr>
              <w:t>。</w:t>
            </w:r>
          </w:p>
          <w:p>
            <w:pPr>
              <w:pStyle w:val="5"/>
              <w:spacing w:line="440" w:lineRule="exact"/>
              <w:ind w:firstLine="480" w:firstLineChars="200"/>
              <w:rPr>
                <w:rFonts w:ascii="Times New Roman" w:hAnsi="Times New Roman"/>
                <w:color w:val="000000" w:themeColor="text1"/>
                <w:lang w:val="zh-CN"/>
              </w:rPr>
            </w:pPr>
            <w:r>
              <w:rPr>
                <w:rFonts w:ascii="Times New Roman" w:hAnsi="Times New Roman"/>
                <w:color w:val="000000" w:themeColor="text1"/>
                <w:lang w:val="zh-CN"/>
              </w:rPr>
              <w:t>项目噪声污染源源强见表</w:t>
            </w:r>
            <w:r>
              <w:rPr>
                <w:rFonts w:ascii="Times New Roman" w:hAnsi="Times New Roman"/>
                <w:color w:val="000000" w:themeColor="text1"/>
              </w:rPr>
              <w:t>4</w:t>
            </w:r>
            <w:r>
              <w:rPr>
                <w:rFonts w:hint="eastAsia" w:ascii="Times New Roman" w:hAnsi="Times New Roman"/>
                <w:color w:val="000000" w:themeColor="text1"/>
              </w:rPr>
              <w:t>4</w:t>
            </w:r>
            <w:r>
              <w:rPr>
                <w:rFonts w:ascii="Times New Roman" w:hAnsi="Times New Roman"/>
                <w:color w:val="000000" w:themeColor="text1"/>
                <w:lang w:val="zh-CN"/>
              </w:rPr>
              <w:t>。</w:t>
            </w:r>
          </w:p>
          <w:p>
            <w:pPr>
              <w:adjustRightInd w:val="0"/>
              <w:snapToGrid w:val="0"/>
              <w:spacing w:line="440" w:lineRule="exact"/>
              <w:jc w:val="center"/>
              <w:rPr>
                <w:rFonts w:ascii="Times New Roman" w:hAnsi="Times New Roman" w:eastAsia="宋体"/>
                <w:b/>
                <w:color w:val="000000" w:themeColor="text1"/>
                <w:sz w:val="24"/>
                <w:lang w:val="zh-CN"/>
              </w:rPr>
            </w:pPr>
            <w:r>
              <w:rPr>
                <w:rFonts w:ascii="Times New Roman" w:hAnsi="Times New Roman" w:eastAsia="宋体"/>
                <w:b/>
                <w:color w:val="000000" w:themeColor="text1"/>
                <w:sz w:val="24"/>
                <w:lang w:val="zh-CN"/>
              </w:rPr>
              <w:t>表</w:t>
            </w:r>
            <w:r>
              <w:rPr>
                <w:rFonts w:ascii="Times New Roman" w:hAnsi="Times New Roman" w:eastAsia="宋体"/>
                <w:b/>
                <w:color w:val="000000" w:themeColor="text1"/>
                <w:sz w:val="24"/>
              </w:rPr>
              <w:t>4</w:t>
            </w:r>
            <w:r>
              <w:rPr>
                <w:rFonts w:hint="eastAsia" w:ascii="Times New Roman" w:hAnsi="Times New Roman" w:eastAsia="宋体"/>
                <w:b/>
                <w:color w:val="000000" w:themeColor="text1"/>
                <w:sz w:val="24"/>
              </w:rPr>
              <w:t xml:space="preserve">4    </w:t>
            </w:r>
            <w:r>
              <w:rPr>
                <w:rFonts w:ascii="Times New Roman" w:hAnsi="Times New Roman" w:eastAsia="宋体"/>
                <w:b/>
                <w:color w:val="000000" w:themeColor="text1"/>
                <w:sz w:val="24"/>
                <w:lang w:val="zh-CN"/>
              </w:rPr>
              <w:t>项目噪声污染源源强一览表</w:t>
            </w:r>
          </w:p>
          <w:tbl>
            <w:tblPr>
              <w:tblStyle w:val="24"/>
              <w:tblW w:w="9072"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46"/>
              <w:gridCol w:w="1724"/>
              <w:gridCol w:w="1000"/>
              <w:gridCol w:w="1221"/>
              <w:gridCol w:w="2437"/>
              <w:gridCol w:w="174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2" w:type="pct"/>
                  <w:tcBorders>
                    <w:top w:val="single" w:color="auto" w:sz="8" w:space="0"/>
                    <w:bottom w:val="single" w:color="auto" w:sz="8" w:space="0"/>
                  </w:tcBorders>
                  <w:vAlign w:val="center"/>
                </w:tcPr>
                <w:p>
                  <w:pPr>
                    <w:tabs>
                      <w:tab w:val="left" w:pos="8370"/>
                      <w:tab w:val="left" w:pos="8600"/>
                    </w:tabs>
                    <w:jc w:val="center"/>
                    <w:rPr>
                      <w:rFonts w:ascii="Times New Roman" w:hAnsi="Times New Roman" w:eastAsia="宋体"/>
                      <w:b/>
                      <w:color w:val="000000" w:themeColor="text1"/>
                      <w:szCs w:val="21"/>
                    </w:rPr>
                  </w:pPr>
                  <w:r>
                    <w:rPr>
                      <w:rFonts w:ascii="Times New Roman" w:hAnsi="Times New Roman" w:eastAsia="宋体"/>
                      <w:b/>
                      <w:color w:val="000000" w:themeColor="text1"/>
                      <w:szCs w:val="21"/>
                    </w:rPr>
                    <w:t>序号</w:t>
                  </w:r>
                </w:p>
              </w:tc>
              <w:tc>
                <w:tcPr>
                  <w:tcW w:w="950" w:type="pct"/>
                  <w:tcBorders>
                    <w:top w:val="single" w:color="auto" w:sz="8" w:space="0"/>
                    <w:bottom w:val="single" w:color="auto" w:sz="8" w:space="0"/>
                  </w:tcBorders>
                  <w:vAlign w:val="center"/>
                </w:tcPr>
                <w:p>
                  <w:pPr>
                    <w:tabs>
                      <w:tab w:val="left" w:pos="8370"/>
                      <w:tab w:val="left" w:pos="8600"/>
                    </w:tabs>
                    <w:jc w:val="center"/>
                    <w:rPr>
                      <w:rFonts w:ascii="Times New Roman" w:hAnsi="Times New Roman" w:eastAsia="宋体"/>
                      <w:b/>
                      <w:color w:val="000000" w:themeColor="text1"/>
                      <w:szCs w:val="21"/>
                    </w:rPr>
                  </w:pPr>
                  <w:r>
                    <w:rPr>
                      <w:rFonts w:ascii="Times New Roman" w:hAnsi="Times New Roman" w:eastAsia="宋体"/>
                      <w:b/>
                      <w:color w:val="000000" w:themeColor="text1"/>
                      <w:szCs w:val="21"/>
                    </w:rPr>
                    <w:t>设备名称</w:t>
                  </w:r>
                </w:p>
              </w:tc>
              <w:tc>
                <w:tcPr>
                  <w:tcW w:w="551" w:type="pct"/>
                  <w:tcBorders>
                    <w:top w:val="single" w:color="auto" w:sz="8" w:space="0"/>
                    <w:bottom w:val="single" w:color="auto" w:sz="8" w:space="0"/>
                  </w:tcBorders>
                  <w:vAlign w:val="center"/>
                </w:tcPr>
                <w:p>
                  <w:pPr>
                    <w:tabs>
                      <w:tab w:val="left" w:pos="8370"/>
                      <w:tab w:val="left" w:pos="8600"/>
                    </w:tabs>
                    <w:jc w:val="center"/>
                    <w:rPr>
                      <w:rFonts w:ascii="Times New Roman" w:hAnsi="Times New Roman" w:eastAsia="宋体"/>
                      <w:b/>
                      <w:color w:val="000000" w:themeColor="text1"/>
                      <w:szCs w:val="21"/>
                    </w:rPr>
                  </w:pPr>
                  <w:r>
                    <w:rPr>
                      <w:rFonts w:ascii="Times New Roman" w:hAnsi="Times New Roman" w:eastAsia="宋体"/>
                      <w:b/>
                      <w:color w:val="000000" w:themeColor="text1"/>
                      <w:szCs w:val="21"/>
                    </w:rPr>
                    <w:t>台数</w:t>
                  </w:r>
                </w:p>
              </w:tc>
              <w:tc>
                <w:tcPr>
                  <w:tcW w:w="673" w:type="pct"/>
                  <w:tcBorders>
                    <w:top w:val="single" w:color="auto" w:sz="8" w:space="0"/>
                    <w:bottom w:val="single" w:color="auto" w:sz="8" w:space="0"/>
                  </w:tcBorders>
                  <w:vAlign w:val="center"/>
                </w:tcPr>
                <w:p>
                  <w:pPr>
                    <w:tabs>
                      <w:tab w:val="left" w:pos="8370"/>
                      <w:tab w:val="left" w:pos="8600"/>
                    </w:tabs>
                    <w:jc w:val="center"/>
                    <w:rPr>
                      <w:rFonts w:ascii="Times New Roman" w:hAnsi="Times New Roman" w:eastAsia="宋体"/>
                      <w:b/>
                      <w:color w:val="000000" w:themeColor="text1"/>
                      <w:szCs w:val="21"/>
                    </w:rPr>
                  </w:pPr>
                  <w:r>
                    <w:rPr>
                      <w:rFonts w:ascii="Times New Roman" w:hAnsi="Times New Roman" w:eastAsia="宋体"/>
                      <w:b/>
                      <w:color w:val="000000" w:themeColor="text1"/>
                      <w:szCs w:val="21"/>
                    </w:rPr>
                    <w:t>源强</w:t>
                  </w:r>
                </w:p>
              </w:tc>
              <w:tc>
                <w:tcPr>
                  <w:tcW w:w="1343" w:type="pct"/>
                  <w:tcBorders>
                    <w:top w:val="single" w:color="auto" w:sz="8" w:space="0"/>
                    <w:bottom w:val="single" w:color="auto" w:sz="8" w:space="0"/>
                  </w:tcBorders>
                  <w:vAlign w:val="center"/>
                </w:tcPr>
                <w:p>
                  <w:pPr>
                    <w:tabs>
                      <w:tab w:val="left" w:pos="8370"/>
                      <w:tab w:val="left" w:pos="8600"/>
                    </w:tabs>
                    <w:jc w:val="center"/>
                    <w:rPr>
                      <w:rFonts w:ascii="Times New Roman" w:hAnsi="Times New Roman" w:eastAsia="宋体"/>
                      <w:b/>
                      <w:color w:val="000000" w:themeColor="text1"/>
                      <w:szCs w:val="21"/>
                    </w:rPr>
                  </w:pPr>
                  <w:r>
                    <w:rPr>
                      <w:rFonts w:ascii="Times New Roman" w:hAnsi="Times New Roman" w:eastAsia="宋体"/>
                      <w:b/>
                      <w:color w:val="000000" w:themeColor="text1"/>
                      <w:szCs w:val="21"/>
                    </w:rPr>
                    <w:t>治理措施</w:t>
                  </w:r>
                </w:p>
              </w:tc>
              <w:tc>
                <w:tcPr>
                  <w:tcW w:w="961" w:type="pct"/>
                  <w:tcBorders>
                    <w:top w:val="single" w:color="auto" w:sz="8" w:space="0"/>
                    <w:bottom w:val="single" w:color="auto" w:sz="8" w:space="0"/>
                  </w:tcBorders>
                  <w:vAlign w:val="center"/>
                </w:tcPr>
                <w:p>
                  <w:pPr>
                    <w:tabs>
                      <w:tab w:val="left" w:pos="8370"/>
                      <w:tab w:val="left" w:pos="8600"/>
                    </w:tabs>
                    <w:jc w:val="center"/>
                    <w:rPr>
                      <w:rFonts w:ascii="Times New Roman" w:hAnsi="Times New Roman" w:eastAsia="宋体"/>
                      <w:b/>
                      <w:color w:val="000000" w:themeColor="text1"/>
                      <w:szCs w:val="21"/>
                    </w:rPr>
                  </w:pPr>
                  <w:r>
                    <w:rPr>
                      <w:rFonts w:ascii="Times New Roman" w:hAnsi="Times New Roman" w:eastAsia="宋体"/>
                      <w:b/>
                      <w:color w:val="000000" w:themeColor="text1"/>
                      <w:szCs w:val="21"/>
                    </w:rPr>
                    <w:t>治理后源强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2" w:type="pct"/>
                  <w:tcBorders>
                    <w:top w:val="single" w:color="auto" w:sz="8" w:space="0"/>
                    <w:bottom w:val="single" w:color="auto" w:sz="4" w:space="0"/>
                  </w:tcBorders>
                  <w:vAlign w:val="center"/>
                </w:tcPr>
                <w:p>
                  <w:pPr>
                    <w:tabs>
                      <w:tab w:val="left" w:pos="8370"/>
                      <w:tab w:val="left" w:pos="8600"/>
                    </w:tabs>
                    <w:jc w:val="center"/>
                    <w:rPr>
                      <w:rFonts w:ascii="Times New Roman" w:hAnsi="Times New Roman" w:eastAsia="宋体"/>
                      <w:color w:val="000000" w:themeColor="text1"/>
                      <w:szCs w:val="21"/>
                    </w:rPr>
                  </w:pPr>
                  <w:r>
                    <w:rPr>
                      <w:rFonts w:ascii="Times New Roman" w:hAnsi="Times New Roman" w:eastAsia="宋体"/>
                      <w:color w:val="000000" w:themeColor="text1"/>
                      <w:szCs w:val="21"/>
                    </w:rPr>
                    <w:t>1</w:t>
                  </w:r>
                </w:p>
              </w:tc>
              <w:tc>
                <w:tcPr>
                  <w:tcW w:w="950" w:type="pct"/>
                  <w:tcBorders>
                    <w:top w:val="single" w:color="auto" w:sz="8" w:space="0"/>
                    <w:bottom w:val="single" w:color="auto" w:sz="4" w:space="0"/>
                  </w:tcBorders>
                  <w:vAlign w:val="center"/>
                </w:tcPr>
                <w:p>
                  <w:pPr>
                    <w:tabs>
                      <w:tab w:val="left" w:pos="8370"/>
                      <w:tab w:val="left" w:pos="8600"/>
                    </w:tabs>
                    <w:jc w:val="center"/>
                    <w:rPr>
                      <w:rFonts w:ascii="Times New Roman" w:hAnsi="Times New Roman" w:eastAsia="宋体"/>
                      <w:color w:val="000000" w:themeColor="text1"/>
                      <w:szCs w:val="21"/>
                    </w:rPr>
                  </w:pPr>
                  <w:r>
                    <w:rPr>
                      <w:rFonts w:hint="eastAsia" w:ascii="Times New Roman" w:hAnsi="宋体" w:eastAsia="宋体"/>
                      <w:bCs/>
                      <w:color w:val="000000" w:themeColor="text1"/>
                      <w:szCs w:val="21"/>
                    </w:rPr>
                    <w:t>高周波塑熔机</w:t>
                  </w:r>
                </w:p>
              </w:tc>
              <w:tc>
                <w:tcPr>
                  <w:tcW w:w="551" w:type="pct"/>
                  <w:tcBorders>
                    <w:top w:val="single" w:color="auto" w:sz="8" w:space="0"/>
                    <w:bottom w:val="single" w:color="auto" w:sz="4" w:space="0"/>
                  </w:tcBorders>
                  <w:vAlign w:val="center"/>
                </w:tcPr>
                <w:p>
                  <w:pPr>
                    <w:tabs>
                      <w:tab w:val="left" w:pos="8370"/>
                      <w:tab w:val="left" w:pos="8600"/>
                    </w:tabs>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6</w:t>
                  </w:r>
                </w:p>
              </w:tc>
              <w:tc>
                <w:tcPr>
                  <w:tcW w:w="673" w:type="pct"/>
                  <w:tcBorders>
                    <w:top w:val="single" w:color="auto" w:sz="8" w:space="0"/>
                    <w:bottom w:val="single" w:color="auto" w:sz="4" w:space="0"/>
                  </w:tcBorders>
                  <w:vAlign w:val="center"/>
                </w:tcPr>
                <w:p>
                  <w:pPr>
                    <w:tabs>
                      <w:tab w:val="left" w:pos="8370"/>
                      <w:tab w:val="left" w:pos="8600"/>
                    </w:tabs>
                    <w:jc w:val="center"/>
                    <w:rPr>
                      <w:rFonts w:ascii="Times New Roman" w:hAnsi="Times New Roman" w:eastAsia="宋体"/>
                      <w:color w:val="000000" w:themeColor="text1"/>
                      <w:szCs w:val="21"/>
                    </w:rPr>
                  </w:pPr>
                  <w:r>
                    <w:rPr>
                      <w:rFonts w:ascii="Times New Roman" w:hAnsi="Times New Roman" w:eastAsia="宋体"/>
                      <w:color w:val="000000" w:themeColor="text1"/>
                      <w:szCs w:val="21"/>
                    </w:rPr>
                    <w:t>6</w:t>
                  </w:r>
                  <w:r>
                    <w:rPr>
                      <w:rFonts w:hint="eastAsia" w:ascii="Times New Roman" w:hAnsi="Times New Roman" w:eastAsia="宋体"/>
                      <w:color w:val="000000" w:themeColor="text1"/>
                      <w:szCs w:val="21"/>
                    </w:rPr>
                    <w:t>0</w:t>
                  </w:r>
                </w:p>
              </w:tc>
              <w:tc>
                <w:tcPr>
                  <w:tcW w:w="1343" w:type="pct"/>
                  <w:tcBorders>
                    <w:top w:val="single" w:color="auto" w:sz="8" w:space="0"/>
                    <w:bottom w:val="single" w:color="auto" w:sz="4" w:space="0"/>
                  </w:tcBorders>
                  <w:vAlign w:val="center"/>
                </w:tcPr>
                <w:p>
                  <w:pPr>
                    <w:tabs>
                      <w:tab w:val="left" w:pos="8370"/>
                      <w:tab w:val="left" w:pos="8600"/>
                    </w:tabs>
                    <w:jc w:val="center"/>
                    <w:rPr>
                      <w:rFonts w:ascii="Times New Roman" w:hAnsi="Times New Roman" w:eastAsia="宋体"/>
                      <w:color w:val="000000" w:themeColor="text1"/>
                      <w:szCs w:val="21"/>
                    </w:rPr>
                  </w:pPr>
                  <w:r>
                    <w:rPr>
                      <w:rFonts w:ascii="Times New Roman" w:hAnsi="Times New Roman" w:eastAsia="宋体"/>
                      <w:color w:val="000000" w:themeColor="text1"/>
                      <w:szCs w:val="21"/>
                    </w:rPr>
                    <w:t>合理布局、厂房隔音</w:t>
                  </w:r>
                </w:p>
              </w:tc>
              <w:tc>
                <w:tcPr>
                  <w:tcW w:w="961" w:type="pct"/>
                  <w:tcBorders>
                    <w:top w:val="single" w:color="auto" w:sz="8" w:space="0"/>
                    <w:bottom w:val="single" w:color="auto" w:sz="4" w:space="0"/>
                  </w:tcBorders>
                  <w:vAlign w:val="center"/>
                </w:tcPr>
                <w:p>
                  <w:pPr>
                    <w:tabs>
                      <w:tab w:val="left" w:pos="8370"/>
                      <w:tab w:val="left" w:pos="8600"/>
                    </w:tabs>
                    <w:jc w:val="center"/>
                    <w:rPr>
                      <w:rFonts w:ascii="Times New Roman" w:hAnsi="Times New Roman" w:eastAsia="宋体"/>
                      <w:color w:val="000000" w:themeColor="text1"/>
                      <w:szCs w:val="21"/>
                    </w:rPr>
                  </w:pPr>
                  <w:r>
                    <w:rPr>
                      <w:rFonts w:ascii="Times New Roman" w:hAnsi="Times New Roman" w:eastAsia="宋体"/>
                      <w:color w:val="000000" w:themeColor="text1"/>
                      <w:szCs w:val="21"/>
                    </w:rPr>
                    <w:t>3</w:t>
                  </w:r>
                  <w:r>
                    <w:rPr>
                      <w:rFonts w:hint="eastAsia" w:ascii="Times New Roman" w:hAnsi="Times New Roman" w:eastAsia="宋体"/>
                      <w:color w:val="000000" w:themeColor="text1"/>
                      <w:szCs w:val="21"/>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2" w:type="pct"/>
                  <w:tcBorders>
                    <w:top w:val="single" w:color="auto" w:sz="4" w:space="0"/>
                    <w:bottom w:val="single" w:color="auto" w:sz="8" w:space="0"/>
                  </w:tcBorders>
                  <w:vAlign w:val="center"/>
                </w:tcPr>
                <w:p>
                  <w:pPr>
                    <w:tabs>
                      <w:tab w:val="left" w:pos="8370"/>
                      <w:tab w:val="left" w:pos="8600"/>
                    </w:tabs>
                    <w:jc w:val="center"/>
                    <w:rPr>
                      <w:rFonts w:ascii="Times New Roman" w:hAnsi="Times New Roman" w:eastAsia="宋体"/>
                      <w:color w:val="000000" w:themeColor="text1"/>
                      <w:szCs w:val="21"/>
                    </w:rPr>
                  </w:pPr>
                  <w:r>
                    <w:rPr>
                      <w:rFonts w:ascii="Times New Roman" w:hAnsi="Times New Roman" w:eastAsia="宋体"/>
                      <w:color w:val="000000" w:themeColor="text1"/>
                      <w:szCs w:val="21"/>
                    </w:rPr>
                    <w:t>2</w:t>
                  </w:r>
                </w:p>
              </w:tc>
              <w:tc>
                <w:tcPr>
                  <w:tcW w:w="950" w:type="pct"/>
                  <w:tcBorders>
                    <w:top w:val="single" w:color="auto" w:sz="4" w:space="0"/>
                    <w:bottom w:val="single" w:color="auto" w:sz="8" w:space="0"/>
                  </w:tcBorders>
                  <w:vAlign w:val="center"/>
                </w:tcPr>
                <w:p>
                  <w:pPr>
                    <w:tabs>
                      <w:tab w:val="left" w:pos="8370"/>
                      <w:tab w:val="left" w:pos="8600"/>
                    </w:tabs>
                    <w:jc w:val="center"/>
                    <w:rPr>
                      <w:rFonts w:ascii="Times New Roman" w:hAnsi="Times New Roman" w:eastAsia="宋体"/>
                      <w:color w:val="000000" w:themeColor="text1"/>
                      <w:szCs w:val="21"/>
                    </w:rPr>
                  </w:pPr>
                  <w:r>
                    <w:rPr>
                      <w:rFonts w:ascii="Times New Roman" w:hAnsi="Times New Roman" w:eastAsia="宋体"/>
                      <w:color w:val="000000" w:themeColor="text1"/>
                      <w:szCs w:val="21"/>
                    </w:rPr>
                    <w:t>空压机</w:t>
                  </w:r>
                </w:p>
              </w:tc>
              <w:tc>
                <w:tcPr>
                  <w:tcW w:w="551" w:type="pct"/>
                  <w:tcBorders>
                    <w:top w:val="single" w:color="auto" w:sz="4" w:space="0"/>
                    <w:bottom w:val="single" w:color="auto" w:sz="8" w:space="0"/>
                  </w:tcBorders>
                  <w:vAlign w:val="center"/>
                </w:tcPr>
                <w:p>
                  <w:pPr>
                    <w:tabs>
                      <w:tab w:val="left" w:pos="8370"/>
                      <w:tab w:val="left" w:pos="8600"/>
                    </w:tabs>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1</w:t>
                  </w:r>
                </w:p>
              </w:tc>
              <w:tc>
                <w:tcPr>
                  <w:tcW w:w="673" w:type="pct"/>
                  <w:tcBorders>
                    <w:top w:val="single" w:color="auto" w:sz="4" w:space="0"/>
                    <w:bottom w:val="single" w:color="auto" w:sz="8" w:space="0"/>
                  </w:tcBorders>
                  <w:vAlign w:val="center"/>
                </w:tcPr>
                <w:p>
                  <w:pPr>
                    <w:tabs>
                      <w:tab w:val="left" w:pos="8370"/>
                      <w:tab w:val="left" w:pos="8600"/>
                    </w:tabs>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75</w:t>
                  </w:r>
                </w:p>
              </w:tc>
              <w:tc>
                <w:tcPr>
                  <w:tcW w:w="1343" w:type="pct"/>
                  <w:tcBorders>
                    <w:top w:val="single" w:color="auto" w:sz="4" w:space="0"/>
                    <w:bottom w:val="single" w:color="auto" w:sz="8" w:space="0"/>
                  </w:tcBorders>
                  <w:vAlign w:val="center"/>
                </w:tcPr>
                <w:p>
                  <w:pPr>
                    <w:tabs>
                      <w:tab w:val="left" w:pos="8370"/>
                      <w:tab w:val="left" w:pos="8600"/>
                    </w:tabs>
                    <w:jc w:val="center"/>
                    <w:rPr>
                      <w:rFonts w:ascii="Times New Roman" w:hAnsi="Times New Roman" w:eastAsia="宋体"/>
                      <w:color w:val="000000" w:themeColor="text1"/>
                      <w:szCs w:val="21"/>
                    </w:rPr>
                  </w:pPr>
                  <w:r>
                    <w:rPr>
                      <w:rFonts w:ascii="Times New Roman" w:hAnsi="Times New Roman" w:eastAsia="宋体"/>
                      <w:color w:val="000000" w:themeColor="text1"/>
                      <w:szCs w:val="21"/>
                    </w:rPr>
                    <w:t>合理布局、厂房隔音</w:t>
                  </w:r>
                </w:p>
              </w:tc>
              <w:tc>
                <w:tcPr>
                  <w:tcW w:w="961" w:type="pct"/>
                  <w:tcBorders>
                    <w:top w:val="single" w:color="auto" w:sz="4" w:space="0"/>
                    <w:bottom w:val="single" w:color="auto" w:sz="8" w:space="0"/>
                  </w:tcBorders>
                  <w:vAlign w:val="center"/>
                </w:tcPr>
                <w:p>
                  <w:pPr>
                    <w:tabs>
                      <w:tab w:val="left" w:pos="8370"/>
                      <w:tab w:val="left" w:pos="8600"/>
                    </w:tabs>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45</w:t>
                  </w:r>
                </w:p>
              </w:tc>
            </w:tr>
          </w:tbl>
          <w:p>
            <w:pPr>
              <w:adjustRightInd w:val="0"/>
              <w:snapToGrid w:val="0"/>
              <w:spacing w:line="440" w:lineRule="exact"/>
              <w:ind w:firstLine="482" w:firstLineChars="200"/>
              <w:rPr>
                <w:rFonts w:ascii="Times New Roman" w:hAnsi="Times New Roman" w:eastAsia="宋体"/>
                <w:b/>
                <w:bCs/>
                <w:color w:val="000000" w:themeColor="text1"/>
                <w:sz w:val="24"/>
              </w:rPr>
            </w:pPr>
            <w:r>
              <w:rPr>
                <w:rFonts w:ascii="Times New Roman" w:hAnsi="Times New Roman" w:eastAsia="宋体"/>
                <w:b/>
                <w:bCs/>
                <w:color w:val="000000" w:themeColor="text1"/>
                <w:sz w:val="24"/>
              </w:rPr>
              <w:t>2、 预测模式</w:t>
            </w:r>
          </w:p>
          <w:p>
            <w:pPr>
              <w:spacing w:line="440" w:lineRule="exact"/>
              <w:ind w:firstLine="480" w:firstLineChars="200"/>
              <w:rPr>
                <w:rFonts w:ascii="Times New Roman" w:hAnsi="Times New Roman" w:eastAsia="宋体"/>
                <w:color w:val="000000" w:themeColor="text1"/>
                <w:sz w:val="24"/>
              </w:rPr>
            </w:pPr>
            <w:r>
              <w:rPr>
                <w:rFonts w:ascii="Times New Roman" w:hAnsi="Times New Roman" w:eastAsia="宋体"/>
                <w:color w:val="000000" w:themeColor="text1"/>
                <w:sz w:val="24"/>
              </w:rPr>
              <w:t>点声源影响预测公式：</w:t>
            </w:r>
          </w:p>
          <w:p>
            <w:pPr>
              <w:spacing w:line="440" w:lineRule="exact"/>
              <w:jc w:val="center"/>
              <w:rPr>
                <w:rFonts w:ascii="Times New Roman" w:hAnsi="Times New Roman" w:eastAsia="宋体"/>
                <w:color w:val="000000" w:themeColor="text1"/>
                <w:sz w:val="24"/>
              </w:rPr>
            </w:pPr>
            <w:r>
              <w:rPr>
                <w:rFonts w:ascii="Times New Roman" w:hAnsi="Times New Roman" w:eastAsia="宋体"/>
                <w:bCs/>
                <w:color w:val="000000" w:themeColor="text1"/>
                <w:position w:val="-14"/>
                <w:sz w:val="24"/>
              </w:rPr>
              <w:object>
                <v:shape id="_x0000_i1025" o:spt="75" type="#_x0000_t75" style="height:19.65pt;width:127.15pt;" o:ole="t" filled="f" o:preferrelative="t" stroked="f" coordsize="21600,21600">
                  <v:path/>
                  <v:fill on="f" focussize="0,0"/>
                  <v:stroke on="f" joinstyle="miter"/>
                  <v:imagedata r:id="rId14" o:title=""/>
                  <o:lock v:ext="edit" aspectratio="t"/>
                  <w10:wrap type="none"/>
                  <w10:anchorlock/>
                </v:shape>
                <o:OLEObject Type="Embed" ProgID="Equation.3" ShapeID="_x0000_i1025" DrawAspect="Content" ObjectID="_1468075725" r:id="rId13">
                  <o:LockedField>false</o:LockedField>
                </o:OLEObject>
              </w:object>
            </w:r>
          </w:p>
          <w:p>
            <w:pPr>
              <w:spacing w:line="440" w:lineRule="exact"/>
              <w:ind w:firstLine="480" w:firstLineChars="200"/>
              <w:rPr>
                <w:rFonts w:ascii="Times New Roman" w:hAnsi="Times New Roman" w:eastAsia="宋体"/>
                <w:color w:val="000000" w:themeColor="text1"/>
                <w:sz w:val="24"/>
              </w:rPr>
            </w:pPr>
            <w:r>
              <w:rPr>
                <w:rFonts w:ascii="Times New Roman" w:hAnsi="Times New Roman" w:eastAsia="宋体"/>
                <w:color w:val="000000" w:themeColor="text1"/>
                <w:sz w:val="24"/>
              </w:rPr>
              <w:t>多源叠加公式：</w:t>
            </w:r>
          </w:p>
          <w:p>
            <w:pPr>
              <w:spacing w:line="440" w:lineRule="exact"/>
              <w:ind w:firstLine="3240" w:firstLineChars="1350"/>
              <w:rPr>
                <w:rFonts w:ascii="Times New Roman" w:hAnsi="Times New Roman" w:eastAsia="宋体"/>
                <w:bCs/>
                <w:color w:val="000000" w:themeColor="text1"/>
                <w:sz w:val="24"/>
              </w:rPr>
            </w:pPr>
            <w:r>
              <w:rPr>
                <w:rFonts w:ascii="Times New Roman" w:hAnsi="Times New Roman" w:eastAsia="宋体"/>
                <w:bCs/>
                <w:color w:val="000000" w:themeColor="text1"/>
                <w:position w:val="-16"/>
                <w:sz w:val="24"/>
              </w:rPr>
              <w:object>
                <v:shape id="_x0000_i1026" o:spt="75" type="#_x0000_t75" style="height:19.65pt;width:82.3pt;" o:ole="t" filled="f" o:preferrelative="t" stroked="f" coordsize="21600,21600">
                  <v:path/>
                  <v:fill on="f" focussize="0,0"/>
                  <v:stroke on="f" joinstyle="miter"/>
                  <v:imagedata r:id="rId16" o:title=""/>
                  <o:lock v:ext="edit" aspectratio="t"/>
                  <w10:wrap type="none"/>
                  <w10:anchorlock/>
                </v:shape>
                <o:OLEObject Type="Embed" ProgID="Equation.3" ShapeID="_x0000_i1026" DrawAspect="Content" ObjectID="_1468075726" r:id="rId15">
                  <o:LockedField>false</o:LockedField>
                </o:OLEObject>
              </w:object>
            </w:r>
          </w:p>
          <w:p>
            <w:pPr>
              <w:spacing w:line="440" w:lineRule="exact"/>
              <w:ind w:firstLine="480" w:firstLineChars="200"/>
              <w:rPr>
                <w:rFonts w:ascii="Times New Roman" w:hAnsi="Times New Roman" w:eastAsia="宋体"/>
                <w:color w:val="000000" w:themeColor="text1"/>
                <w:sz w:val="24"/>
              </w:rPr>
            </w:pPr>
            <w:r>
              <w:rPr>
                <w:rFonts w:ascii="Times New Roman" w:hAnsi="Times New Roman" w:eastAsia="宋体"/>
                <w:color w:val="000000" w:themeColor="text1"/>
                <w:sz w:val="24"/>
              </w:rPr>
              <w:t>式中：L</w:t>
            </w:r>
            <w:r>
              <w:rPr>
                <w:rFonts w:ascii="Times New Roman" w:hAnsi="Times New Roman" w:eastAsia="宋体"/>
                <w:color w:val="000000" w:themeColor="text1"/>
                <w:sz w:val="24"/>
                <w:vertAlign w:val="subscript"/>
              </w:rPr>
              <w:t>(r)</w:t>
            </w:r>
            <w:r>
              <w:rPr>
                <w:rFonts w:ascii="Times New Roman" w:hAnsi="Times New Roman" w:eastAsia="宋体"/>
                <w:color w:val="000000" w:themeColor="text1"/>
                <w:sz w:val="24"/>
              </w:rPr>
              <w:t>——距离噪声源r处的等效A声级值，dB(A)；</w:t>
            </w:r>
          </w:p>
          <w:p>
            <w:pPr>
              <w:spacing w:line="440" w:lineRule="exact"/>
              <w:ind w:firstLine="1200" w:firstLineChars="500"/>
              <w:rPr>
                <w:rFonts w:ascii="Times New Roman" w:hAnsi="Times New Roman" w:eastAsia="宋体"/>
                <w:color w:val="000000" w:themeColor="text1"/>
                <w:sz w:val="24"/>
              </w:rPr>
            </w:pPr>
            <w:r>
              <w:rPr>
                <w:rFonts w:ascii="Times New Roman" w:hAnsi="Times New Roman" w:eastAsia="宋体"/>
                <w:color w:val="000000" w:themeColor="text1"/>
                <w:sz w:val="24"/>
              </w:rPr>
              <w:t>L</w:t>
            </w:r>
            <w:r>
              <w:rPr>
                <w:rFonts w:ascii="Times New Roman" w:hAnsi="Times New Roman" w:eastAsia="宋体"/>
                <w:color w:val="000000" w:themeColor="text1"/>
                <w:sz w:val="24"/>
                <w:vertAlign w:val="subscript"/>
              </w:rPr>
              <w:t>(r0)</w:t>
            </w:r>
            <w:r>
              <w:rPr>
                <w:rFonts w:ascii="Times New Roman" w:hAnsi="Times New Roman" w:eastAsia="宋体"/>
                <w:color w:val="000000" w:themeColor="text1"/>
                <w:sz w:val="24"/>
              </w:rPr>
              <w:t>——距离噪声源r</w:t>
            </w:r>
            <w:r>
              <w:rPr>
                <w:rFonts w:ascii="Times New Roman" w:hAnsi="Times New Roman" w:eastAsia="宋体"/>
                <w:color w:val="000000" w:themeColor="text1"/>
                <w:sz w:val="24"/>
                <w:vertAlign w:val="subscript"/>
              </w:rPr>
              <w:t>0</w:t>
            </w:r>
            <w:r>
              <w:rPr>
                <w:rFonts w:ascii="Times New Roman" w:hAnsi="Times New Roman" w:eastAsia="宋体"/>
                <w:color w:val="000000" w:themeColor="text1"/>
                <w:sz w:val="24"/>
              </w:rPr>
              <w:t>处的等效A声级值，dB(A)；</w:t>
            </w:r>
          </w:p>
          <w:p>
            <w:pPr>
              <w:spacing w:line="440" w:lineRule="exact"/>
              <w:ind w:firstLine="1200" w:firstLineChars="500"/>
              <w:rPr>
                <w:rFonts w:ascii="Times New Roman" w:hAnsi="Times New Roman" w:eastAsia="宋体"/>
                <w:color w:val="000000" w:themeColor="text1"/>
                <w:sz w:val="24"/>
              </w:rPr>
            </w:pPr>
            <w:r>
              <w:rPr>
                <w:rFonts w:ascii="Times New Roman" w:hAnsi="Times New Roman" w:eastAsia="宋体"/>
                <w:color w:val="000000" w:themeColor="text1"/>
                <w:sz w:val="24"/>
              </w:rPr>
              <w:t>r ——预测点距噪声源距离，m；</w:t>
            </w:r>
          </w:p>
          <w:p>
            <w:pPr>
              <w:spacing w:line="440" w:lineRule="exact"/>
              <w:ind w:firstLine="1200" w:firstLineChars="500"/>
              <w:rPr>
                <w:rFonts w:ascii="Times New Roman" w:hAnsi="Times New Roman" w:eastAsia="宋体"/>
                <w:color w:val="000000" w:themeColor="text1"/>
                <w:sz w:val="24"/>
              </w:rPr>
            </w:pPr>
            <w:r>
              <w:rPr>
                <w:rFonts w:ascii="Times New Roman" w:hAnsi="Times New Roman" w:eastAsia="宋体"/>
                <w:color w:val="000000" w:themeColor="text1"/>
                <w:sz w:val="24"/>
              </w:rPr>
              <w:t>r</w:t>
            </w:r>
            <w:r>
              <w:rPr>
                <w:rFonts w:ascii="Times New Roman" w:hAnsi="Times New Roman" w:eastAsia="宋体"/>
                <w:color w:val="000000" w:themeColor="text1"/>
                <w:sz w:val="24"/>
                <w:vertAlign w:val="subscript"/>
              </w:rPr>
              <w:t>0</w:t>
            </w:r>
            <w:r>
              <w:rPr>
                <w:rFonts w:ascii="Times New Roman" w:hAnsi="Times New Roman" w:eastAsia="宋体"/>
                <w:color w:val="000000" w:themeColor="text1"/>
                <w:sz w:val="24"/>
              </w:rPr>
              <w:t>——源强外1m处；</w:t>
            </w:r>
          </w:p>
          <w:p>
            <w:pPr>
              <w:spacing w:line="440" w:lineRule="exact"/>
              <w:ind w:firstLine="1200" w:firstLineChars="500"/>
              <w:rPr>
                <w:rFonts w:ascii="Times New Roman" w:hAnsi="Times New Roman" w:eastAsia="宋体"/>
                <w:color w:val="000000" w:themeColor="text1"/>
                <w:sz w:val="24"/>
              </w:rPr>
            </w:pPr>
            <w:r>
              <w:rPr>
                <w:rFonts w:ascii="Times New Roman" w:hAnsi="Times New Roman" w:eastAsia="宋体"/>
                <w:color w:val="000000" w:themeColor="text1"/>
                <w:sz w:val="24"/>
              </w:rPr>
              <w:t>L——总等效A声级值，dB(A)；</w:t>
            </w:r>
          </w:p>
          <w:p>
            <w:pPr>
              <w:spacing w:line="440" w:lineRule="exact"/>
              <w:ind w:firstLine="1200" w:firstLineChars="500"/>
              <w:rPr>
                <w:rFonts w:ascii="Times New Roman" w:hAnsi="Times New Roman" w:eastAsia="宋体"/>
                <w:color w:val="000000" w:themeColor="text1"/>
                <w:sz w:val="24"/>
              </w:rPr>
            </w:pPr>
            <w:r>
              <w:rPr>
                <w:rFonts w:ascii="Times New Roman" w:hAnsi="Times New Roman" w:eastAsia="宋体"/>
                <w:color w:val="000000" w:themeColor="text1"/>
                <w:sz w:val="24"/>
              </w:rPr>
              <w:t>L</w:t>
            </w:r>
            <w:r>
              <w:rPr>
                <w:rFonts w:ascii="Times New Roman" w:hAnsi="Times New Roman" w:eastAsia="宋体"/>
                <w:color w:val="000000" w:themeColor="text1"/>
                <w:sz w:val="24"/>
                <w:vertAlign w:val="subscript"/>
              </w:rPr>
              <w:t>i</w:t>
            </w:r>
            <w:r>
              <w:rPr>
                <w:rFonts w:ascii="Times New Roman" w:hAnsi="Times New Roman" w:eastAsia="宋体"/>
                <w:color w:val="000000" w:themeColor="text1"/>
                <w:sz w:val="24"/>
              </w:rPr>
              <w:t>——第i个声源的等效A声压级值，dB(A)；</w:t>
            </w:r>
          </w:p>
          <w:p>
            <w:pPr>
              <w:spacing w:line="440" w:lineRule="exact"/>
              <w:ind w:firstLine="1200" w:firstLineChars="500"/>
              <w:rPr>
                <w:rFonts w:ascii="Times New Roman" w:hAnsi="Times New Roman" w:eastAsia="宋体"/>
                <w:color w:val="000000" w:themeColor="text1"/>
                <w:sz w:val="24"/>
              </w:rPr>
            </w:pPr>
            <w:r>
              <w:rPr>
                <w:rFonts w:ascii="Times New Roman" w:hAnsi="Times New Roman" w:eastAsia="宋体"/>
                <w:color w:val="000000" w:themeColor="text1"/>
                <w:sz w:val="24"/>
              </w:rPr>
              <w:t>△L——其它各种因素引起的附加衰减量（包括遮挡物、空气吸收、地面效应等引起的衰减量），dB(A)；</w:t>
            </w:r>
          </w:p>
          <w:p>
            <w:pPr>
              <w:spacing w:line="440" w:lineRule="exact"/>
              <w:ind w:firstLine="1200" w:firstLineChars="500"/>
              <w:rPr>
                <w:rFonts w:ascii="Times New Roman" w:hAnsi="Times New Roman" w:eastAsia="宋体"/>
                <w:color w:val="000000" w:themeColor="text1"/>
                <w:sz w:val="24"/>
              </w:rPr>
            </w:pPr>
            <w:r>
              <w:rPr>
                <w:rFonts w:ascii="Times New Roman" w:hAnsi="Times New Roman" w:eastAsia="宋体"/>
                <w:color w:val="000000" w:themeColor="text1"/>
                <w:sz w:val="24"/>
              </w:rPr>
              <w:t>n——声源数量。</w:t>
            </w:r>
          </w:p>
          <w:p>
            <w:pPr>
              <w:adjustRightInd w:val="0"/>
              <w:snapToGrid w:val="0"/>
              <w:spacing w:line="440" w:lineRule="exact"/>
              <w:ind w:firstLine="482" w:firstLineChars="200"/>
              <w:rPr>
                <w:rFonts w:ascii="Times New Roman" w:hAnsi="Times New Roman" w:eastAsia="宋体"/>
                <w:b/>
                <w:bCs/>
                <w:color w:val="000000" w:themeColor="text1"/>
                <w:sz w:val="24"/>
              </w:rPr>
            </w:pPr>
            <w:r>
              <w:rPr>
                <w:rFonts w:ascii="Times New Roman" w:hAnsi="Times New Roman" w:eastAsia="宋体"/>
                <w:b/>
                <w:bCs/>
                <w:color w:val="000000" w:themeColor="text1"/>
                <w:sz w:val="24"/>
              </w:rPr>
              <w:t>3、预测结果</w:t>
            </w:r>
          </w:p>
          <w:p>
            <w:pPr>
              <w:pStyle w:val="10"/>
              <w:tabs>
                <w:tab w:val="left" w:pos="210"/>
              </w:tabs>
              <w:snapToGrid w:val="0"/>
              <w:spacing w:line="440" w:lineRule="exact"/>
              <w:ind w:firstLine="480" w:firstLineChars="200"/>
              <w:rPr>
                <w:rFonts w:ascii="Times New Roman" w:hAnsi="Times New Roman" w:eastAsia="宋体"/>
                <w:color w:val="000000" w:themeColor="text1"/>
                <w:sz w:val="24"/>
              </w:rPr>
            </w:pPr>
            <w:r>
              <w:rPr>
                <w:rFonts w:ascii="Times New Roman" w:hAnsi="Times New Roman" w:eastAsia="宋体"/>
                <w:color w:val="000000" w:themeColor="text1"/>
                <w:sz w:val="24"/>
              </w:rPr>
              <w:t>项目建成后，项目主要噪声源对各厂界预测结果见表</w:t>
            </w:r>
            <w:r>
              <w:rPr>
                <w:rFonts w:hint="eastAsia" w:ascii="Times New Roman" w:hAnsi="Times New Roman" w:eastAsia="宋体"/>
                <w:color w:val="000000" w:themeColor="text1"/>
                <w:sz w:val="24"/>
              </w:rPr>
              <w:t>45</w:t>
            </w:r>
            <w:r>
              <w:rPr>
                <w:rFonts w:ascii="Times New Roman" w:hAnsi="Times New Roman" w:eastAsia="宋体"/>
                <w:color w:val="000000" w:themeColor="text1"/>
                <w:sz w:val="24"/>
              </w:rPr>
              <w:t>。</w:t>
            </w:r>
          </w:p>
          <w:p>
            <w:pPr>
              <w:adjustRightInd w:val="0"/>
              <w:snapToGrid w:val="0"/>
              <w:spacing w:line="440" w:lineRule="exact"/>
              <w:jc w:val="center"/>
              <w:rPr>
                <w:rFonts w:ascii="Times New Roman" w:hAnsi="Times New Roman" w:eastAsia="宋体"/>
                <w:b/>
                <w:color w:val="000000" w:themeColor="text1"/>
                <w:sz w:val="24"/>
                <w:lang w:val="zh-CN"/>
              </w:rPr>
            </w:pPr>
            <w:r>
              <w:rPr>
                <w:rFonts w:ascii="Times New Roman" w:hAnsi="Times New Roman" w:eastAsia="宋体"/>
                <w:b/>
                <w:color w:val="000000" w:themeColor="text1"/>
                <w:sz w:val="24"/>
                <w:lang w:val="zh-CN"/>
              </w:rPr>
              <w:t>表</w:t>
            </w:r>
            <w:r>
              <w:rPr>
                <w:rFonts w:hint="eastAsia" w:ascii="Times New Roman" w:hAnsi="Times New Roman" w:eastAsia="宋体"/>
                <w:b/>
                <w:color w:val="000000" w:themeColor="text1"/>
                <w:sz w:val="24"/>
              </w:rPr>
              <w:t xml:space="preserve">45    </w:t>
            </w:r>
            <w:r>
              <w:rPr>
                <w:rFonts w:ascii="Times New Roman" w:hAnsi="Times New Roman" w:eastAsia="宋体"/>
                <w:b/>
                <w:color w:val="000000" w:themeColor="text1"/>
                <w:sz w:val="24"/>
                <w:lang w:val="zh-CN"/>
              </w:rPr>
              <w:t>噪声预测结果表</w:t>
            </w:r>
            <w:r>
              <w:rPr>
                <w:rFonts w:hint="eastAsia" w:ascii="Times New Roman" w:hAnsi="Times New Roman" w:eastAsia="宋体"/>
                <w:b/>
                <w:color w:val="000000" w:themeColor="text1"/>
                <w:sz w:val="24"/>
                <w:lang w:val="zh-CN"/>
              </w:rPr>
              <w:t xml:space="preserve">    </w:t>
            </w:r>
            <w:r>
              <w:rPr>
                <w:rFonts w:ascii="Times New Roman" w:hAnsi="Times New Roman" w:eastAsia="宋体"/>
                <w:b/>
                <w:color w:val="000000" w:themeColor="text1"/>
                <w:sz w:val="24"/>
                <w:lang w:val="zh-CN"/>
              </w:rPr>
              <w:t>单位：dB(A)</w:t>
            </w:r>
          </w:p>
          <w:tbl>
            <w:tblPr>
              <w:tblStyle w:val="24"/>
              <w:tblW w:w="907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856"/>
              <w:gridCol w:w="992"/>
              <w:gridCol w:w="849"/>
              <w:gridCol w:w="853"/>
              <w:gridCol w:w="991"/>
              <w:gridCol w:w="2408"/>
              <w:gridCol w:w="12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9" w:type="pct"/>
                  <w:gridSpan w:val="2"/>
                  <w:tcBorders>
                    <w:top w:val="single" w:color="auto" w:sz="8" w:space="0"/>
                    <w:left w:val="nil"/>
                    <w:bottom w:val="single" w:color="auto" w:sz="8" w:space="0"/>
                    <w:right w:val="single" w:color="auto" w:sz="4" w:space="0"/>
                  </w:tcBorders>
                  <w:vAlign w:val="center"/>
                </w:tcPr>
                <w:p>
                  <w:pPr>
                    <w:adjustRightInd w:val="0"/>
                    <w:snapToGrid w:val="0"/>
                    <w:jc w:val="center"/>
                    <w:rPr>
                      <w:rFonts w:ascii="Times New Roman" w:hAnsi="Times New Roman" w:eastAsia="宋体"/>
                      <w:b/>
                      <w:color w:val="000000" w:themeColor="text1"/>
                      <w:szCs w:val="21"/>
                    </w:rPr>
                  </w:pPr>
                  <w:r>
                    <w:rPr>
                      <w:rFonts w:hint="eastAsia" w:ascii="Times New Roman" w:eastAsia="宋体"/>
                      <w:b/>
                      <w:color w:val="000000" w:themeColor="text1"/>
                      <w:szCs w:val="21"/>
                    </w:rPr>
                    <w:t>预测点</w:t>
                  </w:r>
                </w:p>
              </w:tc>
              <w:tc>
                <w:tcPr>
                  <w:tcW w:w="547" w:type="pct"/>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ascii="Times New Roman" w:hAnsi="Times New Roman" w:eastAsia="宋体"/>
                      <w:b/>
                      <w:color w:val="000000" w:themeColor="text1"/>
                      <w:szCs w:val="21"/>
                    </w:rPr>
                  </w:pPr>
                  <w:r>
                    <w:rPr>
                      <w:rFonts w:hint="eastAsia" w:ascii="Times New Roman" w:eastAsia="宋体"/>
                      <w:b/>
                      <w:color w:val="000000" w:themeColor="text1"/>
                      <w:szCs w:val="21"/>
                    </w:rPr>
                    <w:t>东厂界</w:t>
                  </w:r>
                </w:p>
              </w:tc>
              <w:tc>
                <w:tcPr>
                  <w:tcW w:w="468" w:type="pct"/>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ascii="Times New Roman" w:hAnsi="Times New Roman" w:eastAsia="宋体"/>
                      <w:b/>
                      <w:color w:val="000000" w:themeColor="text1"/>
                      <w:szCs w:val="21"/>
                    </w:rPr>
                  </w:pPr>
                  <w:r>
                    <w:rPr>
                      <w:rFonts w:hint="eastAsia" w:ascii="Times New Roman" w:eastAsia="宋体"/>
                      <w:b/>
                      <w:color w:val="000000" w:themeColor="text1"/>
                      <w:szCs w:val="21"/>
                    </w:rPr>
                    <w:t>南厂界</w:t>
                  </w:r>
                </w:p>
              </w:tc>
              <w:tc>
                <w:tcPr>
                  <w:tcW w:w="470" w:type="pct"/>
                  <w:tcBorders>
                    <w:top w:val="single" w:color="auto" w:sz="8" w:space="0"/>
                    <w:left w:val="single" w:color="auto" w:sz="4" w:space="0"/>
                    <w:bottom w:val="single" w:color="auto" w:sz="8" w:space="0"/>
                    <w:right w:val="single" w:color="auto" w:sz="4" w:space="0"/>
                  </w:tcBorders>
                  <w:vAlign w:val="center"/>
                </w:tcPr>
                <w:p>
                  <w:pPr>
                    <w:adjustRightInd w:val="0"/>
                    <w:snapToGrid w:val="0"/>
                    <w:jc w:val="center"/>
                    <w:rPr>
                      <w:rFonts w:ascii="Times New Roman" w:hAnsi="Times New Roman" w:eastAsia="宋体"/>
                      <w:b/>
                      <w:color w:val="000000" w:themeColor="text1"/>
                      <w:szCs w:val="21"/>
                    </w:rPr>
                  </w:pPr>
                  <w:r>
                    <w:rPr>
                      <w:rFonts w:hint="eastAsia" w:ascii="Times New Roman" w:eastAsia="宋体"/>
                      <w:b/>
                      <w:color w:val="000000" w:themeColor="text1"/>
                      <w:szCs w:val="21"/>
                    </w:rPr>
                    <w:t>西厂界</w:t>
                  </w:r>
                </w:p>
              </w:tc>
              <w:tc>
                <w:tcPr>
                  <w:tcW w:w="546" w:type="pct"/>
                  <w:tcBorders>
                    <w:top w:val="single" w:color="auto" w:sz="8" w:space="0"/>
                    <w:left w:val="single" w:color="auto" w:sz="4" w:space="0"/>
                    <w:bottom w:val="single" w:color="auto" w:sz="8" w:space="0"/>
                    <w:right w:val="nil"/>
                  </w:tcBorders>
                  <w:vAlign w:val="center"/>
                </w:tcPr>
                <w:p>
                  <w:pPr>
                    <w:adjustRightInd w:val="0"/>
                    <w:snapToGrid w:val="0"/>
                    <w:jc w:val="center"/>
                    <w:rPr>
                      <w:rFonts w:ascii="Times New Roman" w:hAnsi="Times New Roman" w:eastAsia="宋体"/>
                      <w:b/>
                      <w:color w:val="000000" w:themeColor="text1"/>
                      <w:szCs w:val="21"/>
                    </w:rPr>
                  </w:pPr>
                  <w:r>
                    <w:rPr>
                      <w:rFonts w:hint="eastAsia" w:ascii="Times New Roman" w:eastAsia="宋体"/>
                      <w:b/>
                      <w:color w:val="000000" w:themeColor="text1"/>
                      <w:szCs w:val="21"/>
                    </w:rPr>
                    <w:t>北厂界</w:t>
                  </w:r>
                </w:p>
              </w:tc>
              <w:tc>
                <w:tcPr>
                  <w:tcW w:w="1327" w:type="pct"/>
                  <w:tcBorders>
                    <w:top w:val="single" w:color="auto" w:sz="8" w:space="0"/>
                    <w:left w:val="single" w:color="auto" w:sz="4" w:space="0"/>
                    <w:bottom w:val="single" w:color="auto" w:sz="8" w:space="0"/>
                    <w:right w:val="nil"/>
                  </w:tcBorders>
                  <w:vAlign w:val="center"/>
                </w:tcPr>
                <w:p>
                  <w:pPr>
                    <w:adjustRightInd w:val="0"/>
                    <w:snapToGrid w:val="0"/>
                    <w:jc w:val="center"/>
                    <w:rPr>
                      <w:rFonts w:ascii="Times New Roman" w:hAnsi="Times New Roman" w:eastAsia="宋体"/>
                      <w:b/>
                      <w:color w:val="000000" w:themeColor="text1"/>
                      <w:szCs w:val="21"/>
                    </w:rPr>
                  </w:pPr>
                  <w:r>
                    <w:rPr>
                      <w:rFonts w:hint="eastAsia" w:ascii="Times New Roman" w:eastAsia="宋体"/>
                      <w:b/>
                      <w:color w:val="000000" w:themeColor="text1"/>
                      <w:szCs w:val="21"/>
                    </w:rPr>
                    <w:t>执行标准</w:t>
                  </w:r>
                </w:p>
              </w:tc>
              <w:tc>
                <w:tcPr>
                  <w:tcW w:w="703" w:type="pct"/>
                  <w:tcBorders>
                    <w:top w:val="single" w:color="auto" w:sz="8" w:space="0"/>
                    <w:left w:val="single" w:color="auto" w:sz="4" w:space="0"/>
                    <w:bottom w:val="single" w:color="auto" w:sz="8" w:space="0"/>
                    <w:right w:val="nil"/>
                  </w:tcBorders>
                  <w:vAlign w:val="center"/>
                </w:tcPr>
                <w:p>
                  <w:pPr>
                    <w:adjustRightInd w:val="0"/>
                    <w:snapToGrid w:val="0"/>
                    <w:jc w:val="center"/>
                    <w:rPr>
                      <w:rFonts w:ascii="Times New Roman" w:hAnsi="Times New Roman" w:eastAsia="宋体"/>
                      <w:b/>
                      <w:color w:val="000000" w:themeColor="text1"/>
                      <w:szCs w:val="21"/>
                    </w:rPr>
                  </w:pPr>
                  <w:r>
                    <w:rPr>
                      <w:rFonts w:hint="eastAsia" w:ascii="Times New Roman" w:eastAsia="宋体"/>
                      <w:b/>
                      <w:color w:val="000000" w:themeColor="text1"/>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9" w:type="pct"/>
                  <w:gridSpan w:val="2"/>
                  <w:tcBorders>
                    <w:top w:val="single" w:color="auto" w:sz="8"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hint="eastAsia" w:ascii="Times New Roman" w:eastAsia="宋体"/>
                      <w:color w:val="000000" w:themeColor="text1"/>
                      <w:kern w:val="0"/>
                      <w:szCs w:val="21"/>
                    </w:rPr>
                    <w:t>与厂界距离（</w:t>
                  </w:r>
                  <w:r>
                    <w:rPr>
                      <w:rFonts w:ascii="Times New Roman" w:hAnsi="Times New Roman" w:eastAsia="宋体"/>
                      <w:color w:val="000000" w:themeColor="text1"/>
                      <w:kern w:val="0"/>
                      <w:szCs w:val="21"/>
                    </w:rPr>
                    <w:t>m</w:t>
                  </w:r>
                  <w:r>
                    <w:rPr>
                      <w:rFonts w:hint="eastAsia" w:ascii="Times New Roman" w:eastAsia="宋体"/>
                      <w:color w:val="000000" w:themeColor="text1"/>
                      <w:kern w:val="0"/>
                      <w:szCs w:val="21"/>
                    </w:rPr>
                    <w:t>）</w:t>
                  </w:r>
                </w:p>
              </w:tc>
              <w:tc>
                <w:tcPr>
                  <w:tcW w:w="547" w:type="pct"/>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1</w:t>
                  </w:r>
                </w:p>
              </w:tc>
              <w:tc>
                <w:tcPr>
                  <w:tcW w:w="468" w:type="pct"/>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1</w:t>
                  </w:r>
                </w:p>
              </w:tc>
              <w:tc>
                <w:tcPr>
                  <w:tcW w:w="470" w:type="pct"/>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84</w:t>
                  </w:r>
                </w:p>
              </w:tc>
              <w:tc>
                <w:tcPr>
                  <w:tcW w:w="546" w:type="pct"/>
                  <w:tcBorders>
                    <w:top w:val="single" w:color="auto" w:sz="8"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1</w:t>
                  </w:r>
                </w:p>
              </w:tc>
              <w:tc>
                <w:tcPr>
                  <w:tcW w:w="1327" w:type="pct"/>
                  <w:vMerge w:val="restart"/>
                  <w:tcBorders>
                    <w:top w:val="single" w:color="auto" w:sz="8" w:space="0"/>
                    <w:left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《工业企业厂界环境噪声排放标准》（GB12348-2008）</w:t>
                  </w:r>
                  <w:r>
                    <w:rPr>
                      <w:rFonts w:hint="eastAsia" w:ascii="Times New Roman" w:hAnsi="Times New Roman" w:eastAsia="宋体"/>
                      <w:color w:val="000000" w:themeColor="text1"/>
                      <w:szCs w:val="21"/>
                    </w:rPr>
                    <w:t>3</w:t>
                  </w:r>
                  <w:r>
                    <w:rPr>
                      <w:rFonts w:ascii="Times New Roman" w:hAnsi="Times New Roman" w:eastAsia="宋体"/>
                      <w:color w:val="000000" w:themeColor="text1"/>
                      <w:szCs w:val="21"/>
                    </w:rPr>
                    <w:t>类标准：（昼间≤6</w:t>
                  </w:r>
                  <w:r>
                    <w:rPr>
                      <w:rFonts w:hint="eastAsia" w:ascii="Times New Roman" w:hAnsi="Times New Roman" w:eastAsia="宋体"/>
                      <w:color w:val="000000" w:themeColor="text1"/>
                      <w:szCs w:val="21"/>
                    </w:rPr>
                    <w:t>5</w:t>
                  </w:r>
                  <w:r>
                    <w:rPr>
                      <w:rFonts w:ascii="Times New Roman" w:hAnsi="Times New Roman" w:eastAsia="宋体"/>
                      <w:color w:val="000000" w:themeColor="text1"/>
                      <w:szCs w:val="21"/>
                    </w:rPr>
                    <w:t>dB(A)，夜间≤5</w:t>
                  </w:r>
                  <w:r>
                    <w:rPr>
                      <w:rFonts w:hint="eastAsia" w:ascii="Times New Roman" w:hAnsi="Times New Roman" w:eastAsia="宋体"/>
                      <w:color w:val="000000" w:themeColor="text1"/>
                      <w:szCs w:val="21"/>
                    </w:rPr>
                    <w:t>5</w:t>
                  </w:r>
                  <w:r>
                    <w:rPr>
                      <w:rFonts w:ascii="Times New Roman" w:hAnsi="Times New Roman" w:eastAsia="宋体"/>
                      <w:color w:val="000000" w:themeColor="text1"/>
                      <w:szCs w:val="21"/>
                    </w:rPr>
                    <w:t>dB(A)）</w:t>
                  </w:r>
                </w:p>
              </w:tc>
              <w:tc>
                <w:tcPr>
                  <w:tcW w:w="703" w:type="pct"/>
                  <w:tcBorders>
                    <w:top w:val="single" w:color="auto" w:sz="8"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9" w:type="pct"/>
                  <w:gridSpan w:val="2"/>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hint="eastAsia" w:ascii="Times New Roman" w:eastAsia="宋体"/>
                      <w:color w:val="000000" w:themeColor="text1"/>
                      <w:kern w:val="0"/>
                      <w:szCs w:val="21"/>
                    </w:rPr>
                    <w:t>贡献值</w:t>
                  </w:r>
                </w:p>
              </w:tc>
              <w:tc>
                <w:tcPr>
                  <w:tcW w:w="54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45.4</w:t>
                  </w:r>
                </w:p>
              </w:tc>
              <w:tc>
                <w:tcPr>
                  <w:tcW w:w="468"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rPr>
                  </w:pPr>
                  <w:r>
                    <w:rPr>
                      <w:rFonts w:hint="eastAsia" w:ascii="Times New Roman" w:hAnsi="Times New Roman" w:eastAsia="宋体"/>
                      <w:color w:val="000000" w:themeColor="text1"/>
                      <w:szCs w:val="21"/>
                    </w:rPr>
                    <w:t>45.4</w:t>
                  </w:r>
                </w:p>
              </w:tc>
              <w:tc>
                <w:tcPr>
                  <w:tcW w:w="470"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rPr>
                  </w:pPr>
                  <w:r>
                    <w:rPr>
                      <w:rFonts w:hint="eastAsia" w:ascii="Times New Roman" w:hAnsi="Times New Roman" w:eastAsia="宋体"/>
                      <w:color w:val="000000" w:themeColor="text1"/>
                      <w:szCs w:val="21"/>
                    </w:rPr>
                    <w:t>6.9</w:t>
                  </w:r>
                </w:p>
              </w:tc>
              <w:tc>
                <w:tcPr>
                  <w:tcW w:w="546" w:type="pct"/>
                  <w:tcBorders>
                    <w:top w:val="single" w:color="auto" w:sz="4" w:space="0"/>
                    <w:left w:val="single" w:color="auto" w:sz="4" w:space="0"/>
                    <w:bottom w:val="single" w:color="auto" w:sz="4" w:space="0"/>
                    <w:right w:val="nil"/>
                  </w:tcBorders>
                  <w:vAlign w:val="center"/>
                </w:tcPr>
                <w:p>
                  <w:pPr>
                    <w:jc w:val="center"/>
                    <w:rPr>
                      <w:color w:val="000000" w:themeColor="text1"/>
                    </w:rPr>
                  </w:pPr>
                  <w:r>
                    <w:rPr>
                      <w:rFonts w:hint="eastAsia" w:ascii="Times New Roman" w:hAnsi="Times New Roman" w:eastAsia="宋体"/>
                      <w:color w:val="000000" w:themeColor="text1"/>
                      <w:szCs w:val="21"/>
                    </w:rPr>
                    <w:t>45.4</w:t>
                  </w:r>
                </w:p>
              </w:tc>
              <w:tc>
                <w:tcPr>
                  <w:tcW w:w="1327" w:type="pct"/>
                  <w:vMerge w:val="continue"/>
                  <w:tcBorders>
                    <w:left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p>
              </w:tc>
              <w:tc>
                <w:tcPr>
                  <w:tcW w:w="703" w:type="pct"/>
                  <w:tcBorders>
                    <w:top w:val="single" w:color="auto" w:sz="4" w:space="0"/>
                    <w:left w:val="single" w:color="auto" w:sz="4" w:space="0"/>
                    <w:bottom w:val="single" w:color="auto" w:sz="4" w:space="0"/>
                    <w:right w:val="nil"/>
                  </w:tcBorders>
                  <w:vAlign w:val="center"/>
                </w:tcPr>
                <w:p>
                  <w:pPr>
                    <w:jc w:val="center"/>
                    <w:rPr>
                      <w:color w:val="000000" w:themeColor="text1"/>
                    </w:rPr>
                  </w:pPr>
                  <w:r>
                    <w:rPr>
                      <w:rFonts w:hint="eastAsia" w:ascii="Times New Roman" w:hAnsi="Times New Roman" w:eastAsia="宋体"/>
                      <w:color w:val="000000" w:themeColor="text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 w:type="pct"/>
                  <w:vMerge w:val="restart"/>
                  <w:tcBorders>
                    <w:top w:val="single" w:color="auto" w:sz="4" w:space="0"/>
                    <w:left w:val="nil"/>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kern w:val="0"/>
                      <w:szCs w:val="21"/>
                    </w:rPr>
                  </w:pPr>
                  <w:r>
                    <w:rPr>
                      <w:rFonts w:hint="eastAsia" w:ascii="Times New Roman" w:eastAsia="宋体"/>
                      <w:color w:val="000000" w:themeColor="text1"/>
                      <w:kern w:val="0"/>
                      <w:szCs w:val="21"/>
                    </w:rPr>
                    <w:t>背景值</w:t>
                  </w:r>
                </w:p>
              </w:tc>
              <w:tc>
                <w:tcPr>
                  <w:tcW w:w="47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hint="eastAsia" w:ascii="Times New Roman" w:eastAsia="宋体"/>
                      <w:color w:val="000000" w:themeColor="text1"/>
                      <w:szCs w:val="21"/>
                    </w:rPr>
                    <w:t>昼间</w:t>
                  </w:r>
                </w:p>
              </w:tc>
              <w:tc>
                <w:tcPr>
                  <w:tcW w:w="54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bCs/>
                      <w:color w:val="000000" w:themeColor="text1"/>
                      <w:szCs w:val="21"/>
                    </w:rPr>
                    <w:t>5</w:t>
                  </w:r>
                  <w:r>
                    <w:rPr>
                      <w:rFonts w:hint="eastAsia" w:ascii="Times New Roman" w:hAnsi="Times New Roman" w:eastAsia="宋体"/>
                      <w:bCs/>
                      <w:color w:val="000000" w:themeColor="text1"/>
                      <w:szCs w:val="21"/>
                    </w:rPr>
                    <w:t>7.4</w:t>
                  </w:r>
                </w:p>
              </w:tc>
              <w:tc>
                <w:tcPr>
                  <w:tcW w:w="4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bCs/>
                      <w:color w:val="000000" w:themeColor="text1"/>
                      <w:szCs w:val="21"/>
                    </w:rPr>
                    <w:t>5</w:t>
                  </w:r>
                  <w:r>
                    <w:rPr>
                      <w:rFonts w:hint="eastAsia" w:ascii="Times New Roman" w:hAnsi="Times New Roman" w:eastAsia="宋体"/>
                      <w:bCs/>
                      <w:color w:val="000000" w:themeColor="text1"/>
                      <w:szCs w:val="21"/>
                    </w:rPr>
                    <w:t>7.4</w:t>
                  </w:r>
                </w:p>
              </w:tc>
              <w:tc>
                <w:tcPr>
                  <w:tcW w:w="47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bCs/>
                      <w:color w:val="000000" w:themeColor="text1"/>
                      <w:szCs w:val="21"/>
                    </w:rPr>
                    <w:t>5</w:t>
                  </w:r>
                  <w:r>
                    <w:rPr>
                      <w:rFonts w:hint="eastAsia" w:ascii="Times New Roman" w:hAnsi="Times New Roman" w:eastAsia="宋体"/>
                      <w:bCs/>
                      <w:color w:val="000000" w:themeColor="text1"/>
                      <w:szCs w:val="21"/>
                    </w:rPr>
                    <w:t>8.3</w:t>
                  </w:r>
                </w:p>
              </w:tc>
              <w:tc>
                <w:tcPr>
                  <w:tcW w:w="5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hint="eastAsia" w:ascii="Times New Roman" w:hAnsi="Times New Roman" w:eastAsia="宋体"/>
                      <w:bCs/>
                      <w:color w:val="000000" w:themeColor="text1"/>
                      <w:szCs w:val="21"/>
                    </w:rPr>
                    <w:t>59.2</w:t>
                  </w:r>
                </w:p>
              </w:tc>
              <w:tc>
                <w:tcPr>
                  <w:tcW w:w="1327" w:type="pct"/>
                  <w:vMerge w:val="continue"/>
                  <w:tcBorders>
                    <w:left w:val="single" w:color="auto" w:sz="4" w:space="0"/>
                    <w:right w:val="nil"/>
                  </w:tcBorders>
                  <w:vAlign w:val="center"/>
                </w:tcPr>
                <w:p>
                  <w:pPr>
                    <w:adjustRightInd w:val="0"/>
                    <w:snapToGrid w:val="0"/>
                    <w:jc w:val="center"/>
                    <w:rPr>
                      <w:rFonts w:ascii="Times New Roman" w:hAnsi="Times New Roman" w:eastAsia="宋体"/>
                      <w:bCs/>
                      <w:color w:val="000000" w:themeColor="text1"/>
                      <w:szCs w:val="21"/>
                    </w:rPr>
                  </w:pPr>
                </w:p>
              </w:tc>
              <w:tc>
                <w:tcPr>
                  <w:tcW w:w="703" w:type="pct"/>
                  <w:tcBorders>
                    <w:top w:val="single" w:color="auto" w:sz="4" w:space="0"/>
                    <w:left w:val="single" w:color="auto" w:sz="4" w:space="0"/>
                    <w:bottom w:val="single" w:color="auto" w:sz="4" w:space="0"/>
                    <w:right w:val="nil"/>
                  </w:tcBorders>
                  <w:vAlign w:val="center"/>
                </w:tcPr>
                <w:p>
                  <w:pPr>
                    <w:jc w:val="center"/>
                    <w:rPr>
                      <w:color w:val="000000" w:themeColor="text1"/>
                    </w:rPr>
                  </w:pPr>
                  <w:r>
                    <w:rPr>
                      <w:rFonts w:hint="eastAsia" w:ascii="Times New Roman" w:hAnsi="Times New Roman" w:eastAsia="宋体"/>
                      <w:color w:val="000000" w:themeColor="text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 w:type="pct"/>
                  <w:vMerge w:val="continue"/>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olor w:val="000000" w:themeColor="text1"/>
                      <w:kern w:val="0"/>
                      <w:szCs w:val="21"/>
                    </w:rPr>
                  </w:pPr>
                </w:p>
              </w:tc>
              <w:tc>
                <w:tcPr>
                  <w:tcW w:w="47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kern w:val="0"/>
                      <w:szCs w:val="21"/>
                    </w:rPr>
                  </w:pPr>
                  <w:r>
                    <w:rPr>
                      <w:rFonts w:hint="eastAsia" w:ascii="Times New Roman" w:eastAsia="宋体"/>
                      <w:color w:val="000000" w:themeColor="text1"/>
                      <w:kern w:val="0"/>
                      <w:szCs w:val="21"/>
                    </w:rPr>
                    <w:t>夜间</w:t>
                  </w:r>
                </w:p>
              </w:tc>
              <w:tc>
                <w:tcPr>
                  <w:tcW w:w="54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hint="eastAsia" w:ascii="Times New Roman" w:hAnsi="Times New Roman" w:eastAsia="宋体"/>
                      <w:bCs/>
                      <w:color w:val="000000" w:themeColor="text1"/>
                      <w:szCs w:val="21"/>
                    </w:rPr>
                    <w:t>45.1</w:t>
                  </w:r>
                </w:p>
              </w:tc>
              <w:tc>
                <w:tcPr>
                  <w:tcW w:w="4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bCs/>
                      <w:color w:val="000000" w:themeColor="text1"/>
                      <w:szCs w:val="21"/>
                    </w:rPr>
                    <w:t>4</w:t>
                  </w:r>
                  <w:r>
                    <w:rPr>
                      <w:rFonts w:hint="eastAsia" w:ascii="Times New Roman" w:hAnsi="Times New Roman" w:eastAsia="宋体"/>
                      <w:bCs/>
                      <w:color w:val="000000" w:themeColor="text1"/>
                      <w:szCs w:val="21"/>
                    </w:rPr>
                    <w:t>6.4</w:t>
                  </w:r>
                </w:p>
              </w:tc>
              <w:tc>
                <w:tcPr>
                  <w:tcW w:w="47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bCs/>
                      <w:color w:val="000000" w:themeColor="text1"/>
                      <w:szCs w:val="21"/>
                    </w:rPr>
                    <w:t>4</w:t>
                  </w:r>
                  <w:r>
                    <w:rPr>
                      <w:rFonts w:hint="eastAsia" w:ascii="Times New Roman" w:hAnsi="Times New Roman" w:eastAsia="宋体"/>
                      <w:bCs/>
                      <w:color w:val="000000" w:themeColor="text1"/>
                      <w:szCs w:val="21"/>
                    </w:rPr>
                    <w:t>6.1</w:t>
                  </w:r>
                </w:p>
              </w:tc>
              <w:tc>
                <w:tcPr>
                  <w:tcW w:w="5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bCs/>
                      <w:color w:val="000000" w:themeColor="text1"/>
                      <w:szCs w:val="21"/>
                    </w:rPr>
                    <w:t>4</w:t>
                  </w:r>
                  <w:r>
                    <w:rPr>
                      <w:rFonts w:hint="eastAsia" w:ascii="Times New Roman" w:hAnsi="Times New Roman" w:eastAsia="宋体"/>
                      <w:bCs/>
                      <w:color w:val="000000" w:themeColor="text1"/>
                      <w:szCs w:val="21"/>
                    </w:rPr>
                    <w:t>6.6</w:t>
                  </w:r>
                </w:p>
              </w:tc>
              <w:tc>
                <w:tcPr>
                  <w:tcW w:w="1327" w:type="pct"/>
                  <w:vMerge w:val="continue"/>
                  <w:tcBorders>
                    <w:left w:val="single" w:color="auto" w:sz="4" w:space="0"/>
                    <w:right w:val="nil"/>
                  </w:tcBorders>
                  <w:vAlign w:val="center"/>
                </w:tcPr>
                <w:p>
                  <w:pPr>
                    <w:adjustRightInd w:val="0"/>
                    <w:snapToGrid w:val="0"/>
                    <w:jc w:val="center"/>
                    <w:rPr>
                      <w:rFonts w:ascii="Times New Roman" w:hAnsi="Times New Roman" w:eastAsia="宋体"/>
                      <w:bCs/>
                      <w:color w:val="000000" w:themeColor="text1"/>
                      <w:szCs w:val="21"/>
                    </w:rPr>
                  </w:pPr>
                </w:p>
              </w:tc>
              <w:tc>
                <w:tcPr>
                  <w:tcW w:w="703" w:type="pct"/>
                  <w:tcBorders>
                    <w:top w:val="single" w:color="auto" w:sz="4" w:space="0"/>
                    <w:left w:val="single" w:color="auto" w:sz="4" w:space="0"/>
                    <w:bottom w:val="single" w:color="auto" w:sz="4" w:space="0"/>
                    <w:right w:val="nil"/>
                  </w:tcBorders>
                  <w:vAlign w:val="center"/>
                </w:tcPr>
                <w:p>
                  <w:pPr>
                    <w:jc w:val="center"/>
                    <w:rPr>
                      <w:color w:val="000000" w:themeColor="text1"/>
                    </w:rPr>
                  </w:pPr>
                  <w:r>
                    <w:rPr>
                      <w:rFonts w:hint="eastAsia" w:ascii="Times New Roman" w:hAnsi="Times New Roman" w:eastAsia="宋体"/>
                      <w:color w:val="000000" w:themeColor="text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 w:type="pct"/>
                  <w:vMerge w:val="restart"/>
                  <w:tcBorders>
                    <w:top w:val="single" w:color="auto" w:sz="4" w:space="0"/>
                    <w:left w:val="nil"/>
                    <w:bottom w:val="single" w:color="auto" w:sz="12" w:space="0"/>
                    <w:right w:val="single" w:color="auto" w:sz="4" w:space="0"/>
                  </w:tcBorders>
                  <w:vAlign w:val="center"/>
                </w:tcPr>
                <w:p>
                  <w:pPr>
                    <w:adjustRightInd w:val="0"/>
                    <w:snapToGrid w:val="0"/>
                    <w:jc w:val="center"/>
                    <w:rPr>
                      <w:rFonts w:ascii="Times New Roman" w:hAnsi="Times New Roman" w:eastAsia="宋体"/>
                      <w:color w:val="000000" w:themeColor="text1"/>
                      <w:kern w:val="0"/>
                      <w:szCs w:val="21"/>
                    </w:rPr>
                  </w:pPr>
                  <w:r>
                    <w:rPr>
                      <w:rFonts w:hint="eastAsia" w:ascii="Times New Roman" w:eastAsia="宋体"/>
                      <w:color w:val="000000" w:themeColor="text1"/>
                      <w:kern w:val="0"/>
                      <w:szCs w:val="21"/>
                    </w:rPr>
                    <w:t>预测值</w:t>
                  </w:r>
                </w:p>
              </w:tc>
              <w:tc>
                <w:tcPr>
                  <w:tcW w:w="47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hint="eastAsia" w:ascii="Times New Roman" w:eastAsia="宋体"/>
                      <w:color w:val="000000" w:themeColor="text1"/>
                      <w:szCs w:val="21"/>
                    </w:rPr>
                    <w:t>昼间</w:t>
                  </w:r>
                </w:p>
              </w:tc>
              <w:tc>
                <w:tcPr>
                  <w:tcW w:w="54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5</w:t>
                  </w:r>
                  <w:r>
                    <w:rPr>
                      <w:rFonts w:hint="eastAsia" w:ascii="Times New Roman" w:hAnsi="Times New Roman" w:eastAsia="宋体"/>
                      <w:color w:val="000000" w:themeColor="text1"/>
                      <w:szCs w:val="21"/>
                    </w:rPr>
                    <w:t>7.67</w:t>
                  </w:r>
                </w:p>
              </w:tc>
              <w:tc>
                <w:tcPr>
                  <w:tcW w:w="4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bCs/>
                      <w:color w:val="000000" w:themeColor="text1"/>
                      <w:szCs w:val="21"/>
                    </w:rPr>
                    <w:t>5</w:t>
                  </w:r>
                  <w:r>
                    <w:rPr>
                      <w:rFonts w:hint="eastAsia" w:ascii="Times New Roman" w:hAnsi="Times New Roman" w:eastAsia="宋体"/>
                      <w:bCs/>
                      <w:color w:val="000000" w:themeColor="text1"/>
                      <w:szCs w:val="21"/>
                    </w:rPr>
                    <w:t>7.67</w:t>
                  </w:r>
                </w:p>
              </w:tc>
              <w:tc>
                <w:tcPr>
                  <w:tcW w:w="47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5</w:t>
                  </w:r>
                  <w:r>
                    <w:rPr>
                      <w:rFonts w:hint="eastAsia" w:ascii="Times New Roman" w:hAnsi="Times New Roman" w:eastAsia="宋体"/>
                      <w:color w:val="000000" w:themeColor="text1"/>
                      <w:szCs w:val="21"/>
                    </w:rPr>
                    <w:t>8.3</w:t>
                  </w:r>
                </w:p>
              </w:tc>
              <w:tc>
                <w:tcPr>
                  <w:tcW w:w="546" w:type="pct"/>
                  <w:tcBorders>
                    <w:top w:val="single" w:color="auto" w:sz="4" w:space="0"/>
                    <w:left w:val="single" w:color="auto" w:sz="4" w:space="0"/>
                    <w:bottom w:val="single" w:color="auto" w:sz="4"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bCs/>
                      <w:color w:val="000000" w:themeColor="text1"/>
                      <w:szCs w:val="21"/>
                    </w:rPr>
                    <w:t>5</w:t>
                  </w:r>
                  <w:r>
                    <w:rPr>
                      <w:rFonts w:hint="eastAsia" w:ascii="Times New Roman" w:hAnsi="Times New Roman" w:eastAsia="宋体"/>
                      <w:bCs/>
                      <w:color w:val="000000" w:themeColor="text1"/>
                      <w:szCs w:val="21"/>
                    </w:rPr>
                    <w:t>9.38</w:t>
                  </w:r>
                </w:p>
              </w:tc>
              <w:tc>
                <w:tcPr>
                  <w:tcW w:w="1327" w:type="pct"/>
                  <w:vMerge w:val="continue"/>
                  <w:tcBorders>
                    <w:left w:val="single" w:color="auto" w:sz="4" w:space="0"/>
                    <w:right w:val="nil"/>
                  </w:tcBorders>
                  <w:vAlign w:val="center"/>
                </w:tcPr>
                <w:p>
                  <w:pPr>
                    <w:adjustRightInd w:val="0"/>
                    <w:snapToGrid w:val="0"/>
                    <w:jc w:val="center"/>
                    <w:rPr>
                      <w:rFonts w:ascii="Times New Roman" w:hAnsi="Times New Roman" w:eastAsia="宋体"/>
                      <w:bCs/>
                      <w:color w:val="000000" w:themeColor="text1"/>
                      <w:szCs w:val="21"/>
                    </w:rPr>
                  </w:pPr>
                </w:p>
              </w:tc>
              <w:tc>
                <w:tcPr>
                  <w:tcW w:w="703" w:type="pct"/>
                  <w:tcBorders>
                    <w:top w:val="single" w:color="auto" w:sz="4" w:space="0"/>
                    <w:left w:val="single" w:color="auto" w:sz="4" w:space="0"/>
                    <w:bottom w:val="single" w:color="auto" w:sz="4" w:space="0"/>
                    <w:right w:val="nil"/>
                  </w:tcBorders>
                  <w:vAlign w:val="center"/>
                </w:tcPr>
                <w:p>
                  <w:pPr>
                    <w:jc w:val="center"/>
                    <w:rPr>
                      <w:color w:val="000000" w:themeColor="text1"/>
                    </w:rPr>
                  </w:pPr>
                  <w:r>
                    <w:rPr>
                      <w:rFonts w:hint="eastAsia" w:ascii="Times New Roman" w:hAnsi="Times New Roman" w:eastAsia="宋体"/>
                      <w:color w:val="000000" w:themeColor="text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 w:type="pct"/>
                  <w:vMerge w:val="continue"/>
                  <w:tcBorders>
                    <w:top w:val="single" w:color="auto" w:sz="4" w:space="0"/>
                    <w:left w:val="nil"/>
                    <w:bottom w:val="single" w:color="auto" w:sz="8" w:space="0"/>
                    <w:right w:val="single" w:color="auto" w:sz="4" w:space="0"/>
                  </w:tcBorders>
                  <w:vAlign w:val="center"/>
                </w:tcPr>
                <w:p>
                  <w:pPr>
                    <w:widowControl/>
                    <w:jc w:val="center"/>
                    <w:rPr>
                      <w:rFonts w:ascii="Times New Roman" w:hAnsi="Times New Roman" w:eastAsia="宋体"/>
                      <w:color w:val="000000" w:themeColor="text1"/>
                      <w:kern w:val="0"/>
                      <w:szCs w:val="21"/>
                    </w:rPr>
                  </w:pPr>
                </w:p>
              </w:tc>
              <w:tc>
                <w:tcPr>
                  <w:tcW w:w="472" w:type="pct"/>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rFonts w:ascii="Times New Roman" w:hAnsi="Times New Roman" w:eastAsia="宋体"/>
                      <w:color w:val="000000" w:themeColor="text1"/>
                      <w:kern w:val="0"/>
                      <w:szCs w:val="21"/>
                    </w:rPr>
                  </w:pPr>
                  <w:r>
                    <w:rPr>
                      <w:rFonts w:hint="eastAsia" w:ascii="Times New Roman" w:eastAsia="宋体"/>
                      <w:color w:val="000000" w:themeColor="text1"/>
                      <w:kern w:val="0"/>
                      <w:szCs w:val="21"/>
                    </w:rPr>
                    <w:t>夜间</w:t>
                  </w:r>
                </w:p>
              </w:tc>
              <w:tc>
                <w:tcPr>
                  <w:tcW w:w="547" w:type="pct"/>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48.26</w:t>
                  </w:r>
                </w:p>
              </w:tc>
              <w:tc>
                <w:tcPr>
                  <w:tcW w:w="468" w:type="pct"/>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bCs/>
                      <w:color w:val="000000" w:themeColor="text1"/>
                      <w:szCs w:val="21"/>
                    </w:rPr>
                    <w:t>4</w:t>
                  </w:r>
                  <w:r>
                    <w:rPr>
                      <w:rFonts w:hint="eastAsia" w:ascii="Times New Roman" w:hAnsi="Times New Roman" w:eastAsia="宋体"/>
                      <w:bCs/>
                      <w:color w:val="000000" w:themeColor="text1"/>
                      <w:szCs w:val="21"/>
                    </w:rPr>
                    <w:t>8.94</w:t>
                  </w:r>
                </w:p>
              </w:tc>
              <w:tc>
                <w:tcPr>
                  <w:tcW w:w="470" w:type="pct"/>
                  <w:tcBorders>
                    <w:top w:val="single" w:color="auto" w:sz="4" w:space="0"/>
                    <w:left w:val="single" w:color="auto" w:sz="4" w:space="0"/>
                    <w:bottom w:val="single" w:color="auto" w:sz="8" w:space="0"/>
                    <w:right w:val="single" w:color="auto" w:sz="4"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4</w:t>
                  </w:r>
                  <w:r>
                    <w:rPr>
                      <w:rFonts w:hint="eastAsia" w:ascii="Times New Roman" w:hAnsi="Times New Roman" w:eastAsia="宋体"/>
                      <w:color w:val="000000" w:themeColor="text1"/>
                      <w:szCs w:val="21"/>
                    </w:rPr>
                    <w:t>6.1</w:t>
                  </w:r>
                </w:p>
              </w:tc>
              <w:tc>
                <w:tcPr>
                  <w:tcW w:w="546" w:type="pct"/>
                  <w:tcBorders>
                    <w:top w:val="single" w:color="auto" w:sz="4" w:space="0"/>
                    <w:left w:val="single" w:color="auto" w:sz="4" w:space="0"/>
                    <w:bottom w:val="single" w:color="auto" w:sz="8" w:space="0"/>
                    <w:right w:val="nil"/>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4</w:t>
                  </w:r>
                  <w:r>
                    <w:rPr>
                      <w:rFonts w:hint="eastAsia" w:ascii="Times New Roman" w:hAnsi="Times New Roman" w:eastAsia="宋体"/>
                      <w:color w:val="000000" w:themeColor="text1"/>
                      <w:szCs w:val="21"/>
                    </w:rPr>
                    <w:t>9.05</w:t>
                  </w:r>
                </w:p>
              </w:tc>
              <w:tc>
                <w:tcPr>
                  <w:tcW w:w="1327" w:type="pct"/>
                  <w:vMerge w:val="continue"/>
                  <w:tcBorders>
                    <w:left w:val="single" w:color="auto" w:sz="4" w:space="0"/>
                    <w:bottom w:val="single" w:color="auto" w:sz="8" w:space="0"/>
                    <w:right w:val="nil"/>
                  </w:tcBorders>
                  <w:vAlign w:val="center"/>
                </w:tcPr>
                <w:p>
                  <w:pPr>
                    <w:adjustRightInd w:val="0"/>
                    <w:snapToGrid w:val="0"/>
                    <w:jc w:val="center"/>
                    <w:rPr>
                      <w:rFonts w:ascii="Times New Roman" w:hAnsi="Times New Roman" w:eastAsia="宋体"/>
                      <w:color w:val="000000" w:themeColor="text1"/>
                      <w:szCs w:val="21"/>
                    </w:rPr>
                  </w:pPr>
                </w:p>
              </w:tc>
              <w:tc>
                <w:tcPr>
                  <w:tcW w:w="703" w:type="pct"/>
                  <w:tcBorders>
                    <w:top w:val="single" w:color="auto" w:sz="4" w:space="0"/>
                    <w:left w:val="single" w:color="auto" w:sz="4" w:space="0"/>
                    <w:bottom w:val="single" w:color="auto" w:sz="8" w:space="0"/>
                    <w:right w:val="nil"/>
                  </w:tcBorders>
                  <w:vAlign w:val="center"/>
                </w:tcPr>
                <w:p>
                  <w:pPr>
                    <w:jc w:val="center"/>
                    <w:rPr>
                      <w:color w:val="000000" w:themeColor="text1"/>
                    </w:rPr>
                  </w:pPr>
                  <w:r>
                    <w:rPr>
                      <w:rFonts w:hint="eastAsia" w:ascii="Times New Roman" w:hAnsi="Times New Roman" w:eastAsia="宋体"/>
                      <w:color w:val="000000" w:themeColor="text1"/>
                      <w:szCs w:val="21"/>
                    </w:rPr>
                    <w:t>达标</w:t>
                  </w:r>
                </w:p>
              </w:tc>
            </w:tr>
          </w:tbl>
          <w:p>
            <w:pPr>
              <w:snapToGrid w:val="0"/>
              <w:spacing w:line="440" w:lineRule="exact"/>
              <w:ind w:firstLine="480" w:firstLineChars="200"/>
              <w:rPr>
                <w:rFonts w:ascii="Times New Roman" w:hAnsi="Times New Roman" w:eastAsia="宋体"/>
                <w:color w:val="000000" w:themeColor="text1"/>
                <w:sz w:val="24"/>
              </w:rPr>
            </w:pPr>
            <w:r>
              <w:rPr>
                <w:rFonts w:ascii="Times New Roman" w:hAnsi="Times New Roman" w:eastAsia="宋体"/>
                <w:color w:val="000000" w:themeColor="text1"/>
                <w:sz w:val="24"/>
              </w:rPr>
              <w:t>由上表可知，通过</w:t>
            </w:r>
            <w:r>
              <w:rPr>
                <w:rFonts w:hint="eastAsia" w:asciiTheme="minorEastAsia" w:hAnsiTheme="minorEastAsia" w:eastAsiaTheme="minorEastAsia"/>
                <w:color w:val="000000" w:themeColor="text1"/>
                <w:sz w:val="24"/>
              </w:rPr>
              <w:t>基础减振、距离衰减、厂房隔声等措施</w:t>
            </w:r>
            <w:r>
              <w:rPr>
                <w:rFonts w:ascii="Times New Roman" w:hAnsi="Times New Roman" w:eastAsia="宋体"/>
                <w:color w:val="000000" w:themeColor="text1"/>
                <w:sz w:val="24"/>
              </w:rPr>
              <w:t>后，项目建设各厂界噪声预测值能满足《工业企业厂界环境噪声排放标准》（GB12348-2008）</w:t>
            </w:r>
            <w:r>
              <w:rPr>
                <w:rFonts w:hint="eastAsia" w:ascii="Times New Roman" w:hAnsi="Times New Roman" w:eastAsia="宋体"/>
                <w:color w:val="000000" w:themeColor="text1"/>
                <w:sz w:val="24"/>
              </w:rPr>
              <w:t>3</w:t>
            </w:r>
            <w:r>
              <w:rPr>
                <w:rFonts w:ascii="Times New Roman" w:hAnsi="Times New Roman" w:eastAsia="宋体"/>
                <w:color w:val="000000" w:themeColor="text1"/>
                <w:sz w:val="24"/>
              </w:rPr>
              <w:t>类标准［昼间≤6</w:t>
            </w:r>
            <w:r>
              <w:rPr>
                <w:rFonts w:hint="eastAsia" w:ascii="Times New Roman" w:hAnsi="Times New Roman" w:eastAsia="宋体"/>
                <w:color w:val="000000" w:themeColor="text1"/>
                <w:sz w:val="24"/>
              </w:rPr>
              <w:t>5</w:t>
            </w:r>
            <w:r>
              <w:rPr>
                <w:rFonts w:ascii="Times New Roman" w:hAnsi="Times New Roman" w:eastAsia="宋体"/>
                <w:color w:val="000000" w:themeColor="text1"/>
                <w:sz w:val="24"/>
              </w:rPr>
              <w:t>dB(A)，夜间≤5</w:t>
            </w:r>
            <w:r>
              <w:rPr>
                <w:rFonts w:hint="eastAsia" w:ascii="Times New Roman" w:hAnsi="Times New Roman" w:eastAsia="宋体"/>
                <w:color w:val="000000" w:themeColor="text1"/>
                <w:sz w:val="24"/>
              </w:rPr>
              <w:t>5</w:t>
            </w:r>
            <w:r>
              <w:rPr>
                <w:rFonts w:ascii="Times New Roman" w:hAnsi="Times New Roman" w:eastAsia="宋体"/>
                <w:color w:val="000000" w:themeColor="text1"/>
                <w:sz w:val="24"/>
              </w:rPr>
              <w:t>dB(A)]要求。</w:t>
            </w:r>
          </w:p>
          <w:p>
            <w:pPr>
              <w:adjustRightInd w:val="0"/>
              <w:snapToGrid w:val="0"/>
              <w:spacing w:line="440" w:lineRule="exact"/>
              <w:ind w:firstLine="482" w:firstLineChars="200"/>
              <w:rPr>
                <w:rFonts w:ascii="Times New Roman" w:hAnsi="Times New Roman" w:eastAsia="宋体"/>
                <w:b/>
                <w:color w:val="000000" w:themeColor="text1"/>
                <w:kern w:val="0"/>
                <w:sz w:val="24"/>
              </w:rPr>
            </w:pPr>
            <w:r>
              <w:rPr>
                <w:rFonts w:ascii="Times New Roman" w:hAnsi="Times New Roman" w:eastAsia="宋体"/>
                <w:b/>
                <w:color w:val="000000" w:themeColor="text1"/>
                <w:kern w:val="0"/>
                <w:sz w:val="24"/>
              </w:rPr>
              <w:t>四、固体废物环境影响分析</w:t>
            </w:r>
          </w:p>
          <w:p>
            <w:pPr>
              <w:autoSpaceDE w:val="0"/>
              <w:autoSpaceDN w:val="0"/>
              <w:adjustRightInd w:val="0"/>
              <w:spacing w:line="440" w:lineRule="exact"/>
              <w:ind w:firstLine="482" w:firstLineChars="200"/>
              <w:rPr>
                <w:rFonts w:ascii="Times New Roman" w:hAnsi="Times New Roman" w:eastAsia="宋体"/>
                <w:b/>
                <w:bCs/>
                <w:color w:val="000000" w:themeColor="text1"/>
                <w:sz w:val="24"/>
              </w:rPr>
            </w:pPr>
            <w:r>
              <w:rPr>
                <w:rFonts w:ascii="Times New Roman" w:hAnsi="Times New Roman" w:eastAsia="宋体"/>
                <w:b/>
                <w:bCs/>
                <w:color w:val="000000" w:themeColor="text1"/>
                <w:sz w:val="24"/>
              </w:rPr>
              <w:t>1、源强分析</w:t>
            </w:r>
          </w:p>
          <w:p>
            <w:pPr>
              <w:pStyle w:val="9"/>
              <w:spacing w:line="440" w:lineRule="exact"/>
              <w:ind w:firstLine="480" w:firstLineChars="200"/>
              <w:rPr>
                <w:rFonts w:ascii="Times New Roman" w:hAnsi="Times New Roman" w:eastAsia="宋体"/>
                <w:color w:val="000000" w:themeColor="text1"/>
                <w:sz w:val="24"/>
              </w:rPr>
            </w:pPr>
            <w:r>
              <w:rPr>
                <w:rFonts w:ascii="Times New Roman" w:hAnsi="Times New Roman" w:eastAsia="宋体"/>
                <w:color w:val="000000" w:themeColor="text1"/>
                <w:sz w:val="24"/>
              </w:rPr>
              <w:t>本项目运营期产生的固废主要为质检工序产生的不合格产品</w:t>
            </w:r>
            <w:r>
              <w:rPr>
                <w:rFonts w:hint="eastAsia" w:ascii="Times New Roman" w:hAnsi="Times New Roman" w:eastAsia="宋体"/>
                <w:color w:val="000000" w:themeColor="text1"/>
                <w:sz w:val="24"/>
              </w:rPr>
              <w:t>、</w:t>
            </w:r>
            <w:r>
              <w:rPr>
                <w:rFonts w:ascii="Times New Roman" w:hAnsi="Times New Roman" w:eastAsia="宋体"/>
                <w:color w:val="000000" w:themeColor="text1"/>
                <w:sz w:val="24"/>
              </w:rPr>
              <w:t>包装工序产生的废包装物和废气处理过程产生的废催化剂</w:t>
            </w:r>
            <w:r>
              <w:rPr>
                <w:rFonts w:hint="eastAsia" w:ascii="Times New Roman" w:hAnsi="Times New Roman" w:eastAsia="宋体"/>
                <w:color w:val="000000" w:themeColor="text1"/>
                <w:sz w:val="24"/>
              </w:rPr>
              <w:t>、</w:t>
            </w:r>
            <w:r>
              <w:rPr>
                <w:rFonts w:ascii="Times New Roman" w:hAnsi="Times New Roman" w:eastAsia="宋体"/>
                <w:color w:val="000000" w:themeColor="text1"/>
                <w:sz w:val="24"/>
              </w:rPr>
              <w:t>废紫外灯管</w:t>
            </w:r>
            <w:r>
              <w:rPr>
                <w:rFonts w:hint="eastAsia" w:ascii="Times New Roman" w:hAnsi="Times New Roman" w:eastAsia="宋体"/>
                <w:color w:val="000000" w:themeColor="text1"/>
                <w:sz w:val="24"/>
              </w:rPr>
              <w:t>、</w:t>
            </w:r>
            <w:r>
              <w:rPr>
                <w:rFonts w:ascii="Times New Roman" w:hAnsi="Times New Roman" w:eastAsia="宋体"/>
                <w:color w:val="000000" w:themeColor="text1"/>
                <w:sz w:val="24"/>
              </w:rPr>
              <w:t>废活性炭。</w:t>
            </w:r>
          </w:p>
          <w:p>
            <w:pPr>
              <w:adjustRightInd w:val="0"/>
              <w:snapToGrid w:val="0"/>
              <w:spacing w:line="440" w:lineRule="exact"/>
              <w:ind w:firstLine="482" w:firstLineChars="200"/>
              <w:rPr>
                <w:rFonts w:ascii="Times New Roman" w:hAnsi="Times New Roman" w:eastAsia="宋体"/>
                <w:b/>
                <w:bCs/>
                <w:color w:val="000000" w:themeColor="text1"/>
                <w:sz w:val="24"/>
              </w:rPr>
            </w:pPr>
            <w:r>
              <w:rPr>
                <w:rFonts w:ascii="Times New Roman" w:hAnsi="Times New Roman" w:eastAsia="宋体"/>
                <w:b/>
                <w:bCs/>
                <w:color w:val="000000" w:themeColor="text1"/>
                <w:sz w:val="24"/>
              </w:rPr>
              <w:t>（1）一般固废</w:t>
            </w:r>
          </w:p>
          <w:p>
            <w:pPr>
              <w:pStyle w:val="9"/>
              <w:spacing w:line="440" w:lineRule="exact"/>
              <w:ind w:firstLine="480" w:firstLineChars="200"/>
              <w:rPr>
                <w:rFonts w:ascii="Times New Roman" w:hAnsi="Times New Roman" w:eastAsia="宋体"/>
                <w:color w:val="000000" w:themeColor="text1"/>
                <w:sz w:val="24"/>
              </w:rPr>
            </w:pPr>
            <w:r>
              <w:rPr>
                <w:rFonts w:ascii="Times New Roman" w:hAnsi="Times New Roman" w:eastAsia="宋体"/>
                <w:color w:val="000000" w:themeColor="text1"/>
                <w:sz w:val="24"/>
              </w:rPr>
              <w:t>本项目质检工序产生的不合格产品</w:t>
            </w:r>
            <w:r>
              <w:rPr>
                <w:rFonts w:hint="eastAsia" w:ascii="Times New Roman" w:hAnsi="Times New Roman" w:eastAsia="宋体"/>
                <w:color w:val="000000" w:themeColor="text1"/>
                <w:sz w:val="24"/>
              </w:rPr>
              <w:t>、</w:t>
            </w:r>
            <w:r>
              <w:rPr>
                <w:rFonts w:ascii="Times New Roman" w:hAnsi="Times New Roman" w:eastAsia="宋体"/>
                <w:color w:val="000000" w:themeColor="text1"/>
                <w:sz w:val="24"/>
              </w:rPr>
              <w:t>包装工序产生的废包装物和废气处理过程产生的废催化剂均为一般固废</w:t>
            </w:r>
            <w:r>
              <w:rPr>
                <w:rFonts w:hint="eastAsia" w:ascii="Times New Roman" w:hAnsi="Times New Roman" w:eastAsia="宋体"/>
                <w:color w:val="000000" w:themeColor="text1"/>
                <w:sz w:val="24"/>
              </w:rPr>
              <w:t>。</w:t>
            </w:r>
          </w:p>
          <w:p>
            <w:pPr>
              <w:pStyle w:val="54"/>
              <w:spacing w:before="0" w:line="440" w:lineRule="exact"/>
              <w:ind w:firstLine="480" w:firstLineChars="200"/>
              <w:jc w:val="left"/>
              <w:rPr>
                <w:rFonts w:ascii="Times New Roman" w:hAnsi="Times New Roman" w:eastAsia="宋体"/>
                <w:color w:val="000000" w:themeColor="text1"/>
                <w:szCs w:val="24"/>
              </w:rPr>
            </w:pPr>
            <w:r>
              <w:rPr>
                <w:rFonts w:ascii="Times New Roman" w:hAnsi="Times New Roman" w:eastAsia="宋体"/>
                <w:color w:val="000000" w:themeColor="text1"/>
                <w:szCs w:val="24"/>
              </w:rPr>
              <w:t>不合格产品：项目在质检工序会产生一定量的不合格产品，根据建设单位提供资料，项目每年废包装物产生量为</w:t>
            </w:r>
            <w:r>
              <w:rPr>
                <w:rFonts w:hint="eastAsia" w:ascii="Times New Roman" w:hAnsi="Times New Roman" w:eastAsia="宋体"/>
                <w:color w:val="000000" w:themeColor="text1"/>
                <w:szCs w:val="24"/>
              </w:rPr>
              <w:t>36</w:t>
            </w:r>
            <w:r>
              <w:rPr>
                <w:rFonts w:ascii="Times New Roman" w:hAnsi="Times New Roman" w:eastAsia="宋体"/>
                <w:color w:val="000000" w:themeColor="text1"/>
                <w:szCs w:val="24"/>
              </w:rPr>
              <w:t>t/a，集中收集后定期外售。</w:t>
            </w:r>
          </w:p>
          <w:p>
            <w:pPr>
              <w:pStyle w:val="54"/>
              <w:spacing w:before="0" w:line="440" w:lineRule="exact"/>
              <w:ind w:firstLine="480" w:firstLineChars="200"/>
              <w:jc w:val="left"/>
              <w:rPr>
                <w:rFonts w:ascii="Times New Roman" w:hAnsi="Times New Roman" w:eastAsia="宋体"/>
                <w:color w:val="000000" w:themeColor="text1"/>
                <w:szCs w:val="24"/>
              </w:rPr>
            </w:pPr>
            <w:r>
              <w:rPr>
                <w:rFonts w:ascii="Times New Roman" w:hAnsi="Times New Roman" w:eastAsia="宋体"/>
                <w:color w:val="000000" w:themeColor="text1"/>
                <w:szCs w:val="24"/>
              </w:rPr>
              <w:t>废包装物：项目使用纸箱进行包装</w:t>
            </w:r>
            <w:r>
              <w:rPr>
                <w:rFonts w:hint="eastAsia" w:ascii="Times New Roman" w:hAnsi="Times New Roman" w:eastAsia="宋体"/>
                <w:color w:val="000000" w:themeColor="text1"/>
                <w:szCs w:val="24"/>
              </w:rPr>
              <w:t>，在包装的过程中会产生一定量的废包装物。</w:t>
            </w:r>
            <w:r>
              <w:rPr>
                <w:rFonts w:ascii="Times New Roman" w:hAnsi="Times New Roman" w:eastAsia="宋体"/>
                <w:color w:val="000000" w:themeColor="text1"/>
                <w:szCs w:val="24"/>
              </w:rPr>
              <w:t>根据建设单位提供资料，项目每年废包装物产生量为</w:t>
            </w:r>
            <w:r>
              <w:rPr>
                <w:rFonts w:hint="eastAsia" w:ascii="Times New Roman" w:hAnsi="Times New Roman" w:eastAsia="宋体"/>
                <w:color w:val="000000" w:themeColor="text1"/>
                <w:szCs w:val="24"/>
              </w:rPr>
              <w:t>1</w:t>
            </w:r>
            <w:r>
              <w:rPr>
                <w:rFonts w:ascii="Times New Roman" w:hAnsi="Times New Roman" w:eastAsia="宋体"/>
                <w:color w:val="000000" w:themeColor="text1"/>
                <w:szCs w:val="24"/>
              </w:rPr>
              <w:t>t/a，集中收集后定期外售。</w:t>
            </w:r>
          </w:p>
          <w:p>
            <w:pPr>
              <w:pStyle w:val="113"/>
              <w:spacing w:line="440" w:lineRule="exact"/>
              <w:ind w:firstLine="480"/>
              <w:rPr>
                <w:rFonts w:ascii="Times New Roman" w:hAnsi="Times New Roman" w:eastAsia="宋体"/>
                <w:color w:val="000000" w:themeColor="text1"/>
                <w:sz w:val="24"/>
              </w:rPr>
            </w:pPr>
            <w:r>
              <w:rPr>
                <w:rFonts w:hint="eastAsia" w:ascii="Times New Roman" w:hAnsi="Times New Roman" w:eastAsia="宋体"/>
                <w:color w:val="000000" w:themeColor="text1"/>
                <w:sz w:val="24"/>
              </w:rPr>
              <w:t>废催化剂：</w:t>
            </w:r>
            <w:r>
              <w:rPr>
                <w:rFonts w:hint="eastAsia" w:ascii="Times New Roman" w:eastAsia="宋体"/>
                <w:color w:val="000000" w:themeColor="text1"/>
                <w:sz w:val="24"/>
              </w:rPr>
              <w:t>项目废气处理装置</w:t>
            </w:r>
            <w:r>
              <w:rPr>
                <w:rFonts w:hint="eastAsia" w:ascii="Times New Roman" w:hAnsi="Times New Roman" w:eastAsia="宋体"/>
                <w:color w:val="000000" w:themeColor="text1"/>
                <w:sz w:val="24"/>
              </w:rPr>
              <w:t>UV</w:t>
            </w:r>
            <w:r>
              <w:rPr>
                <w:rFonts w:hint="eastAsia" w:ascii="Times New Roman" w:eastAsia="宋体"/>
                <w:color w:val="000000" w:themeColor="text1"/>
                <w:sz w:val="24"/>
              </w:rPr>
              <w:t>光氧催化装置处理废气，在处理的过程中会产生废催化剂。废催化剂主要成分为纳米</w:t>
            </w:r>
            <w:r>
              <w:rPr>
                <w:rFonts w:hint="eastAsia" w:ascii="Times New Roman" w:hAnsi="Times New Roman" w:eastAsia="宋体"/>
                <w:color w:val="000000" w:themeColor="text1"/>
                <w:sz w:val="24"/>
              </w:rPr>
              <w:t>TiO</w:t>
            </w:r>
            <w:r>
              <w:rPr>
                <w:rFonts w:hint="eastAsia" w:ascii="Times New Roman" w:hAnsi="Times New Roman" w:eastAsia="宋体"/>
                <w:color w:val="000000" w:themeColor="text1"/>
                <w:sz w:val="24"/>
                <w:vertAlign w:val="subscript"/>
              </w:rPr>
              <w:t>2</w:t>
            </w:r>
            <w:r>
              <w:rPr>
                <w:rFonts w:hint="eastAsia" w:ascii="Times New Roman" w:eastAsia="宋体"/>
                <w:color w:val="000000" w:themeColor="text1"/>
                <w:sz w:val="24"/>
              </w:rPr>
              <w:t>，为固体催化剂，属于一般固废。废催化剂每年更换一次，产生量约为</w:t>
            </w:r>
            <w:r>
              <w:rPr>
                <w:rFonts w:hint="eastAsia" w:ascii="Times New Roman" w:hAnsi="Times New Roman" w:eastAsia="宋体"/>
                <w:color w:val="000000" w:themeColor="text1"/>
                <w:sz w:val="24"/>
              </w:rPr>
              <w:t>0.02t/a</w:t>
            </w:r>
            <w:r>
              <w:rPr>
                <w:rFonts w:hint="eastAsia" w:ascii="Times New Roman" w:eastAsia="宋体"/>
                <w:color w:val="000000" w:themeColor="text1"/>
                <w:sz w:val="24"/>
              </w:rPr>
              <w:t>。废催化剂经收集后，暂存于一般固废暂存区（</w:t>
            </w:r>
            <w:r>
              <w:rPr>
                <w:rFonts w:hint="eastAsia" w:ascii="Times New Roman" w:hAnsi="Times New Roman" w:eastAsia="宋体"/>
                <w:color w:val="000000" w:themeColor="text1"/>
                <w:sz w:val="24"/>
              </w:rPr>
              <w:t>10m</w:t>
            </w:r>
            <w:r>
              <w:rPr>
                <w:rFonts w:hint="eastAsia" w:ascii="Times New Roman" w:hAnsi="Times New Roman" w:eastAsia="宋体"/>
                <w:color w:val="000000" w:themeColor="text1"/>
                <w:sz w:val="24"/>
                <w:vertAlign w:val="superscript"/>
              </w:rPr>
              <w:t>2</w:t>
            </w:r>
            <w:r>
              <w:rPr>
                <w:rFonts w:hint="eastAsia" w:ascii="Times New Roman" w:eastAsia="宋体"/>
                <w:color w:val="000000" w:themeColor="text1"/>
                <w:sz w:val="24"/>
              </w:rPr>
              <w:t>），定期交由厂家回收。</w:t>
            </w:r>
          </w:p>
          <w:p>
            <w:pPr>
              <w:adjustRightInd w:val="0"/>
              <w:snapToGrid w:val="0"/>
              <w:spacing w:line="440" w:lineRule="exact"/>
              <w:ind w:firstLine="480" w:firstLineChars="200"/>
              <w:rPr>
                <w:rFonts w:ascii="Times New Roman" w:eastAsia="宋体"/>
                <w:color w:val="000000" w:themeColor="text1"/>
                <w:kern w:val="24"/>
                <w:sz w:val="24"/>
              </w:rPr>
            </w:pPr>
            <w:r>
              <w:rPr>
                <w:rFonts w:hint="eastAsia" w:ascii="Times New Roman" w:eastAsia="宋体"/>
                <w:color w:val="000000" w:themeColor="text1"/>
                <w:sz w:val="24"/>
              </w:rPr>
              <w:t>评价要求：企业应严格按照《一般工业固体废物贮存、处置场污染控制标准》（</w:t>
            </w:r>
            <w:r>
              <w:rPr>
                <w:rFonts w:ascii="Times New Roman" w:hAnsi="Times New Roman" w:eastAsia="宋体"/>
                <w:color w:val="000000" w:themeColor="text1"/>
                <w:sz w:val="24"/>
              </w:rPr>
              <w:t>GB18599-2001</w:t>
            </w:r>
            <w:r>
              <w:rPr>
                <w:rFonts w:hint="eastAsia" w:ascii="Times New Roman" w:eastAsia="宋体"/>
                <w:color w:val="000000" w:themeColor="text1"/>
                <w:sz w:val="24"/>
              </w:rPr>
              <w:t>）及</w:t>
            </w:r>
            <w:r>
              <w:rPr>
                <w:rFonts w:hint="eastAsia" w:ascii="Times New Roman" w:hAnsi="Times New Roman" w:eastAsia="宋体"/>
                <w:color w:val="000000" w:themeColor="text1"/>
                <w:sz w:val="24"/>
              </w:rPr>
              <w:t>2013</w:t>
            </w:r>
            <w:r>
              <w:rPr>
                <w:rFonts w:hint="eastAsia" w:ascii="Times New Roman" w:eastAsia="宋体"/>
                <w:color w:val="000000" w:themeColor="text1"/>
                <w:sz w:val="24"/>
              </w:rPr>
              <w:t>年修改单的相关要求对一般固废进行暂存，本项目依托原有工程的一般固废暂存间（面积为25</w:t>
            </w:r>
            <w:r>
              <w:rPr>
                <w:rFonts w:ascii="Times New Roman" w:hAnsi="Times New Roman" w:eastAsia="宋体"/>
                <w:color w:val="000000" w:themeColor="text1"/>
                <w:sz w:val="24"/>
              </w:rPr>
              <w:t>m</w:t>
            </w:r>
            <w:r>
              <w:rPr>
                <w:rFonts w:ascii="Times New Roman" w:hAnsi="Times New Roman" w:eastAsia="宋体"/>
                <w:color w:val="000000" w:themeColor="text1"/>
                <w:sz w:val="24"/>
                <w:vertAlign w:val="superscript"/>
              </w:rPr>
              <w:t>2</w:t>
            </w:r>
            <w:r>
              <w:rPr>
                <w:rFonts w:hint="eastAsia" w:ascii="Times New Roman" w:eastAsia="宋体"/>
                <w:color w:val="000000" w:themeColor="text1"/>
                <w:sz w:val="24"/>
              </w:rPr>
              <w:t>），一般固废暂存间应做到防风、防雨、防渗漏等措施。</w:t>
            </w:r>
            <w:r>
              <w:rPr>
                <w:rFonts w:hint="eastAsia" w:ascii="Times New Roman" w:eastAsia="宋体"/>
                <w:bCs/>
                <w:color w:val="000000" w:themeColor="text1"/>
                <w:sz w:val="24"/>
              </w:rPr>
              <w:t>综上所述，本项目所产生的固体废物经收集后外可以妥善处理，</w:t>
            </w:r>
            <w:r>
              <w:rPr>
                <w:rFonts w:hint="eastAsia" w:ascii="Times New Roman" w:eastAsia="宋体"/>
                <w:color w:val="000000" w:themeColor="text1"/>
                <w:kern w:val="24"/>
                <w:sz w:val="24"/>
              </w:rPr>
              <w:t>能够避免固体废物排放对环境的二次污染，不会对当地环境产生不利影响。</w:t>
            </w:r>
          </w:p>
          <w:p>
            <w:pPr>
              <w:adjustRightInd w:val="0"/>
              <w:snapToGrid w:val="0"/>
              <w:spacing w:line="440" w:lineRule="exact"/>
              <w:ind w:firstLine="482" w:firstLineChars="200"/>
              <w:rPr>
                <w:rFonts w:ascii="Times New Roman" w:hAnsi="Times New Roman" w:eastAsia="宋体"/>
                <w:b/>
                <w:bCs/>
                <w:color w:val="000000" w:themeColor="text1"/>
                <w:sz w:val="24"/>
              </w:rPr>
            </w:pPr>
            <w:r>
              <w:rPr>
                <w:rFonts w:ascii="Times New Roman" w:hAnsi="Times New Roman" w:eastAsia="宋体"/>
                <w:b/>
                <w:bCs/>
                <w:color w:val="000000" w:themeColor="text1"/>
                <w:sz w:val="24"/>
              </w:rPr>
              <w:t>（</w:t>
            </w:r>
            <w:r>
              <w:rPr>
                <w:rFonts w:hint="eastAsia" w:ascii="Times New Roman" w:hAnsi="Times New Roman" w:eastAsia="宋体"/>
                <w:b/>
                <w:bCs/>
                <w:color w:val="000000" w:themeColor="text1"/>
                <w:sz w:val="24"/>
              </w:rPr>
              <w:t>2</w:t>
            </w:r>
            <w:r>
              <w:rPr>
                <w:rFonts w:ascii="Times New Roman" w:hAnsi="Times New Roman" w:eastAsia="宋体"/>
                <w:b/>
                <w:bCs/>
                <w:color w:val="000000" w:themeColor="text1"/>
                <w:sz w:val="24"/>
              </w:rPr>
              <w:t>）危险废物</w:t>
            </w:r>
          </w:p>
          <w:p>
            <w:pPr>
              <w:pStyle w:val="2"/>
              <w:spacing w:line="440" w:lineRule="exact"/>
              <w:ind w:firstLine="480" w:firstLineChars="200"/>
              <w:jc w:val="both"/>
              <w:rPr>
                <w:rFonts w:ascii="Times New Roman" w:eastAsia="宋体"/>
                <w:color w:val="000000" w:themeColor="text1"/>
                <w:sz w:val="24"/>
              </w:rPr>
            </w:pPr>
            <w:r>
              <w:rPr>
                <w:rFonts w:hint="eastAsia" w:ascii="Times New Roman" w:eastAsia="宋体"/>
                <w:color w:val="000000" w:themeColor="text1"/>
                <w:sz w:val="24"/>
              </w:rPr>
              <w:t>本项目废气处理过程产生的废紫外灯管、废活性炭属于危险废物。</w:t>
            </w:r>
          </w:p>
          <w:p>
            <w:pPr>
              <w:widowControl/>
              <w:spacing w:line="440" w:lineRule="exact"/>
              <w:ind w:firstLine="480" w:firstLineChars="200"/>
              <w:rPr>
                <w:rFonts w:ascii="Times New Roman" w:hAnsi="Times New Roman" w:eastAsia="宋体"/>
                <w:color w:val="000000" w:themeColor="text1"/>
                <w:kern w:val="0"/>
                <w:sz w:val="24"/>
                <w:szCs w:val="22"/>
              </w:rPr>
            </w:pPr>
            <w:r>
              <w:rPr>
                <w:rFonts w:ascii="Times New Roman" w:hAnsi="Times New Roman" w:eastAsia="宋体"/>
                <w:color w:val="000000" w:themeColor="text1"/>
                <w:sz w:val="24"/>
              </w:rPr>
              <w:fldChar w:fldCharType="begin"/>
            </w:r>
            <w:r>
              <w:rPr>
                <w:rFonts w:ascii="Times New Roman" w:hAnsi="Times New Roman" w:eastAsia="宋体"/>
                <w:color w:val="000000" w:themeColor="text1"/>
                <w:sz w:val="24"/>
              </w:rPr>
              <w:instrText xml:space="preserve"> </w:instrText>
            </w:r>
            <w:r>
              <w:rPr>
                <w:rFonts w:hint="eastAsia" w:ascii="Times New Roman" w:hAnsi="Times New Roman" w:eastAsia="宋体"/>
                <w:color w:val="000000" w:themeColor="text1"/>
                <w:sz w:val="24"/>
              </w:rPr>
              <w:instrText xml:space="preserve">= 1 \* GB3</w:instrText>
            </w:r>
            <w:r>
              <w:rPr>
                <w:rFonts w:ascii="Times New Roman" w:hAnsi="Times New Roman" w:eastAsia="宋体"/>
                <w:color w:val="000000" w:themeColor="text1"/>
                <w:sz w:val="24"/>
              </w:rPr>
              <w:instrText xml:space="preserve"> </w:instrText>
            </w:r>
            <w:r>
              <w:rPr>
                <w:rFonts w:ascii="Times New Roman" w:hAnsi="Times New Roman" w:eastAsia="宋体"/>
                <w:color w:val="000000" w:themeColor="text1"/>
                <w:sz w:val="24"/>
              </w:rPr>
              <w:fldChar w:fldCharType="separate"/>
            </w:r>
            <w:r>
              <w:rPr>
                <w:rFonts w:hint="eastAsia" w:ascii="Times New Roman" w:hAnsi="Times New Roman" w:eastAsia="宋体"/>
                <w:color w:val="000000" w:themeColor="text1"/>
                <w:sz w:val="24"/>
              </w:rPr>
              <w:t>①</w:t>
            </w:r>
            <w:r>
              <w:rPr>
                <w:rFonts w:ascii="Times New Roman" w:hAnsi="Times New Roman" w:eastAsia="宋体"/>
                <w:color w:val="000000" w:themeColor="text1"/>
                <w:sz w:val="24"/>
              </w:rPr>
              <w:fldChar w:fldCharType="end"/>
            </w:r>
            <w:r>
              <w:rPr>
                <w:rFonts w:ascii="Times New Roman" w:hAnsi="Times New Roman" w:eastAsia="宋体"/>
                <w:color w:val="000000" w:themeColor="text1"/>
                <w:sz w:val="24"/>
              </w:rPr>
              <w:t>废紫外灯管</w:t>
            </w:r>
            <w:r>
              <w:rPr>
                <w:rFonts w:hint="eastAsia" w:ascii="Times New Roman" w:hAnsi="Times New Roman" w:eastAsia="宋体"/>
                <w:color w:val="000000" w:themeColor="text1"/>
                <w:sz w:val="24"/>
              </w:rPr>
              <w:t>：</w:t>
            </w:r>
            <w:r>
              <w:rPr>
                <w:rFonts w:ascii="Times New Roman" w:eastAsia="宋体"/>
                <w:color w:val="000000" w:themeColor="text1"/>
                <w:kern w:val="0"/>
                <w:sz w:val="24"/>
                <w:szCs w:val="22"/>
              </w:rPr>
              <w:t>项目</w:t>
            </w:r>
            <w:r>
              <w:rPr>
                <w:rFonts w:ascii="Times New Roman" w:hAnsi="Times New Roman" w:eastAsia="宋体"/>
                <w:color w:val="000000" w:themeColor="text1"/>
                <w:kern w:val="0"/>
                <w:sz w:val="24"/>
                <w:szCs w:val="22"/>
              </w:rPr>
              <w:t>UV</w:t>
            </w:r>
            <w:r>
              <w:rPr>
                <w:rFonts w:ascii="Times New Roman" w:eastAsia="宋体"/>
                <w:color w:val="000000" w:themeColor="text1"/>
                <w:kern w:val="0"/>
                <w:sz w:val="24"/>
                <w:szCs w:val="22"/>
              </w:rPr>
              <w:t>紫外灯管</w:t>
            </w:r>
            <w:r>
              <w:rPr>
                <w:rFonts w:ascii="Times New Roman" w:hAnsi="Times New Roman" w:eastAsia="宋体"/>
                <w:color w:val="000000" w:themeColor="text1"/>
                <w:kern w:val="0"/>
                <w:sz w:val="24"/>
                <w:szCs w:val="22"/>
              </w:rPr>
              <w:t>2</w:t>
            </w:r>
            <w:r>
              <w:rPr>
                <w:rFonts w:ascii="Times New Roman" w:eastAsia="宋体"/>
                <w:color w:val="000000" w:themeColor="text1"/>
                <w:kern w:val="0"/>
                <w:sz w:val="24"/>
                <w:szCs w:val="22"/>
              </w:rPr>
              <w:t>年更换一次，每次约更换</w:t>
            </w:r>
            <w:r>
              <w:rPr>
                <w:rFonts w:hint="eastAsia" w:ascii="Times New Roman" w:hAnsi="Times New Roman" w:eastAsia="宋体"/>
                <w:color w:val="000000" w:themeColor="text1"/>
                <w:kern w:val="0"/>
                <w:sz w:val="24"/>
                <w:szCs w:val="22"/>
              </w:rPr>
              <w:t>14</w:t>
            </w:r>
            <w:r>
              <w:rPr>
                <w:rFonts w:ascii="Times New Roman" w:eastAsia="宋体"/>
                <w:color w:val="000000" w:themeColor="text1"/>
                <w:kern w:val="0"/>
                <w:sz w:val="24"/>
                <w:szCs w:val="22"/>
              </w:rPr>
              <w:t>根，故</w:t>
            </w:r>
            <w:r>
              <w:rPr>
                <w:rFonts w:hint="eastAsia" w:ascii="Times New Roman" w:eastAsia="宋体"/>
                <w:color w:val="000000" w:themeColor="text1"/>
                <w:kern w:val="0"/>
                <w:sz w:val="24"/>
                <w:szCs w:val="22"/>
              </w:rPr>
              <w:t>废紫外灯管产生量为</w:t>
            </w:r>
            <w:r>
              <w:rPr>
                <w:rFonts w:hint="eastAsia" w:ascii="Times New Roman" w:hAnsi="Times New Roman" w:eastAsia="宋体"/>
                <w:color w:val="000000" w:themeColor="text1"/>
                <w:kern w:val="0"/>
                <w:sz w:val="24"/>
                <w:szCs w:val="22"/>
              </w:rPr>
              <w:t>7</w:t>
            </w:r>
            <w:r>
              <w:rPr>
                <w:rFonts w:hint="eastAsia" w:ascii="Times New Roman" w:eastAsia="宋体"/>
                <w:color w:val="000000" w:themeColor="text1"/>
                <w:kern w:val="0"/>
                <w:sz w:val="24"/>
                <w:szCs w:val="22"/>
              </w:rPr>
              <w:t>根</w:t>
            </w:r>
            <w:r>
              <w:rPr>
                <w:rFonts w:hint="eastAsia" w:ascii="Times New Roman" w:hAnsi="Times New Roman" w:eastAsia="宋体"/>
                <w:color w:val="000000" w:themeColor="text1"/>
                <w:kern w:val="0"/>
                <w:sz w:val="24"/>
                <w:szCs w:val="22"/>
              </w:rPr>
              <w:t>/a</w:t>
            </w:r>
            <w:r>
              <w:rPr>
                <w:rFonts w:ascii="Times New Roman" w:eastAsia="宋体"/>
                <w:color w:val="000000" w:themeColor="text1"/>
                <w:kern w:val="0"/>
                <w:sz w:val="24"/>
                <w:szCs w:val="22"/>
              </w:rPr>
              <w:t>。根据《国家危险</w:t>
            </w:r>
            <w:r>
              <w:rPr>
                <w:rFonts w:hint="eastAsia" w:ascii="Times New Roman" w:eastAsia="宋体"/>
                <w:color w:val="000000" w:themeColor="text1"/>
                <w:kern w:val="0"/>
                <w:sz w:val="24"/>
                <w:szCs w:val="22"/>
              </w:rPr>
              <w:t>废物</w:t>
            </w:r>
            <w:r>
              <w:rPr>
                <w:rFonts w:ascii="Times New Roman" w:eastAsia="宋体"/>
                <w:color w:val="000000" w:themeColor="text1"/>
                <w:kern w:val="0"/>
                <w:sz w:val="24"/>
                <w:szCs w:val="22"/>
              </w:rPr>
              <w:t>名录》（部令第</w:t>
            </w:r>
            <w:r>
              <w:rPr>
                <w:rFonts w:ascii="Times New Roman" w:hAnsi="Times New Roman" w:eastAsia="宋体"/>
                <w:color w:val="000000" w:themeColor="text1"/>
                <w:kern w:val="0"/>
                <w:sz w:val="24"/>
                <w:szCs w:val="22"/>
              </w:rPr>
              <w:t>39</w:t>
            </w:r>
            <w:r>
              <w:rPr>
                <w:rFonts w:ascii="Times New Roman" w:eastAsia="宋体"/>
                <w:color w:val="000000" w:themeColor="text1"/>
                <w:kern w:val="0"/>
                <w:sz w:val="24"/>
                <w:szCs w:val="22"/>
              </w:rPr>
              <w:t>号）可知，废紫外灯管属于《国家危险废物名录》中</w:t>
            </w:r>
            <w:r>
              <w:rPr>
                <w:rFonts w:hint="eastAsia" w:ascii="Times New Roman" w:hAnsi="Times New Roman" w:eastAsia="宋体"/>
                <w:color w:val="000000" w:themeColor="text1"/>
                <w:kern w:val="0"/>
                <w:sz w:val="24"/>
                <w:szCs w:val="22"/>
              </w:rPr>
              <w:t>“</w:t>
            </w:r>
            <w:r>
              <w:rPr>
                <w:rFonts w:ascii="Times New Roman" w:hAnsi="Times New Roman" w:eastAsia="宋体"/>
                <w:color w:val="000000" w:themeColor="text1"/>
                <w:kern w:val="0"/>
                <w:sz w:val="24"/>
                <w:szCs w:val="22"/>
              </w:rPr>
              <w:t>HW</w:t>
            </w:r>
            <w:r>
              <w:rPr>
                <w:rFonts w:hint="eastAsia" w:ascii="Times New Roman" w:hAnsi="Times New Roman" w:eastAsia="宋体"/>
                <w:color w:val="000000" w:themeColor="text1"/>
                <w:kern w:val="0"/>
                <w:sz w:val="24"/>
                <w:szCs w:val="22"/>
              </w:rPr>
              <w:t>29</w:t>
            </w:r>
            <w:r>
              <w:rPr>
                <w:rFonts w:hint="eastAsia" w:ascii="Times New Roman" w:eastAsia="宋体"/>
                <w:color w:val="000000" w:themeColor="text1"/>
                <w:kern w:val="0"/>
                <w:sz w:val="24"/>
                <w:szCs w:val="22"/>
              </w:rPr>
              <w:t>含汞</w:t>
            </w:r>
            <w:r>
              <w:rPr>
                <w:rFonts w:ascii="Times New Roman" w:eastAsia="宋体"/>
                <w:color w:val="000000" w:themeColor="text1"/>
                <w:kern w:val="0"/>
                <w:sz w:val="24"/>
                <w:szCs w:val="22"/>
              </w:rPr>
              <w:t>废物</w:t>
            </w:r>
            <w:r>
              <w:rPr>
                <w:rFonts w:hint="eastAsia" w:ascii="Times New Roman" w:hAnsi="Times New Roman" w:eastAsia="宋体"/>
                <w:color w:val="000000" w:themeColor="text1"/>
                <w:kern w:val="0"/>
                <w:sz w:val="24"/>
                <w:szCs w:val="22"/>
              </w:rPr>
              <w:t>”</w:t>
            </w:r>
            <w:r>
              <w:rPr>
                <w:rFonts w:ascii="Times New Roman" w:eastAsia="宋体"/>
                <w:color w:val="000000" w:themeColor="text1"/>
                <w:kern w:val="0"/>
                <w:sz w:val="24"/>
                <w:szCs w:val="22"/>
              </w:rPr>
              <w:t>类别，废物代码为</w:t>
            </w:r>
            <w:r>
              <w:rPr>
                <w:rFonts w:ascii="Times New Roman" w:hAnsi="Times New Roman" w:eastAsia="宋体"/>
                <w:color w:val="000000" w:themeColor="text1"/>
                <w:kern w:val="0"/>
                <w:sz w:val="24"/>
                <w:szCs w:val="22"/>
              </w:rPr>
              <w:t>900-</w:t>
            </w:r>
            <w:r>
              <w:rPr>
                <w:rFonts w:hint="eastAsia" w:ascii="Times New Roman" w:hAnsi="Times New Roman" w:eastAsia="宋体"/>
                <w:color w:val="000000" w:themeColor="text1"/>
                <w:kern w:val="0"/>
                <w:sz w:val="24"/>
                <w:szCs w:val="22"/>
              </w:rPr>
              <w:t>023</w:t>
            </w:r>
            <w:r>
              <w:rPr>
                <w:rFonts w:ascii="Times New Roman" w:hAnsi="Times New Roman" w:eastAsia="宋体"/>
                <w:color w:val="000000" w:themeColor="text1"/>
                <w:kern w:val="0"/>
                <w:sz w:val="24"/>
                <w:szCs w:val="22"/>
              </w:rPr>
              <w:t>-</w:t>
            </w:r>
            <w:r>
              <w:rPr>
                <w:rFonts w:hint="eastAsia" w:ascii="Times New Roman" w:hAnsi="Times New Roman" w:eastAsia="宋体"/>
                <w:color w:val="000000" w:themeColor="text1"/>
                <w:kern w:val="0"/>
                <w:sz w:val="24"/>
                <w:szCs w:val="22"/>
              </w:rPr>
              <w:t>2</w:t>
            </w:r>
            <w:r>
              <w:rPr>
                <w:rFonts w:ascii="Times New Roman" w:hAnsi="Times New Roman" w:eastAsia="宋体"/>
                <w:color w:val="000000" w:themeColor="text1"/>
                <w:kern w:val="0"/>
                <w:sz w:val="24"/>
                <w:szCs w:val="22"/>
              </w:rPr>
              <w:t>9</w:t>
            </w:r>
            <w:r>
              <w:rPr>
                <w:rFonts w:ascii="Times New Roman" w:eastAsia="宋体"/>
                <w:color w:val="000000" w:themeColor="text1"/>
                <w:kern w:val="0"/>
                <w:sz w:val="24"/>
                <w:szCs w:val="22"/>
              </w:rPr>
              <w:t>，</w:t>
            </w:r>
            <w:r>
              <w:rPr>
                <w:rFonts w:hint="eastAsia" w:ascii="Times New Roman" w:hAnsi="Times New Roman" w:eastAsia="宋体"/>
                <w:color w:val="000000" w:themeColor="text1"/>
                <w:kern w:val="0"/>
                <w:sz w:val="24"/>
                <w:szCs w:val="22"/>
              </w:rPr>
              <w:t>“</w:t>
            </w:r>
            <w:r>
              <w:rPr>
                <w:rFonts w:hint="eastAsia" w:ascii="Times New Roman" w:eastAsia="宋体"/>
                <w:color w:val="000000" w:themeColor="text1"/>
                <w:kern w:val="0"/>
                <w:sz w:val="24"/>
                <w:szCs w:val="22"/>
              </w:rPr>
              <w:t>生产、销售及使用过程中产生的废含汞荧光灯管及其他废含汞电光源</w:t>
            </w:r>
            <w:r>
              <w:rPr>
                <w:rFonts w:hint="eastAsia" w:ascii="Times New Roman" w:hAnsi="Times New Roman" w:eastAsia="宋体"/>
                <w:color w:val="000000" w:themeColor="text1"/>
                <w:kern w:val="0"/>
                <w:sz w:val="24"/>
                <w:szCs w:val="22"/>
              </w:rPr>
              <w:t>”</w:t>
            </w:r>
            <w:r>
              <w:rPr>
                <w:rFonts w:ascii="Times New Roman" w:eastAsia="宋体"/>
                <w:color w:val="000000" w:themeColor="text1"/>
                <w:kern w:val="0"/>
                <w:sz w:val="24"/>
                <w:szCs w:val="22"/>
              </w:rPr>
              <w:t>。废紫外灯管</w:t>
            </w:r>
            <w:r>
              <w:rPr>
                <w:rFonts w:hint="eastAsia" w:ascii="Times New Roman" w:eastAsia="宋体"/>
                <w:color w:val="000000" w:themeColor="text1"/>
                <w:kern w:val="0"/>
                <w:sz w:val="24"/>
                <w:szCs w:val="22"/>
              </w:rPr>
              <w:t>经收集后，暂存于原有工程危废暂存间（</w:t>
            </w:r>
            <w:r>
              <w:rPr>
                <w:rFonts w:hint="eastAsia" w:ascii="Times New Roman" w:hAnsi="Times New Roman" w:eastAsia="宋体"/>
                <w:color w:val="000000" w:themeColor="text1"/>
                <w:kern w:val="0"/>
                <w:sz w:val="24"/>
                <w:szCs w:val="22"/>
              </w:rPr>
              <w:t>10m</w:t>
            </w:r>
            <w:r>
              <w:rPr>
                <w:rFonts w:hint="eastAsia" w:ascii="Times New Roman" w:hAnsi="Times New Roman" w:eastAsia="宋体"/>
                <w:color w:val="000000" w:themeColor="text1"/>
                <w:kern w:val="0"/>
                <w:sz w:val="24"/>
                <w:szCs w:val="22"/>
                <w:vertAlign w:val="superscript"/>
              </w:rPr>
              <w:t>2</w:t>
            </w:r>
            <w:r>
              <w:rPr>
                <w:rFonts w:hint="eastAsia" w:ascii="Times New Roman" w:eastAsia="宋体"/>
                <w:color w:val="000000" w:themeColor="text1"/>
                <w:kern w:val="0"/>
                <w:sz w:val="24"/>
                <w:szCs w:val="22"/>
              </w:rPr>
              <w:t>），定期交由有资质的单位处理。</w:t>
            </w:r>
          </w:p>
          <w:p>
            <w:pPr>
              <w:spacing w:line="440" w:lineRule="exact"/>
              <w:ind w:firstLine="480" w:firstLineChars="200"/>
              <w:rPr>
                <w:rFonts w:ascii="Times New Roman" w:eastAsia="宋体"/>
                <w:color w:val="000000" w:themeColor="text1"/>
                <w:sz w:val="24"/>
              </w:rPr>
            </w:pPr>
            <w:r>
              <w:rPr>
                <w:rFonts w:ascii="Times New Roman" w:eastAsia="宋体"/>
                <w:color w:val="000000" w:themeColor="text1"/>
                <w:sz w:val="24"/>
              </w:rPr>
              <w:fldChar w:fldCharType="begin"/>
            </w:r>
            <w:r>
              <w:rPr>
                <w:rFonts w:ascii="Times New Roman" w:eastAsia="宋体"/>
                <w:color w:val="000000" w:themeColor="text1"/>
                <w:sz w:val="24"/>
              </w:rPr>
              <w:instrText xml:space="preserve"> </w:instrText>
            </w:r>
            <w:r>
              <w:rPr>
                <w:rFonts w:hint="eastAsia" w:ascii="Times New Roman" w:eastAsia="宋体"/>
                <w:color w:val="000000" w:themeColor="text1"/>
                <w:sz w:val="24"/>
              </w:rPr>
              <w:instrText xml:space="preserve">= 2 \* GB3</w:instrText>
            </w:r>
            <w:r>
              <w:rPr>
                <w:rFonts w:ascii="Times New Roman" w:eastAsia="宋体"/>
                <w:color w:val="000000" w:themeColor="text1"/>
                <w:sz w:val="24"/>
              </w:rPr>
              <w:instrText xml:space="preserve"> </w:instrText>
            </w:r>
            <w:r>
              <w:rPr>
                <w:rFonts w:ascii="Times New Roman" w:eastAsia="宋体"/>
                <w:color w:val="000000" w:themeColor="text1"/>
                <w:sz w:val="24"/>
              </w:rPr>
              <w:fldChar w:fldCharType="separate"/>
            </w:r>
            <w:r>
              <w:rPr>
                <w:rFonts w:hint="eastAsia" w:ascii="Times New Roman" w:eastAsia="宋体"/>
                <w:color w:val="000000" w:themeColor="text1"/>
                <w:sz w:val="24"/>
              </w:rPr>
              <w:t>②</w:t>
            </w:r>
            <w:r>
              <w:rPr>
                <w:rFonts w:ascii="Times New Roman" w:eastAsia="宋体"/>
                <w:color w:val="000000" w:themeColor="text1"/>
                <w:sz w:val="24"/>
              </w:rPr>
              <w:fldChar w:fldCharType="end"/>
            </w:r>
            <w:r>
              <w:rPr>
                <w:rFonts w:hint="eastAsia" w:ascii="Times New Roman" w:eastAsia="宋体"/>
                <w:color w:val="000000" w:themeColor="text1"/>
                <w:sz w:val="24"/>
              </w:rPr>
              <w:t>废活性炭：本项目的活性炭吸附装置需要定期更换废活性炭，根据相关资料，1t的活性炭可吸附250~300kg有机废气，本次评价取250kg。</w:t>
            </w:r>
          </w:p>
          <w:p>
            <w:pPr>
              <w:pStyle w:val="2"/>
              <w:spacing w:line="440" w:lineRule="exact"/>
              <w:ind w:firstLine="480" w:firstLineChars="200"/>
              <w:jc w:val="both"/>
              <w:rPr>
                <w:rFonts w:ascii="Times New Roman" w:eastAsia="宋体"/>
                <w:color w:val="000000" w:themeColor="text1"/>
                <w:sz w:val="24"/>
              </w:rPr>
            </w:pPr>
            <w:r>
              <w:rPr>
                <w:rFonts w:hint="eastAsia" w:ascii="Times New Roman" w:eastAsia="宋体"/>
                <w:color w:val="000000" w:themeColor="text1"/>
                <w:sz w:val="24"/>
              </w:rPr>
              <w:t>本项目压合工序非甲烷总烃削减量为</w:t>
            </w:r>
            <w:r>
              <w:rPr>
                <w:rFonts w:hint="eastAsia" w:ascii="Times New Roman" w:hAnsi="Times New Roman" w:eastAsia="宋体"/>
                <w:color w:val="000000" w:themeColor="text1"/>
                <w:sz w:val="24"/>
              </w:rPr>
              <w:t>0.217t/a</w:t>
            </w:r>
            <w:r>
              <w:rPr>
                <w:rFonts w:hint="eastAsia" w:ascii="Times New Roman" w:eastAsia="宋体"/>
                <w:color w:val="000000" w:themeColor="text1"/>
                <w:sz w:val="24"/>
              </w:rPr>
              <w:t>，其中UV光催化氧化治理80%，剩余的20%（0.0434t/a）被活性炭吸附装置处理，则所需活性炭量为0.1736t/a，由此可知本项目废活性炭产生量为0.217t/a（活性炭用量+被吸收的非甲烷总烃量）。</w:t>
            </w:r>
          </w:p>
          <w:p>
            <w:pPr>
              <w:spacing w:line="440" w:lineRule="exact"/>
              <w:ind w:firstLine="480" w:firstLineChars="200"/>
              <w:rPr>
                <w:rFonts w:ascii="Times New Roman" w:eastAsia="宋体"/>
                <w:color w:val="000000" w:themeColor="text1"/>
                <w:kern w:val="0"/>
                <w:sz w:val="24"/>
              </w:rPr>
            </w:pPr>
            <w:r>
              <w:rPr>
                <w:rFonts w:ascii="Times New Roman" w:eastAsia="宋体"/>
                <w:color w:val="000000" w:themeColor="text1"/>
                <w:kern w:val="0"/>
                <w:sz w:val="24"/>
                <w:szCs w:val="22"/>
              </w:rPr>
              <w:t>活性炭需要定期更换，更换频次</w:t>
            </w:r>
            <w:r>
              <w:rPr>
                <w:rFonts w:hint="eastAsia" w:ascii="Times New Roman" w:eastAsia="宋体"/>
                <w:color w:val="000000" w:themeColor="text1"/>
                <w:kern w:val="0"/>
                <w:sz w:val="24"/>
                <w:szCs w:val="22"/>
              </w:rPr>
              <w:t>约</w:t>
            </w:r>
            <w:r>
              <w:rPr>
                <w:rFonts w:ascii="Times New Roman" w:eastAsia="宋体"/>
                <w:color w:val="000000" w:themeColor="text1"/>
                <w:kern w:val="0"/>
                <w:sz w:val="24"/>
                <w:szCs w:val="22"/>
              </w:rPr>
              <w:t>为</w:t>
            </w:r>
            <w:r>
              <w:rPr>
                <w:rFonts w:hint="eastAsia" w:ascii="Times New Roman" w:hAnsi="Times New Roman" w:eastAsia="宋体"/>
                <w:color w:val="000000" w:themeColor="text1"/>
                <w:kern w:val="0"/>
                <w:sz w:val="24"/>
                <w:szCs w:val="22"/>
              </w:rPr>
              <w:t>1</w:t>
            </w:r>
            <w:r>
              <w:rPr>
                <w:rFonts w:hint="eastAsia" w:ascii="Times New Roman" w:eastAsia="宋体"/>
                <w:color w:val="000000" w:themeColor="text1"/>
                <w:kern w:val="0"/>
                <w:sz w:val="24"/>
                <w:szCs w:val="22"/>
              </w:rPr>
              <w:t>次</w:t>
            </w:r>
            <w:r>
              <w:rPr>
                <w:rFonts w:ascii="Times New Roman" w:hAnsi="Times New Roman" w:eastAsia="宋体"/>
                <w:color w:val="000000" w:themeColor="text1"/>
                <w:kern w:val="0"/>
                <w:sz w:val="24"/>
                <w:szCs w:val="22"/>
              </w:rPr>
              <w:t>/</w:t>
            </w:r>
            <w:r>
              <w:rPr>
                <w:rFonts w:hint="eastAsia" w:ascii="Times New Roman" w:eastAsia="宋体"/>
                <w:color w:val="000000" w:themeColor="text1"/>
                <w:kern w:val="0"/>
                <w:sz w:val="24"/>
                <w:szCs w:val="22"/>
              </w:rPr>
              <w:t>年</w:t>
            </w:r>
            <w:r>
              <w:rPr>
                <w:rFonts w:ascii="Times New Roman" w:eastAsia="宋体"/>
                <w:color w:val="000000" w:themeColor="text1"/>
                <w:kern w:val="0"/>
                <w:sz w:val="24"/>
                <w:szCs w:val="22"/>
              </w:rPr>
              <w:t>。</w:t>
            </w:r>
            <w:r>
              <w:rPr>
                <w:rFonts w:ascii="Times New Roman" w:eastAsia="宋体"/>
                <w:color w:val="000000" w:themeColor="text1"/>
                <w:kern w:val="0"/>
                <w:sz w:val="24"/>
              </w:rPr>
              <w:t>根据《国家危险</w:t>
            </w:r>
            <w:r>
              <w:rPr>
                <w:rFonts w:hint="eastAsia" w:ascii="Times New Roman" w:eastAsia="宋体"/>
                <w:color w:val="000000" w:themeColor="text1"/>
                <w:kern w:val="0"/>
                <w:sz w:val="24"/>
              </w:rPr>
              <w:t>废物</w:t>
            </w:r>
            <w:r>
              <w:rPr>
                <w:rFonts w:ascii="Times New Roman" w:eastAsia="宋体"/>
                <w:color w:val="000000" w:themeColor="text1"/>
                <w:kern w:val="0"/>
                <w:sz w:val="24"/>
              </w:rPr>
              <w:t>名录》（部令第</w:t>
            </w:r>
            <w:r>
              <w:rPr>
                <w:rFonts w:ascii="Times New Roman" w:hAnsi="Times New Roman" w:eastAsia="宋体"/>
                <w:color w:val="000000" w:themeColor="text1"/>
                <w:kern w:val="0"/>
                <w:sz w:val="24"/>
              </w:rPr>
              <w:t>39</w:t>
            </w:r>
            <w:r>
              <w:rPr>
                <w:rFonts w:ascii="Times New Roman" w:eastAsia="宋体"/>
                <w:color w:val="000000" w:themeColor="text1"/>
                <w:kern w:val="0"/>
                <w:sz w:val="24"/>
              </w:rPr>
              <w:t>号）可知，</w:t>
            </w:r>
            <w:r>
              <w:rPr>
                <w:rFonts w:ascii="Times New Roman" w:eastAsia="宋体"/>
                <w:color w:val="000000" w:themeColor="text1"/>
                <w:kern w:val="0"/>
                <w:sz w:val="24"/>
                <w:szCs w:val="22"/>
              </w:rPr>
              <w:t>废活性炭</w:t>
            </w:r>
            <w:r>
              <w:rPr>
                <w:rFonts w:ascii="Times New Roman" w:eastAsia="宋体"/>
                <w:color w:val="000000" w:themeColor="text1"/>
                <w:kern w:val="0"/>
                <w:sz w:val="24"/>
              </w:rPr>
              <w:t>属于《国家危险废物名录》中</w:t>
            </w:r>
            <w:r>
              <w:rPr>
                <w:rFonts w:hint="eastAsia" w:ascii="Times New Roman" w:hAnsi="Times New Roman" w:eastAsia="宋体"/>
                <w:color w:val="000000" w:themeColor="text1"/>
                <w:kern w:val="0"/>
                <w:sz w:val="24"/>
              </w:rPr>
              <w:t>“</w:t>
            </w:r>
            <w:r>
              <w:rPr>
                <w:rFonts w:ascii="Times New Roman" w:hAnsi="Times New Roman" w:eastAsia="宋体"/>
                <w:color w:val="000000" w:themeColor="text1"/>
                <w:kern w:val="0"/>
                <w:sz w:val="24"/>
              </w:rPr>
              <w:t>HW49</w:t>
            </w:r>
            <w:r>
              <w:rPr>
                <w:rFonts w:ascii="Times New Roman" w:eastAsia="宋体"/>
                <w:color w:val="000000" w:themeColor="text1"/>
                <w:kern w:val="0"/>
                <w:sz w:val="24"/>
              </w:rPr>
              <w:t>其他废物</w:t>
            </w:r>
            <w:r>
              <w:rPr>
                <w:rFonts w:hint="eastAsia" w:ascii="Times New Roman" w:hAnsi="Times New Roman" w:eastAsia="宋体"/>
                <w:color w:val="000000" w:themeColor="text1"/>
                <w:kern w:val="0"/>
                <w:sz w:val="24"/>
              </w:rPr>
              <w:t>”</w:t>
            </w:r>
            <w:r>
              <w:rPr>
                <w:rFonts w:ascii="Times New Roman" w:eastAsia="宋体"/>
                <w:color w:val="000000" w:themeColor="text1"/>
                <w:kern w:val="0"/>
                <w:sz w:val="24"/>
              </w:rPr>
              <w:t>类别，废物代码为</w:t>
            </w:r>
            <w:r>
              <w:rPr>
                <w:rFonts w:ascii="Times New Roman" w:hAnsi="Times New Roman" w:eastAsia="宋体"/>
                <w:color w:val="000000" w:themeColor="text1"/>
                <w:kern w:val="0"/>
                <w:sz w:val="24"/>
              </w:rPr>
              <w:t>900-041-49</w:t>
            </w:r>
            <w:r>
              <w:rPr>
                <w:rFonts w:ascii="Times New Roman" w:eastAsia="宋体"/>
                <w:color w:val="000000" w:themeColor="text1"/>
                <w:kern w:val="0"/>
                <w:sz w:val="24"/>
              </w:rPr>
              <w:t>，</w:t>
            </w:r>
            <w:r>
              <w:rPr>
                <w:rFonts w:hint="eastAsia" w:ascii="Times New Roman" w:hAnsi="Times New Roman" w:eastAsia="宋体"/>
                <w:color w:val="000000" w:themeColor="text1"/>
                <w:kern w:val="0"/>
                <w:sz w:val="24"/>
              </w:rPr>
              <w:t>“</w:t>
            </w:r>
            <w:r>
              <w:rPr>
                <w:rFonts w:ascii="Times New Roman" w:eastAsia="宋体"/>
                <w:color w:val="000000" w:themeColor="text1"/>
                <w:kern w:val="0"/>
                <w:sz w:val="24"/>
              </w:rPr>
              <w:t>含有或沾染毒性、感染性危险废物的废弃包装物、容器、过滤吸附介质</w:t>
            </w:r>
            <w:r>
              <w:rPr>
                <w:rFonts w:hint="eastAsia" w:ascii="Times New Roman" w:hAnsi="Times New Roman" w:eastAsia="宋体"/>
                <w:color w:val="000000" w:themeColor="text1"/>
                <w:kern w:val="0"/>
                <w:sz w:val="24"/>
              </w:rPr>
              <w:t>”</w:t>
            </w:r>
            <w:r>
              <w:rPr>
                <w:rFonts w:ascii="Times New Roman" w:eastAsia="宋体"/>
                <w:color w:val="000000" w:themeColor="text1"/>
                <w:kern w:val="0"/>
                <w:sz w:val="24"/>
              </w:rPr>
              <w:t>。</w:t>
            </w:r>
            <w:r>
              <w:rPr>
                <w:rFonts w:ascii="Times New Roman" w:eastAsia="宋体"/>
                <w:color w:val="000000" w:themeColor="text1"/>
                <w:kern w:val="0"/>
                <w:sz w:val="24"/>
                <w:szCs w:val="22"/>
              </w:rPr>
              <w:t>废活性炭</w:t>
            </w:r>
            <w:r>
              <w:rPr>
                <w:rFonts w:hint="eastAsia" w:ascii="Times New Roman" w:eastAsia="宋体"/>
                <w:color w:val="000000" w:themeColor="text1"/>
                <w:kern w:val="0"/>
                <w:sz w:val="24"/>
              </w:rPr>
              <w:t>经收集后，暂存于原有工程危废暂存间（</w:t>
            </w:r>
            <w:r>
              <w:rPr>
                <w:rFonts w:hint="eastAsia" w:ascii="Times New Roman" w:hAnsi="Times New Roman" w:eastAsia="宋体"/>
                <w:color w:val="000000" w:themeColor="text1"/>
                <w:kern w:val="0"/>
                <w:sz w:val="24"/>
              </w:rPr>
              <w:t>10m</w:t>
            </w:r>
            <w:r>
              <w:rPr>
                <w:rFonts w:hint="eastAsia" w:ascii="Times New Roman" w:hAnsi="Times New Roman" w:eastAsia="宋体"/>
                <w:color w:val="000000" w:themeColor="text1"/>
                <w:kern w:val="0"/>
                <w:sz w:val="24"/>
                <w:vertAlign w:val="superscript"/>
              </w:rPr>
              <w:t>2</w:t>
            </w:r>
            <w:r>
              <w:rPr>
                <w:rFonts w:hint="eastAsia" w:ascii="Times New Roman" w:eastAsia="宋体"/>
                <w:color w:val="000000" w:themeColor="text1"/>
                <w:kern w:val="0"/>
                <w:sz w:val="24"/>
              </w:rPr>
              <w:t>），定期交由有资质的单位处理。</w:t>
            </w:r>
          </w:p>
          <w:p>
            <w:pPr>
              <w:adjustRightInd w:val="0"/>
              <w:snapToGrid w:val="0"/>
              <w:spacing w:line="440" w:lineRule="exact"/>
              <w:ind w:firstLine="480" w:firstLineChars="200"/>
              <w:rPr>
                <w:rFonts w:ascii="Times New Roman" w:hAnsi="Times New Roman" w:eastAsia="宋体"/>
                <w:color w:val="000000" w:themeColor="text1"/>
                <w:sz w:val="24"/>
              </w:rPr>
            </w:pPr>
            <w:r>
              <w:rPr>
                <w:rFonts w:ascii="Times New Roman" w:hAnsi="Times New Roman" w:eastAsia="宋体"/>
                <w:color w:val="000000" w:themeColor="text1"/>
                <w:sz w:val="24"/>
              </w:rPr>
              <w:t>评价要求：危险废物要放入符合标准的收集桶内，加上标签；收集桶放入采取</w:t>
            </w:r>
            <w:r>
              <w:rPr>
                <w:rFonts w:hint="eastAsia" w:ascii="Times New Roman" w:hAnsi="Times New Roman" w:eastAsia="宋体"/>
                <w:color w:val="000000" w:themeColor="text1"/>
                <w:sz w:val="24"/>
              </w:rPr>
              <w:t>“</w:t>
            </w:r>
            <w:r>
              <w:rPr>
                <w:rFonts w:ascii="Times New Roman" w:hAnsi="Times New Roman" w:eastAsia="宋体"/>
                <w:color w:val="000000" w:themeColor="text1"/>
                <w:sz w:val="24"/>
              </w:rPr>
              <w:t>三防</w:t>
            </w:r>
            <w:r>
              <w:rPr>
                <w:rFonts w:hint="eastAsia" w:ascii="Times New Roman" w:hAnsi="Times New Roman" w:eastAsia="宋体"/>
                <w:color w:val="000000" w:themeColor="text1"/>
                <w:sz w:val="24"/>
              </w:rPr>
              <w:t>”</w:t>
            </w:r>
            <w:r>
              <w:rPr>
                <w:rFonts w:ascii="Times New Roman" w:hAnsi="Times New Roman" w:eastAsia="宋体"/>
                <w:color w:val="000000" w:themeColor="text1"/>
                <w:sz w:val="24"/>
              </w:rPr>
              <w:t>措施危废暂存间内。企业原有工程危废暂存间面积不少于</w:t>
            </w:r>
            <w:r>
              <w:rPr>
                <w:rFonts w:hint="eastAsia" w:ascii="Times New Roman" w:hAnsi="Times New Roman" w:eastAsia="宋体"/>
                <w:color w:val="000000" w:themeColor="text1"/>
                <w:sz w:val="24"/>
              </w:rPr>
              <w:t>10</w:t>
            </w:r>
            <w:r>
              <w:rPr>
                <w:rFonts w:ascii="Times New Roman" w:hAnsi="Times New Roman" w:eastAsia="宋体"/>
                <w:color w:val="000000" w:themeColor="text1"/>
                <w:sz w:val="24"/>
              </w:rPr>
              <w:t>m</w:t>
            </w:r>
            <w:r>
              <w:rPr>
                <w:rFonts w:ascii="Times New Roman" w:hAnsi="Times New Roman" w:eastAsia="宋体"/>
                <w:color w:val="000000" w:themeColor="text1"/>
                <w:sz w:val="24"/>
                <w:vertAlign w:val="superscript"/>
              </w:rPr>
              <w:t>2</w:t>
            </w:r>
            <w:r>
              <w:rPr>
                <w:rFonts w:ascii="Times New Roman" w:hAnsi="Times New Roman" w:eastAsia="宋体"/>
                <w:color w:val="000000" w:themeColor="text1"/>
                <w:sz w:val="24"/>
              </w:rPr>
              <w:t>，且设立明显的警示标志。在危废暂存间储存期间，企业须作好危险废物情况的记录，记录上须注明危险废物的名称、来源、数量、特性和包装容器的类别、入库日期、存放库位、废物出库日期及接收单位名称；危废暂存间有专人管理，必须定期对所贮存的危险废物包装容器及贮存设施进行检查，发现破损，应及时采取措施清理更换。在危废暂存间临时储存后，最终委托有资质的单位进行处理。</w:t>
            </w:r>
          </w:p>
          <w:p>
            <w:pPr>
              <w:spacing w:line="440" w:lineRule="exact"/>
              <w:ind w:firstLine="482"/>
              <w:contextualSpacing/>
              <w:rPr>
                <w:rFonts w:ascii="Times New Roman" w:hAnsi="Times New Roman" w:eastAsia="宋体"/>
                <w:color w:val="000000" w:themeColor="text1"/>
                <w:sz w:val="24"/>
              </w:rPr>
            </w:pPr>
            <w:r>
              <w:rPr>
                <w:rFonts w:ascii="Times New Roman" w:hAnsi="Times New Roman" w:eastAsia="宋体"/>
                <w:color w:val="000000" w:themeColor="text1"/>
                <w:sz w:val="24"/>
              </w:rPr>
              <w:t>本项目营运期危险废物及危废暂存间基本情况见表</w:t>
            </w:r>
            <w:r>
              <w:rPr>
                <w:rFonts w:hint="eastAsia" w:ascii="Times New Roman" w:hAnsi="Times New Roman" w:eastAsia="宋体"/>
                <w:color w:val="000000" w:themeColor="text1"/>
                <w:sz w:val="24"/>
              </w:rPr>
              <w:t>46、47</w:t>
            </w:r>
            <w:r>
              <w:rPr>
                <w:rFonts w:ascii="Times New Roman" w:hAnsi="Times New Roman" w:eastAsia="宋体"/>
                <w:color w:val="000000" w:themeColor="text1"/>
                <w:sz w:val="24"/>
              </w:rPr>
              <w:t>。</w:t>
            </w:r>
          </w:p>
          <w:p>
            <w:pPr>
              <w:spacing w:line="440" w:lineRule="exact"/>
              <w:contextualSpacing/>
              <w:jc w:val="center"/>
              <w:rPr>
                <w:rFonts w:ascii="Times New Roman" w:hAnsi="Times New Roman" w:eastAsia="宋体"/>
                <w:b/>
                <w:color w:val="000000" w:themeColor="text1"/>
                <w:sz w:val="24"/>
              </w:rPr>
            </w:pPr>
            <w:r>
              <w:rPr>
                <w:rFonts w:ascii="Times New Roman" w:eastAsia="宋体"/>
                <w:b/>
                <w:color w:val="000000" w:themeColor="text1"/>
                <w:sz w:val="24"/>
              </w:rPr>
              <w:t>表</w:t>
            </w:r>
            <w:r>
              <w:rPr>
                <w:rFonts w:hint="eastAsia" w:ascii="Times New Roman" w:hAnsi="Times New Roman" w:eastAsia="宋体"/>
                <w:b/>
                <w:color w:val="000000" w:themeColor="text1"/>
                <w:sz w:val="24"/>
              </w:rPr>
              <w:t xml:space="preserve">46    </w:t>
            </w:r>
            <w:r>
              <w:rPr>
                <w:rFonts w:ascii="Times New Roman" w:eastAsia="宋体"/>
                <w:b/>
                <w:color w:val="000000" w:themeColor="text1"/>
                <w:sz w:val="24"/>
              </w:rPr>
              <w:t>项目危险废物汇总一览表</w:t>
            </w:r>
          </w:p>
          <w:tbl>
            <w:tblPr>
              <w:tblStyle w:val="24"/>
              <w:tblW w:w="9072"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1326"/>
              <w:gridCol w:w="1178"/>
              <w:gridCol w:w="1031"/>
              <w:gridCol w:w="441"/>
              <w:gridCol w:w="737"/>
              <w:gridCol w:w="739"/>
              <w:gridCol w:w="735"/>
              <w:gridCol w:w="737"/>
              <w:gridCol w:w="126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7" w:type="pct"/>
                  <w:tcBorders>
                    <w:top w:val="single" w:color="auto" w:sz="8" w:space="0"/>
                    <w:bottom w:val="single" w:color="auto" w:sz="8" w:space="0"/>
                  </w:tcBorders>
                  <w:vAlign w:val="center"/>
                </w:tcPr>
                <w:p>
                  <w:pPr>
                    <w:topLinePunct/>
                    <w:adjustRightInd w:val="0"/>
                    <w:snapToGrid w:val="0"/>
                    <w:jc w:val="center"/>
                    <w:rPr>
                      <w:rFonts w:ascii="Times New Roman" w:hAnsi="Times New Roman" w:eastAsia="宋体"/>
                      <w:b/>
                      <w:color w:val="000000" w:themeColor="text1"/>
                      <w:kern w:val="0"/>
                      <w:szCs w:val="21"/>
                    </w:rPr>
                  </w:pPr>
                  <w:r>
                    <w:rPr>
                      <w:rFonts w:ascii="Times New Roman" w:eastAsia="宋体"/>
                      <w:b/>
                      <w:color w:val="000000" w:themeColor="text1"/>
                      <w:kern w:val="0"/>
                      <w:szCs w:val="21"/>
                    </w:rPr>
                    <w:t>危废名称</w:t>
                  </w:r>
                </w:p>
              </w:tc>
              <w:tc>
                <w:tcPr>
                  <w:tcW w:w="731" w:type="pct"/>
                  <w:tcBorders>
                    <w:top w:val="single" w:color="auto" w:sz="8" w:space="0"/>
                    <w:bottom w:val="single" w:color="auto" w:sz="8" w:space="0"/>
                  </w:tcBorders>
                  <w:vAlign w:val="center"/>
                </w:tcPr>
                <w:p>
                  <w:pPr>
                    <w:topLinePunct/>
                    <w:adjustRightInd w:val="0"/>
                    <w:snapToGrid w:val="0"/>
                    <w:jc w:val="center"/>
                    <w:rPr>
                      <w:rFonts w:ascii="Times New Roman" w:hAnsi="Times New Roman" w:eastAsia="宋体"/>
                      <w:b/>
                      <w:color w:val="000000" w:themeColor="text1"/>
                      <w:kern w:val="0"/>
                      <w:szCs w:val="21"/>
                    </w:rPr>
                  </w:pPr>
                  <w:r>
                    <w:rPr>
                      <w:rFonts w:ascii="Times New Roman" w:eastAsia="宋体"/>
                      <w:b/>
                      <w:color w:val="000000" w:themeColor="text1"/>
                      <w:kern w:val="0"/>
                      <w:szCs w:val="21"/>
                    </w:rPr>
                    <w:t>危废类别及代码</w:t>
                  </w:r>
                </w:p>
              </w:tc>
              <w:tc>
                <w:tcPr>
                  <w:tcW w:w="649" w:type="pct"/>
                  <w:tcBorders>
                    <w:top w:val="single" w:color="auto" w:sz="8" w:space="0"/>
                    <w:bottom w:val="single" w:color="auto" w:sz="8" w:space="0"/>
                  </w:tcBorders>
                  <w:vAlign w:val="center"/>
                </w:tcPr>
                <w:p>
                  <w:pPr>
                    <w:topLinePunct/>
                    <w:adjustRightInd w:val="0"/>
                    <w:snapToGrid w:val="0"/>
                    <w:jc w:val="center"/>
                    <w:rPr>
                      <w:rFonts w:ascii="Times New Roman" w:hAnsi="Times New Roman" w:eastAsia="宋体"/>
                      <w:b/>
                      <w:color w:val="000000" w:themeColor="text1"/>
                      <w:kern w:val="0"/>
                      <w:szCs w:val="21"/>
                    </w:rPr>
                  </w:pPr>
                  <w:r>
                    <w:rPr>
                      <w:rFonts w:ascii="Times New Roman" w:eastAsia="宋体"/>
                      <w:b/>
                      <w:color w:val="000000" w:themeColor="text1"/>
                      <w:kern w:val="0"/>
                      <w:szCs w:val="21"/>
                    </w:rPr>
                    <w:t>产生量</w:t>
                  </w:r>
                </w:p>
              </w:tc>
              <w:tc>
                <w:tcPr>
                  <w:tcW w:w="568" w:type="pct"/>
                  <w:tcBorders>
                    <w:top w:val="single" w:color="auto" w:sz="8" w:space="0"/>
                    <w:bottom w:val="single" w:color="auto" w:sz="8" w:space="0"/>
                  </w:tcBorders>
                  <w:vAlign w:val="center"/>
                </w:tcPr>
                <w:p>
                  <w:pPr>
                    <w:topLinePunct/>
                    <w:adjustRightInd w:val="0"/>
                    <w:snapToGrid w:val="0"/>
                    <w:jc w:val="center"/>
                    <w:rPr>
                      <w:rFonts w:ascii="Times New Roman" w:hAnsi="Times New Roman" w:eastAsia="宋体"/>
                      <w:b/>
                      <w:color w:val="000000" w:themeColor="text1"/>
                      <w:kern w:val="0"/>
                      <w:szCs w:val="21"/>
                    </w:rPr>
                  </w:pPr>
                  <w:r>
                    <w:rPr>
                      <w:rFonts w:ascii="Times New Roman" w:eastAsia="宋体"/>
                      <w:b/>
                      <w:color w:val="000000" w:themeColor="text1"/>
                      <w:kern w:val="0"/>
                      <w:szCs w:val="21"/>
                    </w:rPr>
                    <w:t>产生工序及装置</w:t>
                  </w:r>
                </w:p>
              </w:tc>
              <w:tc>
                <w:tcPr>
                  <w:tcW w:w="243" w:type="pct"/>
                  <w:tcBorders>
                    <w:top w:val="single" w:color="auto" w:sz="8" w:space="0"/>
                    <w:bottom w:val="single" w:color="auto" w:sz="8" w:space="0"/>
                  </w:tcBorders>
                  <w:vAlign w:val="center"/>
                </w:tcPr>
                <w:p>
                  <w:pPr>
                    <w:topLinePunct/>
                    <w:adjustRightInd w:val="0"/>
                    <w:snapToGrid w:val="0"/>
                    <w:jc w:val="center"/>
                    <w:rPr>
                      <w:rFonts w:ascii="Times New Roman" w:hAnsi="Times New Roman" w:eastAsia="宋体"/>
                      <w:b/>
                      <w:color w:val="000000" w:themeColor="text1"/>
                      <w:kern w:val="0"/>
                      <w:szCs w:val="21"/>
                    </w:rPr>
                  </w:pPr>
                  <w:r>
                    <w:rPr>
                      <w:rFonts w:ascii="Times New Roman" w:eastAsia="宋体"/>
                      <w:b/>
                      <w:color w:val="000000" w:themeColor="text1"/>
                      <w:kern w:val="0"/>
                      <w:szCs w:val="21"/>
                    </w:rPr>
                    <w:t>形态</w:t>
                  </w:r>
                </w:p>
              </w:tc>
              <w:tc>
                <w:tcPr>
                  <w:tcW w:w="406" w:type="pct"/>
                  <w:tcBorders>
                    <w:top w:val="single" w:color="auto" w:sz="8" w:space="0"/>
                    <w:bottom w:val="single" w:color="auto" w:sz="8" w:space="0"/>
                  </w:tcBorders>
                  <w:vAlign w:val="center"/>
                </w:tcPr>
                <w:p>
                  <w:pPr>
                    <w:topLinePunct/>
                    <w:adjustRightInd w:val="0"/>
                    <w:snapToGrid w:val="0"/>
                    <w:jc w:val="center"/>
                    <w:rPr>
                      <w:rFonts w:ascii="Times New Roman" w:hAnsi="Times New Roman" w:eastAsia="宋体"/>
                      <w:b/>
                      <w:color w:val="000000" w:themeColor="text1"/>
                      <w:kern w:val="0"/>
                      <w:szCs w:val="21"/>
                    </w:rPr>
                  </w:pPr>
                  <w:r>
                    <w:rPr>
                      <w:rFonts w:ascii="Times New Roman" w:eastAsia="宋体"/>
                      <w:b/>
                      <w:color w:val="000000" w:themeColor="text1"/>
                      <w:kern w:val="0"/>
                      <w:szCs w:val="21"/>
                    </w:rPr>
                    <w:t>主要成分</w:t>
                  </w:r>
                </w:p>
              </w:tc>
              <w:tc>
                <w:tcPr>
                  <w:tcW w:w="407" w:type="pct"/>
                  <w:tcBorders>
                    <w:top w:val="single" w:color="auto" w:sz="8" w:space="0"/>
                    <w:bottom w:val="single" w:color="auto" w:sz="8" w:space="0"/>
                  </w:tcBorders>
                  <w:vAlign w:val="center"/>
                </w:tcPr>
                <w:p>
                  <w:pPr>
                    <w:topLinePunct/>
                    <w:adjustRightInd w:val="0"/>
                    <w:snapToGrid w:val="0"/>
                    <w:jc w:val="center"/>
                    <w:rPr>
                      <w:rFonts w:ascii="Times New Roman" w:hAnsi="Times New Roman" w:eastAsia="宋体"/>
                      <w:b/>
                      <w:color w:val="000000" w:themeColor="text1"/>
                      <w:kern w:val="0"/>
                      <w:szCs w:val="21"/>
                    </w:rPr>
                  </w:pPr>
                  <w:r>
                    <w:rPr>
                      <w:rFonts w:ascii="Times New Roman" w:eastAsia="宋体"/>
                      <w:b/>
                      <w:color w:val="000000" w:themeColor="text1"/>
                      <w:kern w:val="0"/>
                      <w:szCs w:val="21"/>
                    </w:rPr>
                    <w:t>有害成分</w:t>
                  </w:r>
                </w:p>
              </w:tc>
              <w:tc>
                <w:tcPr>
                  <w:tcW w:w="405" w:type="pct"/>
                  <w:tcBorders>
                    <w:top w:val="single" w:color="auto" w:sz="8" w:space="0"/>
                    <w:bottom w:val="single" w:color="auto" w:sz="8" w:space="0"/>
                  </w:tcBorders>
                  <w:vAlign w:val="center"/>
                </w:tcPr>
                <w:p>
                  <w:pPr>
                    <w:topLinePunct/>
                    <w:adjustRightInd w:val="0"/>
                    <w:snapToGrid w:val="0"/>
                    <w:jc w:val="center"/>
                    <w:rPr>
                      <w:rFonts w:ascii="Times New Roman" w:hAnsi="Times New Roman" w:eastAsia="宋体"/>
                      <w:b/>
                      <w:color w:val="000000" w:themeColor="text1"/>
                      <w:kern w:val="0"/>
                      <w:szCs w:val="21"/>
                    </w:rPr>
                  </w:pPr>
                  <w:r>
                    <w:rPr>
                      <w:rFonts w:ascii="Times New Roman" w:eastAsia="宋体"/>
                      <w:b/>
                      <w:color w:val="000000" w:themeColor="text1"/>
                      <w:kern w:val="0"/>
                      <w:szCs w:val="21"/>
                    </w:rPr>
                    <w:t>产废周期</w:t>
                  </w:r>
                </w:p>
              </w:tc>
              <w:tc>
                <w:tcPr>
                  <w:tcW w:w="406" w:type="pct"/>
                  <w:tcBorders>
                    <w:top w:val="single" w:color="auto" w:sz="8" w:space="0"/>
                    <w:bottom w:val="single" w:color="auto" w:sz="8" w:space="0"/>
                  </w:tcBorders>
                  <w:vAlign w:val="center"/>
                </w:tcPr>
                <w:p>
                  <w:pPr>
                    <w:topLinePunct/>
                    <w:adjustRightInd w:val="0"/>
                    <w:snapToGrid w:val="0"/>
                    <w:jc w:val="center"/>
                    <w:rPr>
                      <w:rFonts w:ascii="Times New Roman" w:hAnsi="Times New Roman" w:eastAsia="宋体"/>
                      <w:b/>
                      <w:color w:val="000000" w:themeColor="text1"/>
                      <w:kern w:val="0"/>
                      <w:szCs w:val="21"/>
                    </w:rPr>
                  </w:pPr>
                  <w:r>
                    <w:rPr>
                      <w:rFonts w:ascii="Times New Roman" w:eastAsia="宋体"/>
                      <w:b/>
                      <w:color w:val="000000" w:themeColor="text1"/>
                      <w:kern w:val="0"/>
                      <w:szCs w:val="21"/>
                    </w:rPr>
                    <w:t>危险</w:t>
                  </w:r>
                </w:p>
                <w:p>
                  <w:pPr>
                    <w:topLinePunct/>
                    <w:adjustRightInd w:val="0"/>
                    <w:snapToGrid w:val="0"/>
                    <w:jc w:val="center"/>
                    <w:rPr>
                      <w:rFonts w:ascii="Times New Roman" w:hAnsi="Times New Roman" w:eastAsia="宋体"/>
                      <w:b/>
                      <w:color w:val="000000" w:themeColor="text1"/>
                      <w:kern w:val="0"/>
                      <w:szCs w:val="21"/>
                    </w:rPr>
                  </w:pPr>
                  <w:r>
                    <w:rPr>
                      <w:rFonts w:ascii="Times New Roman" w:eastAsia="宋体"/>
                      <w:b/>
                      <w:color w:val="000000" w:themeColor="text1"/>
                      <w:kern w:val="0"/>
                      <w:szCs w:val="21"/>
                    </w:rPr>
                    <w:t>特性</w:t>
                  </w:r>
                </w:p>
              </w:tc>
              <w:tc>
                <w:tcPr>
                  <w:tcW w:w="697" w:type="pct"/>
                  <w:tcBorders>
                    <w:top w:val="single" w:color="auto" w:sz="8" w:space="0"/>
                    <w:bottom w:val="single" w:color="auto" w:sz="8" w:space="0"/>
                  </w:tcBorders>
                  <w:vAlign w:val="center"/>
                </w:tcPr>
                <w:p>
                  <w:pPr>
                    <w:topLinePunct/>
                    <w:adjustRightInd w:val="0"/>
                    <w:snapToGrid w:val="0"/>
                    <w:jc w:val="center"/>
                    <w:rPr>
                      <w:rFonts w:ascii="Times New Roman" w:hAnsi="Times New Roman" w:eastAsia="宋体"/>
                      <w:b/>
                      <w:color w:val="000000" w:themeColor="text1"/>
                      <w:kern w:val="0"/>
                      <w:szCs w:val="21"/>
                    </w:rPr>
                  </w:pPr>
                  <w:r>
                    <w:rPr>
                      <w:rFonts w:ascii="Times New Roman" w:eastAsia="宋体"/>
                      <w:b/>
                      <w:color w:val="000000" w:themeColor="text1"/>
                      <w:kern w:val="0"/>
                      <w:szCs w:val="21"/>
                    </w:rPr>
                    <w:t>污染防治措施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487" w:type="pct"/>
                  <w:tcBorders>
                    <w:top w:val="single" w:color="auto" w:sz="8" w:space="0"/>
                  </w:tcBorders>
                  <w:vAlign w:val="center"/>
                </w:tcPr>
                <w:p>
                  <w:pPr>
                    <w:topLinePunct/>
                    <w:adjustRightInd w:val="0"/>
                    <w:snapToGrid w:val="0"/>
                    <w:jc w:val="center"/>
                    <w:rPr>
                      <w:rFonts w:ascii="Times New Roman" w:eastAsia="宋体"/>
                      <w:color w:val="000000" w:themeColor="text1"/>
                      <w:szCs w:val="21"/>
                    </w:rPr>
                  </w:pPr>
                  <w:r>
                    <w:rPr>
                      <w:rFonts w:hint="eastAsia" w:ascii="Times New Roman" w:eastAsia="宋体"/>
                      <w:color w:val="000000" w:themeColor="text1"/>
                      <w:szCs w:val="21"/>
                    </w:rPr>
                    <w:t>废紫外灯管</w:t>
                  </w:r>
                </w:p>
              </w:tc>
              <w:tc>
                <w:tcPr>
                  <w:tcW w:w="731" w:type="pct"/>
                  <w:tcBorders>
                    <w:top w:val="single" w:color="auto" w:sz="8" w:space="0"/>
                  </w:tcBorders>
                  <w:vAlign w:val="center"/>
                </w:tcPr>
                <w:p>
                  <w:pPr>
                    <w:topLinePunct/>
                    <w:adjustRightInd w:val="0"/>
                    <w:snapToGrid w:val="0"/>
                    <w:jc w:val="center"/>
                    <w:rPr>
                      <w:rFonts w:ascii="Times New Roman" w:hAnsi="Times New Roman" w:eastAsia="宋体"/>
                      <w:color w:val="000000" w:themeColor="text1"/>
                      <w:kern w:val="0"/>
                      <w:szCs w:val="21"/>
                    </w:rPr>
                  </w:pPr>
                  <w:r>
                    <w:rPr>
                      <w:rFonts w:ascii="Times New Roman" w:hAnsi="Times New Roman" w:eastAsia="宋体"/>
                      <w:color w:val="000000" w:themeColor="text1"/>
                      <w:kern w:val="0"/>
                      <w:szCs w:val="21"/>
                    </w:rPr>
                    <w:t>HW</w:t>
                  </w:r>
                  <w:r>
                    <w:rPr>
                      <w:rFonts w:hint="eastAsia" w:ascii="Times New Roman" w:hAnsi="Times New Roman" w:eastAsia="宋体"/>
                      <w:color w:val="000000" w:themeColor="text1"/>
                      <w:kern w:val="0"/>
                      <w:szCs w:val="21"/>
                    </w:rPr>
                    <w:t>29</w:t>
                  </w:r>
                  <w:r>
                    <w:rPr>
                      <w:rFonts w:hint="eastAsia" w:ascii="Times New Roman" w:eastAsia="宋体"/>
                      <w:color w:val="000000" w:themeColor="text1"/>
                      <w:kern w:val="0"/>
                      <w:szCs w:val="21"/>
                    </w:rPr>
                    <w:t>；</w:t>
                  </w:r>
                  <w:r>
                    <w:rPr>
                      <w:rFonts w:ascii="Times New Roman" w:hAnsi="Times New Roman" w:eastAsia="宋体"/>
                      <w:color w:val="000000" w:themeColor="text1"/>
                      <w:szCs w:val="21"/>
                    </w:rPr>
                    <w:t>900-</w:t>
                  </w:r>
                  <w:r>
                    <w:rPr>
                      <w:rFonts w:hint="eastAsia" w:ascii="Times New Roman" w:hAnsi="Times New Roman" w:eastAsia="宋体"/>
                      <w:color w:val="000000" w:themeColor="text1"/>
                      <w:szCs w:val="21"/>
                    </w:rPr>
                    <w:t>023</w:t>
                  </w:r>
                  <w:r>
                    <w:rPr>
                      <w:rFonts w:ascii="Times New Roman" w:hAnsi="Times New Roman" w:eastAsia="宋体"/>
                      <w:color w:val="000000" w:themeColor="text1"/>
                      <w:szCs w:val="21"/>
                    </w:rPr>
                    <w:t>-</w:t>
                  </w:r>
                  <w:r>
                    <w:rPr>
                      <w:rFonts w:hint="eastAsia" w:ascii="Times New Roman" w:hAnsi="Times New Roman" w:eastAsia="宋体"/>
                      <w:color w:val="000000" w:themeColor="text1"/>
                      <w:szCs w:val="21"/>
                    </w:rPr>
                    <w:t>29</w:t>
                  </w:r>
                </w:p>
              </w:tc>
              <w:tc>
                <w:tcPr>
                  <w:tcW w:w="649" w:type="pct"/>
                  <w:tcBorders>
                    <w:top w:val="single" w:color="auto" w:sz="8" w:space="0"/>
                  </w:tcBorders>
                  <w:vAlign w:val="center"/>
                </w:tcPr>
                <w:p>
                  <w:pPr>
                    <w:topLinePunct/>
                    <w:adjustRightInd w:val="0"/>
                    <w:snapToGrid w:val="0"/>
                    <w:jc w:val="center"/>
                    <w:rPr>
                      <w:rFonts w:ascii="Times New Roman" w:hAnsi="Times New Roman" w:eastAsia="宋体"/>
                      <w:color w:val="000000" w:themeColor="text1"/>
                      <w:kern w:val="0"/>
                      <w:szCs w:val="21"/>
                    </w:rPr>
                  </w:pPr>
                  <w:r>
                    <w:rPr>
                      <w:rFonts w:hint="eastAsia" w:ascii="Times New Roman" w:hAnsi="Times New Roman" w:eastAsia="宋体"/>
                      <w:color w:val="000000" w:themeColor="text1"/>
                      <w:szCs w:val="21"/>
                    </w:rPr>
                    <w:t>7根</w:t>
                  </w:r>
                  <w:r>
                    <w:rPr>
                      <w:rFonts w:ascii="Times New Roman" w:hAnsi="Times New Roman" w:eastAsia="宋体"/>
                      <w:color w:val="000000" w:themeColor="text1"/>
                      <w:szCs w:val="21"/>
                    </w:rPr>
                    <w:t>/a</w:t>
                  </w:r>
                </w:p>
              </w:tc>
              <w:tc>
                <w:tcPr>
                  <w:tcW w:w="568" w:type="pct"/>
                  <w:tcBorders>
                    <w:top w:val="single" w:color="auto" w:sz="8" w:space="0"/>
                  </w:tcBorders>
                  <w:vAlign w:val="center"/>
                </w:tcPr>
                <w:p>
                  <w:pPr>
                    <w:topLinePunct/>
                    <w:adjustRightInd w:val="0"/>
                    <w:snapToGrid w:val="0"/>
                    <w:jc w:val="center"/>
                    <w:rPr>
                      <w:rFonts w:ascii="Times New Roman" w:hAnsi="Times New Roman" w:eastAsia="宋体"/>
                      <w:color w:val="000000" w:themeColor="text1"/>
                      <w:kern w:val="0"/>
                      <w:szCs w:val="21"/>
                    </w:rPr>
                  </w:pPr>
                  <w:r>
                    <w:rPr>
                      <w:rFonts w:hint="eastAsia" w:ascii="Times New Roman" w:eastAsia="宋体"/>
                      <w:color w:val="000000" w:themeColor="text1"/>
                      <w:kern w:val="0"/>
                      <w:szCs w:val="21"/>
                    </w:rPr>
                    <w:t>废气处理工序</w:t>
                  </w:r>
                </w:p>
              </w:tc>
              <w:tc>
                <w:tcPr>
                  <w:tcW w:w="243" w:type="pct"/>
                  <w:tcBorders>
                    <w:top w:val="single" w:color="auto" w:sz="8" w:space="0"/>
                  </w:tcBorders>
                  <w:vAlign w:val="center"/>
                </w:tcPr>
                <w:p>
                  <w:pPr>
                    <w:topLinePunct/>
                    <w:adjustRightInd w:val="0"/>
                    <w:snapToGrid w:val="0"/>
                    <w:jc w:val="center"/>
                    <w:rPr>
                      <w:rFonts w:ascii="Times New Roman" w:hAnsi="Times New Roman" w:eastAsia="宋体"/>
                      <w:color w:val="000000" w:themeColor="text1"/>
                      <w:kern w:val="0"/>
                      <w:szCs w:val="21"/>
                    </w:rPr>
                  </w:pPr>
                  <w:r>
                    <w:rPr>
                      <w:rFonts w:hint="eastAsia" w:ascii="Times New Roman" w:eastAsia="宋体"/>
                      <w:color w:val="000000" w:themeColor="text1"/>
                      <w:kern w:val="0"/>
                      <w:szCs w:val="21"/>
                    </w:rPr>
                    <w:t>固态</w:t>
                  </w:r>
                </w:p>
              </w:tc>
              <w:tc>
                <w:tcPr>
                  <w:tcW w:w="406" w:type="pct"/>
                  <w:tcBorders>
                    <w:top w:val="single" w:color="auto" w:sz="8" w:space="0"/>
                  </w:tcBorders>
                  <w:vAlign w:val="center"/>
                </w:tcPr>
                <w:p>
                  <w:pPr>
                    <w:topLinePunct/>
                    <w:adjustRightInd w:val="0"/>
                    <w:snapToGrid w:val="0"/>
                    <w:jc w:val="center"/>
                    <w:rPr>
                      <w:rFonts w:ascii="Times New Roman" w:hAnsi="Times New Roman" w:eastAsia="宋体"/>
                      <w:color w:val="000000" w:themeColor="text1"/>
                      <w:kern w:val="0"/>
                      <w:szCs w:val="21"/>
                    </w:rPr>
                  </w:pPr>
                  <w:r>
                    <w:rPr>
                      <w:rFonts w:hint="eastAsia" w:ascii="Times New Roman" w:eastAsia="宋体"/>
                      <w:color w:val="000000" w:themeColor="text1"/>
                      <w:kern w:val="0"/>
                      <w:szCs w:val="21"/>
                    </w:rPr>
                    <w:t>汞</w:t>
                  </w:r>
                </w:p>
              </w:tc>
              <w:tc>
                <w:tcPr>
                  <w:tcW w:w="407" w:type="pct"/>
                  <w:tcBorders>
                    <w:top w:val="single" w:color="auto" w:sz="8" w:space="0"/>
                  </w:tcBorders>
                  <w:vAlign w:val="center"/>
                </w:tcPr>
                <w:p>
                  <w:pPr>
                    <w:topLinePunct/>
                    <w:adjustRightInd w:val="0"/>
                    <w:snapToGrid w:val="0"/>
                    <w:jc w:val="center"/>
                    <w:rPr>
                      <w:rFonts w:ascii="Times New Roman" w:hAnsi="Times New Roman" w:eastAsia="宋体"/>
                      <w:color w:val="000000" w:themeColor="text1"/>
                      <w:kern w:val="0"/>
                      <w:szCs w:val="21"/>
                    </w:rPr>
                  </w:pPr>
                  <w:r>
                    <w:rPr>
                      <w:rFonts w:hint="eastAsia" w:ascii="Times New Roman" w:eastAsia="宋体"/>
                      <w:color w:val="000000" w:themeColor="text1"/>
                      <w:kern w:val="0"/>
                      <w:szCs w:val="21"/>
                    </w:rPr>
                    <w:t>汞</w:t>
                  </w:r>
                </w:p>
              </w:tc>
              <w:tc>
                <w:tcPr>
                  <w:tcW w:w="405" w:type="pct"/>
                  <w:tcBorders>
                    <w:top w:val="single" w:color="auto" w:sz="8" w:space="0"/>
                  </w:tcBorders>
                  <w:vAlign w:val="center"/>
                </w:tcPr>
                <w:p>
                  <w:pPr>
                    <w:topLinePunct/>
                    <w:adjustRightInd w:val="0"/>
                    <w:snapToGrid w:val="0"/>
                    <w:jc w:val="center"/>
                    <w:rPr>
                      <w:rFonts w:ascii="Times New Roman" w:hAnsi="Times New Roman" w:eastAsia="宋体"/>
                      <w:color w:val="000000" w:themeColor="text1"/>
                      <w:kern w:val="0"/>
                      <w:szCs w:val="21"/>
                    </w:rPr>
                  </w:pPr>
                  <w:r>
                    <w:rPr>
                      <w:rFonts w:hint="eastAsia" w:ascii="Times New Roman" w:hAnsi="Times New Roman" w:eastAsia="宋体"/>
                      <w:color w:val="000000" w:themeColor="text1"/>
                      <w:kern w:val="0"/>
                      <w:szCs w:val="21"/>
                    </w:rPr>
                    <w:t>2年</w:t>
                  </w:r>
                </w:p>
              </w:tc>
              <w:tc>
                <w:tcPr>
                  <w:tcW w:w="406" w:type="pct"/>
                  <w:tcBorders>
                    <w:top w:val="single" w:color="auto" w:sz="8" w:space="0"/>
                  </w:tcBorders>
                  <w:vAlign w:val="center"/>
                </w:tcPr>
                <w:p>
                  <w:pPr>
                    <w:jc w:val="center"/>
                    <w:rPr>
                      <w:rFonts w:ascii="Times New Roman" w:hAnsi="Times New Roman" w:eastAsia="宋体"/>
                      <w:color w:val="000000" w:themeColor="text1"/>
                      <w:kern w:val="0"/>
                      <w:szCs w:val="21"/>
                    </w:rPr>
                  </w:pPr>
                  <w:r>
                    <w:rPr>
                      <w:rFonts w:hint="eastAsia" w:ascii="Times New Roman" w:hAnsi="Times New Roman" w:eastAsia="宋体"/>
                      <w:color w:val="000000" w:themeColor="text1"/>
                      <w:kern w:val="0"/>
                      <w:szCs w:val="21"/>
                    </w:rPr>
                    <w:t>T</w:t>
                  </w:r>
                </w:p>
              </w:tc>
              <w:tc>
                <w:tcPr>
                  <w:tcW w:w="697" w:type="pct"/>
                  <w:vMerge w:val="restart"/>
                  <w:tcBorders>
                    <w:top w:val="single" w:color="auto" w:sz="8" w:space="0"/>
                  </w:tcBorders>
                  <w:vAlign w:val="center"/>
                </w:tcPr>
                <w:p>
                  <w:pPr>
                    <w:topLinePunct/>
                    <w:adjustRightInd w:val="0"/>
                    <w:snapToGrid w:val="0"/>
                    <w:jc w:val="center"/>
                    <w:rPr>
                      <w:rFonts w:ascii="Times New Roman" w:eastAsia="宋体"/>
                      <w:color w:val="000000" w:themeColor="text1"/>
                      <w:kern w:val="0"/>
                      <w:szCs w:val="21"/>
                    </w:rPr>
                  </w:pPr>
                  <w:r>
                    <w:rPr>
                      <w:rFonts w:ascii="Times New Roman" w:eastAsia="宋体"/>
                      <w:color w:val="000000" w:themeColor="text1"/>
                      <w:kern w:val="0"/>
                      <w:szCs w:val="21"/>
                    </w:rPr>
                    <w:t>经危废暂存间暂存，定期交由有资质单位处理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7" w:type="pct"/>
                  <w:tcBorders>
                    <w:top w:val="single" w:color="auto" w:sz="8" w:space="0"/>
                  </w:tcBorders>
                  <w:vAlign w:val="center"/>
                </w:tcPr>
                <w:p>
                  <w:pPr>
                    <w:topLinePunct/>
                    <w:adjustRightInd w:val="0"/>
                    <w:snapToGrid w:val="0"/>
                    <w:jc w:val="center"/>
                    <w:rPr>
                      <w:rFonts w:ascii="Times New Roman" w:hAnsi="Times New Roman" w:eastAsia="宋体"/>
                      <w:color w:val="000000" w:themeColor="text1"/>
                      <w:kern w:val="0"/>
                      <w:szCs w:val="21"/>
                    </w:rPr>
                  </w:pPr>
                  <w:r>
                    <w:rPr>
                      <w:rFonts w:hint="eastAsia" w:ascii="Times New Roman" w:eastAsia="宋体"/>
                      <w:color w:val="000000" w:themeColor="text1"/>
                      <w:szCs w:val="21"/>
                    </w:rPr>
                    <w:t>废活性炭</w:t>
                  </w:r>
                </w:p>
              </w:tc>
              <w:tc>
                <w:tcPr>
                  <w:tcW w:w="731" w:type="pct"/>
                  <w:tcBorders>
                    <w:top w:val="single" w:color="auto" w:sz="8" w:space="0"/>
                  </w:tcBorders>
                  <w:vAlign w:val="center"/>
                </w:tcPr>
                <w:p>
                  <w:pPr>
                    <w:topLinePunct/>
                    <w:adjustRightInd w:val="0"/>
                    <w:snapToGrid w:val="0"/>
                    <w:jc w:val="center"/>
                    <w:rPr>
                      <w:rFonts w:ascii="Times New Roman" w:hAnsi="Times New Roman" w:eastAsia="宋体"/>
                      <w:color w:val="000000" w:themeColor="text1"/>
                      <w:kern w:val="0"/>
                      <w:szCs w:val="21"/>
                    </w:rPr>
                  </w:pPr>
                  <w:r>
                    <w:rPr>
                      <w:rFonts w:ascii="Times New Roman" w:hAnsi="Times New Roman" w:eastAsia="宋体"/>
                      <w:color w:val="000000" w:themeColor="text1"/>
                      <w:kern w:val="0"/>
                      <w:szCs w:val="21"/>
                    </w:rPr>
                    <w:t>HW</w:t>
                  </w:r>
                  <w:r>
                    <w:rPr>
                      <w:rFonts w:hint="eastAsia" w:ascii="Times New Roman" w:hAnsi="Times New Roman" w:eastAsia="宋体"/>
                      <w:color w:val="000000" w:themeColor="text1"/>
                      <w:kern w:val="0"/>
                      <w:szCs w:val="21"/>
                    </w:rPr>
                    <w:t>4</w:t>
                  </w:r>
                  <w:r>
                    <w:rPr>
                      <w:rFonts w:ascii="Times New Roman" w:hAnsi="Times New Roman" w:eastAsia="宋体"/>
                      <w:color w:val="000000" w:themeColor="text1"/>
                      <w:kern w:val="0"/>
                      <w:szCs w:val="21"/>
                    </w:rPr>
                    <w:t>9</w:t>
                  </w:r>
                  <w:r>
                    <w:rPr>
                      <w:rFonts w:hint="eastAsia" w:ascii="Times New Roman" w:eastAsia="宋体"/>
                      <w:color w:val="000000" w:themeColor="text1"/>
                      <w:kern w:val="0"/>
                      <w:szCs w:val="21"/>
                    </w:rPr>
                    <w:t>；</w:t>
                  </w:r>
                  <w:r>
                    <w:rPr>
                      <w:rFonts w:ascii="Times New Roman" w:hAnsi="Times New Roman" w:eastAsia="宋体"/>
                      <w:color w:val="000000" w:themeColor="text1"/>
                      <w:szCs w:val="21"/>
                    </w:rPr>
                    <w:t>900-</w:t>
                  </w:r>
                  <w:r>
                    <w:rPr>
                      <w:rFonts w:hint="eastAsia" w:ascii="Times New Roman" w:hAnsi="Times New Roman" w:eastAsia="宋体"/>
                      <w:color w:val="000000" w:themeColor="text1"/>
                      <w:szCs w:val="21"/>
                    </w:rPr>
                    <w:t>041</w:t>
                  </w:r>
                  <w:r>
                    <w:rPr>
                      <w:rFonts w:ascii="Times New Roman" w:hAnsi="Times New Roman" w:eastAsia="宋体"/>
                      <w:color w:val="000000" w:themeColor="text1"/>
                      <w:szCs w:val="21"/>
                    </w:rPr>
                    <w:t>-49</w:t>
                  </w:r>
                </w:p>
              </w:tc>
              <w:tc>
                <w:tcPr>
                  <w:tcW w:w="649" w:type="pct"/>
                  <w:tcBorders>
                    <w:top w:val="single" w:color="auto" w:sz="8" w:space="0"/>
                  </w:tcBorders>
                  <w:vAlign w:val="center"/>
                </w:tcPr>
                <w:p>
                  <w:pPr>
                    <w:topLinePunct/>
                    <w:adjustRightInd w:val="0"/>
                    <w:snapToGrid w:val="0"/>
                    <w:jc w:val="center"/>
                    <w:rPr>
                      <w:rFonts w:ascii="Times New Roman" w:hAnsi="Times New Roman" w:eastAsia="宋体"/>
                      <w:color w:val="000000" w:themeColor="text1"/>
                      <w:kern w:val="0"/>
                      <w:szCs w:val="21"/>
                    </w:rPr>
                  </w:pPr>
                  <w:r>
                    <w:rPr>
                      <w:rFonts w:hint="eastAsia" w:ascii="Times New Roman" w:hAnsi="Times New Roman" w:eastAsia="宋体"/>
                      <w:color w:val="000000" w:themeColor="text1"/>
                      <w:szCs w:val="21"/>
                    </w:rPr>
                    <w:t>0.217</w:t>
                  </w:r>
                  <w:r>
                    <w:rPr>
                      <w:rFonts w:ascii="Times New Roman" w:hAnsi="Times New Roman" w:eastAsia="宋体"/>
                      <w:color w:val="000000" w:themeColor="text1"/>
                      <w:szCs w:val="21"/>
                    </w:rPr>
                    <w:t>t/a</w:t>
                  </w:r>
                </w:p>
              </w:tc>
              <w:tc>
                <w:tcPr>
                  <w:tcW w:w="568" w:type="pct"/>
                  <w:tcBorders>
                    <w:top w:val="single" w:color="auto" w:sz="8" w:space="0"/>
                  </w:tcBorders>
                  <w:vAlign w:val="center"/>
                </w:tcPr>
                <w:p>
                  <w:pPr>
                    <w:topLinePunct/>
                    <w:adjustRightInd w:val="0"/>
                    <w:snapToGrid w:val="0"/>
                    <w:jc w:val="center"/>
                    <w:rPr>
                      <w:rFonts w:ascii="Times New Roman" w:hAnsi="Times New Roman" w:eastAsia="宋体"/>
                      <w:color w:val="000000" w:themeColor="text1"/>
                      <w:kern w:val="0"/>
                      <w:szCs w:val="21"/>
                    </w:rPr>
                  </w:pPr>
                  <w:r>
                    <w:rPr>
                      <w:rFonts w:hint="eastAsia" w:ascii="Times New Roman" w:eastAsia="宋体"/>
                      <w:color w:val="000000" w:themeColor="text1"/>
                      <w:kern w:val="0"/>
                      <w:szCs w:val="21"/>
                    </w:rPr>
                    <w:t>废气处理工序</w:t>
                  </w:r>
                </w:p>
              </w:tc>
              <w:tc>
                <w:tcPr>
                  <w:tcW w:w="243" w:type="pct"/>
                  <w:tcBorders>
                    <w:top w:val="single" w:color="auto" w:sz="8" w:space="0"/>
                  </w:tcBorders>
                  <w:vAlign w:val="center"/>
                </w:tcPr>
                <w:p>
                  <w:pPr>
                    <w:topLinePunct/>
                    <w:adjustRightInd w:val="0"/>
                    <w:snapToGrid w:val="0"/>
                    <w:jc w:val="center"/>
                    <w:rPr>
                      <w:rFonts w:ascii="Times New Roman" w:hAnsi="Times New Roman" w:eastAsia="宋体"/>
                      <w:color w:val="000000" w:themeColor="text1"/>
                      <w:kern w:val="0"/>
                      <w:szCs w:val="21"/>
                    </w:rPr>
                  </w:pPr>
                  <w:r>
                    <w:rPr>
                      <w:rFonts w:hint="eastAsia" w:ascii="Times New Roman" w:eastAsia="宋体"/>
                      <w:color w:val="000000" w:themeColor="text1"/>
                      <w:kern w:val="0"/>
                      <w:szCs w:val="21"/>
                    </w:rPr>
                    <w:t>固态</w:t>
                  </w:r>
                </w:p>
              </w:tc>
              <w:tc>
                <w:tcPr>
                  <w:tcW w:w="406" w:type="pct"/>
                  <w:tcBorders>
                    <w:top w:val="single" w:color="auto" w:sz="8" w:space="0"/>
                  </w:tcBorders>
                  <w:vAlign w:val="center"/>
                </w:tcPr>
                <w:p>
                  <w:pPr>
                    <w:topLinePunct/>
                    <w:adjustRightInd w:val="0"/>
                    <w:snapToGrid w:val="0"/>
                    <w:jc w:val="center"/>
                    <w:rPr>
                      <w:rFonts w:ascii="Times New Roman" w:hAnsi="Times New Roman" w:eastAsia="宋体"/>
                      <w:color w:val="000000" w:themeColor="text1"/>
                      <w:kern w:val="0"/>
                      <w:szCs w:val="21"/>
                    </w:rPr>
                  </w:pPr>
                  <w:r>
                    <w:rPr>
                      <w:rFonts w:hint="eastAsia" w:ascii="Times New Roman" w:eastAsia="宋体"/>
                      <w:color w:val="000000" w:themeColor="text1"/>
                      <w:kern w:val="0"/>
                      <w:szCs w:val="21"/>
                    </w:rPr>
                    <w:t>有机废气</w:t>
                  </w:r>
                </w:p>
              </w:tc>
              <w:tc>
                <w:tcPr>
                  <w:tcW w:w="407" w:type="pct"/>
                  <w:tcBorders>
                    <w:top w:val="single" w:color="auto" w:sz="8" w:space="0"/>
                  </w:tcBorders>
                  <w:vAlign w:val="center"/>
                </w:tcPr>
                <w:p>
                  <w:pPr>
                    <w:topLinePunct/>
                    <w:adjustRightInd w:val="0"/>
                    <w:snapToGrid w:val="0"/>
                    <w:jc w:val="center"/>
                    <w:rPr>
                      <w:rFonts w:ascii="Times New Roman" w:hAnsi="Times New Roman" w:eastAsia="宋体"/>
                      <w:color w:val="000000" w:themeColor="text1"/>
                      <w:kern w:val="0"/>
                      <w:szCs w:val="21"/>
                    </w:rPr>
                  </w:pPr>
                  <w:r>
                    <w:rPr>
                      <w:rFonts w:hint="eastAsia" w:ascii="Times New Roman" w:eastAsia="宋体"/>
                      <w:color w:val="000000" w:themeColor="text1"/>
                      <w:kern w:val="0"/>
                      <w:szCs w:val="21"/>
                    </w:rPr>
                    <w:t>有机废气</w:t>
                  </w:r>
                </w:p>
              </w:tc>
              <w:tc>
                <w:tcPr>
                  <w:tcW w:w="405" w:type="pct"/>
                  <w:tcBorders>
                    <w:top w:val="single" w:color="auto" w:sz="8" w:space="0"/>
                  </w:tcBorders>
                  <w:vAlign w:val="center"/>
                </w:tcPr>
                <w:p>
                  <w:pPr>
                    <w:topLinePunct/>
                    <w:adjustRightInd w:val="0"/>
                    <w:snapToGrid w:val="0"/>
                    <w:jc w:val="center"/>
                    <w:rPr>
                      <w:rFonts w:ascii="Times New Roman" w:hAnsi="Times New Roman" w:eastAsia="宋体"/>
                      <w:color w:val="000000" w:themeColor="text1"/>
                      <w:kern w:val="0"/>
                      <w:szCs w:val="21"/>
                    </w:rPr>
                  </w:pPr>
                  <w:r>
                    <w:rPr>
                      <w:rFonts w:hint="eastAsia" w:ascii="Times New Roman" w:hAnsi="Times New Roman" w:eastAsia="宋体"/>
                      <w:color w:val="000000" w:themeColor="text1"/>
                      <w:kern w:val="0"/>
                      <w:szCs w:val="21"/>
                    </w:rPr>
                    <w:t>12</w:t>
                  </w:r>
                  <w:r>
                    <w:rPr>
                      <w:rFonts w:hint="eastAsia" w:ascii="Times New Roman" w:eastAsia="宋体"/>
                      <w:color w:val="000000" w:themeColor="text1"/>
                      <w:kern w:val="0"/>
                      <w:szCs w:val="21"/>
                    </w:rPr>
                    <w:t>个月</w:t>
                  </w:r>
                </w:p>
              </w:tc>
              <w:tc>
                <w:tcPr>
                  <w:tcW w:w="406" w:type="pct"/>
                  <w:tcBorders>
                    <w:top w:val="single" w:color="auto" w:sz="8" w:space="0"/>
                  </w:tcBorders>
                  <w:vAlign w:val="center"/>
                </w:tcPr>
                <w:p>
                  <w:pPr>
                    <w:jc w:val="center"/>
                    <w:rPr>
                      <w:rFonts w:ascii="Times New Roman" w:hAnsi="Times New Roman" w:eastAsia="宋体"/>
                      <w:color w:val="000000" w:themeColor="text1"/>
                      <w:kern w:val="0"/>
                      <w:szCs w:val="21"/>
                    </w:rPr>
                  </w:pPr>
                  <w:r>
                    <w:rPr>
                      <w:rFonts w:ascii="Times New Roman" w:hAnsi="Times New Roman" w:eastAsia="宋体"/>
                      <w:color w:val="000000" w:themeColor="text1"/>
                      <w:kern w:val="0"/>
                      <w:szCs w:val="21"/>
                    </w:rPr>
                    <w:t>T/In</w:t>
                  </w:r>
                </w:p>
              </w:tc>
              <w:tc>
                <w:tcPr>
                  <w:tcW w:w="697" w:type="pct"/>
                  <w:vMerge w:val="continue"/>
                  <w:vAlign w:val="center"/>
                </w:tcPr>
                <w:p>
                  <w:pPr>
                    <w:topLinePunct/>
                    <w:adjustRightInd w:val="0"/>
                    <w:snapToGrid w:val="0"/>
                    <w:jc w:val="center"/>
                    <w:rPr>
                      <w:rFonts w:ascii="Times New Roman" w:hAnsi="Times New Roman" w:eastAsia="宋体"/>
                      <w:color w:val="000000" w:themeColor="text1"/>
                      <w:kern w:val="0"/>
                      <w:szCs w:val="21"/>
                    </w:rPr>
                  </w:pPr>
                </w:p>
              </w:tc>
            </w:tr>
          </w:tbl>
          <w:p>
            <w:pPr>
              <w:spacing w:line="440" w:lineRule="exact"/>
              <w:contextualSpacing/>
              <w:jc w:val="center"/>
              <w:rPr>
                <w:rFonts w:ascii="Times New Roman" w:hAnsi="Times New Roman" w:eastAsia="宋体"/>
                <w:b/>
                <w:color w:val="000000" w:themeColor="text1"/>
                <w:sz w:val="24"/>
              </w:rPr>
            </w:pPr>
            <w:r>
              <w:rPr>
                <w:rFonts w:ascii="Times New Roman" w:eastAsia="宋体"/>
                <w:b/>
                <w:color w:val="000000" w:themeColor="text1"/>
                <w:sz w:val="24"/>
              </w:rPr>
              <w:t>表</w:t>
            </w:r>
            <w:r>
              <w:rPr>
                <w:rFonts w:hint="eastAsia" w:ascii="Times New Roman" w:hAnsi="Times New Roman" w:eastAsia="宋体"/>
                <w:b/>
                <w:color w:val="000000" w:themeColor="text1"/>
                <w:sz w:val="24"/>
              </w:rPr>
              <w:t xml:space="preserve">47    </w:t>
            </w:r>
            <w:r>
              <w:rPr>
                <w:rFonts w:ascii="Times New Roman" w:eastAsia="宋体"/>
                <w:b/>
                <w:color w:val="000000" w:themeColor="text1"/>
                <w:sz w:val="24"/>
              </w:rPr>
              <w:t>项目危险废物暂存间基本情况一览表</w:t>
            </w:r>
          </w:p>
          <w:tbl>
            <w:tblPr>
              <w:tblStyle w:val="24"/>
              <w:tblW w:w="9072"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1473"/>
              <w:gridCol w:w="1178"/>
              <w:gridCol w:w="1325"/>
              <w:gridCol w:w="1031"/>
              <w:gridCol w:w="739"/>
              <w:gridCol w:w="884"/>
              <w:gridCol w:w="884"/>
              <w:gridCol w:w="67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7" w:type="pct"/>
                  <w:tcBorders>
                    <w:top w:val="single" w:color="auto" w:sz="8" w:space="0"/>
                    <w:bottom w:val="single" w:color="auto" w:sz="8" w:space="0"/>
                  </w:tcBorders>
                  <w:vAlign w:val="center"/>
                </w:tcPr>
                <w:p>
                  <w:pPr>
                    <w:topLinePunct/>
                    <w:adjustRightInd w:val="0"/>
                    <w:snapToGrid w:val="0"/>
                    <w:jc w:val="center"/>
                    <w:rPr>
                      <w:rFonts w:ascii="Times New Roman" w:hAnsi="Times New Roman" w:eastAsia="宋体"/>
                      <w:b/>
                      <w:color w:val="000000" w:themeColor="text1"/>
                      <w:kern w:val="0"/>
                      <w:szCs w:val="21"/>
                    </w:rPr>
                  </w:pPr>
                  <w:r>
                    <w:rPr>
                      <w:rFonts w:ascii="Times New Roman" w:eastAsia="宋体"/>
                      <w:b/>
                      <w:color w:val="000000" w:themeColor="text1"/>
                      <w:kern w:val="0"/>
                      <w:szCs w:val="21"/>
                    </w:rPr>
                    <w:t>贮存场所名称</w:t>
                  </w:r>
                </w:p>
              </w:tc>
              <w:tc>
                <w:tcPr>
                  <w:tcW w:w="812" w:type="pct"/>
                  <w:tcBorders>
                    <w:top w:val="single" w:color="auto" w:sz="8" w:space="0"/>
                    <w:bottom w:val="single" w:color="auto" w:sz="8" w:space="0"/>
                  </w:tcBorders>
                  <w:vAlign w:val="center"/>
                </w:tcPr>
                <w:p>
                  <w:pPr>
                    <w:topLinePunct/>
                    <w:adjustRightInd w:val="0"/>
                    <w:snapToGrid w:val="0"/>
                    <w:jc w:val="center"/>
                    <w:rPr>
                      <w:rFonts w:ascii="Times New Roman" w:hAnsi="Times New Roman" w:eastAsia="宋体"/>
                      <w:b/>
                      <w:color w:val="000000" w:themeColor="text1"/>
                      <w:kern w:val="0"/>
                      <w:szCs w:val="21"/>
                    </w:rPr>
                  </w:pPr>
                  <w:r>
                    <w:rPr>
                      <w:rFonts w:ascii="Times New Roman" w:eastAsia="宋体"/>
                      <w:b/>
                      <w:color w:val="000000" w:themeColor="text1"/>
                      <w:kern w:val="0"/>
                      <w:szCs w:val="21"/>
                    </w:rPr>
                    <w:t>危废名称</w:t>
                  </w:r>
                </w:p>
              </w:tc>
              <w:tc>
                <w:tcPr>
                  <w:tcW w:w="649" w:type="pct"/>
                  <w:tcBorders>
                    <w:top w:val="single" w:color="auto" w:sz="8" w:space="0"/>
                    <w:bottom w:val="single" w:color="auto" w:sz="8" w:space="0"/>
                  </w:tcBorders>
                  <w:vAlign w:val="center"/>
                </w:tcPr>
                <w:p>
                  <w:pPr>
                    <w:topLinePunct/>
                    <w:adjustRightInd w:val="0"/>
                    <w:snapToGrid w:val="0"/>
                    <w:jc w:val="center"/>
                    <w:rPr>
                      <w:rFonts w:ascii="Times New Roman" w:hAnsi="Times New Roman" w:eastAsia="宋体"/>
                      <w:b/>
                      <w:color w:val="000000" w:themeColor="text1"/>
                      <w:kern w:val="0"/>
                      <w:szCs w:val="21"/>
                    </w:rPr>
                  </w:pPr>
                  <w:r>
                    <w:rPr>
                      <w:rFonts w:ascii="Times New Roman" w:eastAsia="宋体"/>
                      <w:b/>
                      <w:color w:val="000000" w:themeColor="text1"/>
                      <w:kern w:val="0"/>
                      <w:szCs w:val="21"/>
                    </w:rPr>
                    <w:t>危废类别</w:t>
                  </w:r>
                </w:p>
              </w:tc>
              <w:tc>
                <w:tcPr>
                  <w:tcW w:w="730" w:type="pct"/>
                  <w:tcBorders>
                    <w:top w:val="single" w:color="auto" w:sz="8" w:space="0"/>
                    <w:bottom w:val="single" w:color="auto" w:sz="8" w:space="0"/>
                  </w:tcBorders>
                  <w:vAlign w:val="center"/>
                </w:tcPr>
                <w:p>
                  <w:pPr>
                    <w:topLinePunct/>
                    <w:adjustRightInd w:val="0"/>
                    <w:snapToGrid w:val="0"/>
                    <w:jc w:val="center"/>
                    <w:rPr>
                      <w:rFonts w:ascii="Times New Roman" w:hAnsi="Times New Roman" w:eastAsia="宋体"/>
                      <w:b/>
                      <w:color w:val="000000" w:themeColor="text1"/>
                      <w:kern w:val="0"/>
                      <w:szCs w:val="21"/>
                    </w:rPr>
                  </w:pPr>
                  <w:r>
                    <w:rPr>
                      <w:rFonts w:ascii="Times New Roman" w:eastAsia="宋体"/>
                      <w:b/>
                      <w:color w:val="000000" w:themeColor="text1"/>
                      <w:kern w:val="0"/>
                      <w:szCs w:val="21"/>
                    </w:rPr>
                    <w:t>危废代码</w:t>
                  </w:r>
                </w:p>
              </w:tc>
              <w:tc>
                <w:tcPr>
                  <w:tcW w:w="568" w:type="pct"/>
                  <w:tcBorders>
                    <w:top w:val="single" w:color="auto" w:sz="8" w:space="0"/>
                    <w:bottom w:val="single" w:color="auto" w:sz="8" w:space="0"/>
                  </w:tcBorders>
                  <w:vAlign w:val="center"/>
                </w:tcPr>
                <w:p>
                  <w:pPr>
                    <w:topLinePunct/>
                    <w:adjustRightInd w:val="0"/>
                    <w:snapToGrid w:val="0"/>
                    <w:jc w:val="center"/>
                    <w:rPr>
                      <w:rFonts w:ascii="Times New Roman" w:hAnsi="Times New Roman" w:eastAsia="宋体"/>
                      <w:b/>
                      <w:color w:val="000000" w:themeColor="text1"/>
                      <w:kern w:val="0"/>
                      <w:szCs w:val="21"/>
                    </w:rPr>
                  </w:pPr>
                  <w:r>
                    <w:rPr>
                      <w:rFonts w:ascii="Times New Roman" w:eastAsia="宋体"/>
                      <w:b/>
                      <w:color w:val="000000" w:themeColor="text1"/>
                      <w:kern w:val="0"/>
                      <w:szCs w:val="21"/>
                    </w:rPr>
                    <w:t>位置</w:t>
                  </w:r>
                </w:p>
              </w:tc>
              <w:tc>
                <w:tcPr>
                  <w:tcW w:w="407" w:type="pct"/>
                  <w:tcBorders>
                    <w:top w:val="single" w:color="auto" w:sz="8" w:space="0"/>
                    <w:bottom w:val="single" w:color="auto" w:sz="8" w:space="0"/>
                  </w:tcBorders>
                  <w:vAlign w:val="center"/>
                </w:tcPr>
                <w:p>
                  <w:pPr>
                    <w:topLinePunct/>
                    <w:adjustRightInd w:val="0"/>
                    <w:snapToGrid w:val="0"/>
                    <w:jc w:val="center"/>
                    <w:rPr>
                      <w:rFonts w:ascii="Times New Roman" w:hAnsi="Times New Roman" w:eastAsia="宋体"/>
                      <w:b/>
                      <w:color w:val="000000" w:themeColor="text1"/>
                      <w:kern w:val="0"/>
                      <w:szCs w:val="21"/>
                    </w:rPr>
                  </w:pPr>
                  <w:r>
                    <w:rPr>
                      <w:rFonts w:ascii="Times New Roman" w:eastAsia="宋体"/>
                      <w:b/>
                      <w:color w:val="000000" w:themeColor="text1"/>
                      <w:kern w:val="0"/>
                      <w:szCs w:val="21"/>
                    </w:rPr>
                    <w:t>占地面积</w:t>
                  </w:r>
                </w:p>
              </w:tc>
              <w:tc>
                <w:tcPr>
                  <w:tcW w:w="487" w:type="pct"/>
                  <w:tcBorders>
                    <w:top w:val="single" w:color="auto" w:sz="8" w:space="0"/>
                    <w:bottom w:val="single" w:color="auto" w:sz="8" w:space="0"/>
                  </w:tcBorders>
                  <w:vAlign w:val="center"/>
                </w:tcPr>
                <w:p>
                  <w:pPr>
                    <w:topLinePunct/>
                    <w:adjustRightInd w:val="0"/>
                    <w:snapToGrid w:val="0"/>
                    <w:jc w:val="center"/>
                    <w:rPr>
                      <w:rFonts w:ascii="Times New Roman" w:hAnsi="Times New Roman" w:eastAsia="宋体"/>
                      <w:b/>
                      <w:color w:val="000000" w:themeColor="text1"/>
                      <w:kern w:val="0"/>
                      <w:szCs w:val="21"/>
                    </w:rPr>
                  </w:pPr>
                  <w:r>
                    <w:rPr>
                      <w:rFonts w:ascii="Times New Roman" w:eastAsia="宋体"/>
                      <w:b/>
                      <w:color w:val="000000" w:themeColor="text1"/>
                      <w:kern w:val="0"/>
                      <w:szCs w:val="21"/>
                    </w:rPr>
                    <w:t>贮存方式</w:t>
                  </w:r>
                </w:p>
              </w:tc>
              <w:tc>
                <w:tcPr>
                  <w:tcW w:w="487" w:type="pct"/>
                  <w:tcBorders>
                    <w:top w:val="single" w:color="auto" w:sz="8" w:space="0"/>
                    <w:bottom w:val="single" w:color="auto" w:sz="8" w:space="0"/>
                  </w:tcBorders>
                  <w:vAlign w:val="center"/>
                </w:tcPr>
                <w:p>
                  <w:pPr>
                    <w:topLinePunct/>
                    <w:adjustRightInd w:val="0"/>
                    <w:snapToGrid w:val="0"/>
                    <w:jc w:val="center"/>
                    <w:rPr>
                      <w:rFonts w:ascii="Times New Roman" w:hAnsi="Times New Roman" w:eastAsia="宋体"/>
                      <w:b/>
                      <w:color w:val="000000" w:themeColor="text1"/>
                      <w:kern w:val="0"/>
                      <w:szCs w:val="21"/>
                    </w:rPr>
                  </w:pPr>
                  <w:r>
                    <w:rPr>
                      <w:rFonts w:ascii="Times New Roman" w:eastAsia="宋体"/>
                      <w:b/>
                      <w:color w:val="000000" w:themeColor="text1"/>
                      <w:kern w:val="0"/>
                      <w:szCs w:val="21"/>
                    </w:rPr>
                    <w:t>贮存</w:t>
                  </w:r>
                </w:p>
                <w:p>
                  <w:pPr>
                    <w:topLinePunct/>
                    <w:adjustRightInd w:val="0"/>
                    <w:snapToGrid w:val="0"/>
                    <w:jc w:val="center"/>
                    <w:rPr>
                      <w:rFonts w:ascii="Times New Roman" w:hAnsi="Times New Roman" w:eastAsia="宋体"/>
                      <w:b/>
                      <w:color w:val="000000" w:themeColor="text1"/>
                      <w:kern w:val="0"/>
                      <w:szCs w:val="21"/>
                    </w:rPr>
                  </w:pPr>
                  <w:r>
                    <w:rPr>
                      <w:rFonts w:ascii="Times New Roman" w:eastAsia="宋体"/>
                      <w:b/>
                      <w:color w:val="000000" w:themeColor="text1"/>
                      <w:kern w:val="0"/>
                      <w:szCs w:val="21"/>
                    </w:rPr>
                    <w:t>能力</w:t>
                  </w:r>
                </w:p>
              </w:tc>
              <w:tc>
                <w:tcPr>
                  <w:tcW w:w="372" w:type="pct"/>
                  <w:tcBorders>
                    <w:top w:val="single" w:color="auto" w:sz="8" w:space="0"/>
                    <w:bottom w:val="single" w:color="auto" w:sz="8" w:space="0"/>
                  </w:tcBorders>
                  <w:vAlign w:val="center"/>
                </w:tcPr>
                <w:p>
                  <w:pPr>
                    <w:topLinePunct/>
                    <w:adjustRightInd w:val="0"/>
                    <w:snapToGrid w:val="0"/>
                    <w:jc w:val="center"/>
                    <w:rPr>
                      <w:rFonts w:ascii="Times New Roman" w:hAnsi="Times New Roman" w:eastAsia="宋体"/>
                      <w:b/>
                      <w:color w:val="000000" w:themeColor="text1"/>
                      <w:kern w:val="0"/>
                      <w:szCs w:val="21"/>
                    </w:rPr>
                  </w:pPr>
                  <w:r>
                    <w:rPr>
                      <w:rFonts w:ascii="Times New Roman" w:eastAsia="宋体"/>
                      <w:b/>
                      <w:color w:val="000000" w:themeColor="text1"/>
                      <w:kern w:val="0"/>
                      <w:szCs w:val="21"/>
                    </w:rPr>
                    <w:t>贮存</w:t>
                  </w:r>
                </w:p>
                <w:p>
                  <w:pPr>
                    <w:topLinePunct/>
                    <w:adjustRightInd w:val="0"/>
                    <w:snapToGrid w:val="0"/>
                    <w:jc w:val="center"/>
                    <w:rPr>
                      <w:rFonts w:ascii="Times New Roman" w:hAnsi="Times New Roman" w:eastAsia="宋体"/>
                      <w:b/>
                      <w:color w:val="000000" w:themeColor="text1"/>
                      <w:kern w:val="0"/>
                      <w:szCs w:val="21"/>
                    </w:rPr>
                  </w:pPr>
                  <w:r>
                    <w:rPr>
                      <w:rFonts w:ascii="Times New Roman" w:eastAsia="宋体"/>
                      <w:b/>
                      <w:color w:val="000000" w:themeColor="text1"/>
                      <w:kern w:val="0"/>
                      <w:szCs w:val="21"/>
                    </w:rPr>
                    <w:t>周期</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7" w:type="pct"/>
                  <w:vMerge w:val="restart"/>
                  <w:tcBorders>
                    <w:top w:val="single" w:color="auto" w:sz="8" w:space="0"/>
                  </w:tcBorders>
                  <w:vAlign w:val="center"/>
                </w:tcPr>
                <w:p>
                  <w:pPr>
                    <w:topLinePunct/>
                    <w:adjustRightInd w:val="0"/>
                    <w:snapToGrid w:val="0"/>
                    <w:jc w:val="center"/>
                    <w:rPr>
                      <w:rFonts w:ascii="Times New Roman" w:eastAsia="宋体"/>
                      <w:color w:val="000000" w:themeColor="text1"/>
                      <w:kern w:val="0"/>
                      <w:szCs w:val="21"/>
                    </w:rPr>
                  </w:pPr>
                  <w:r>
                    <w:rPr>
                      <w:rFonts w:ascii="Times New Roman" w:eastAsia="宋体"/>
                      <w:color w:val="000000" w:themeColor="text1"/>
                      <w:kern w:val="0"/>
                      <w:szCs w:val="21"/>
                    </w:rPr>
                    <w:t>危废暂存间</w:t>
                  </w:r>
                </w:p>
              </w:tc>
              <w:tc>
                <w:tcPr>
                  <w:tcW w:w="812" w:type="pct"/>
                  <w:tcBorders>
                    <w:top w:val="single" w:color="auto" w:sz="8" w:space="0"/>
                  </w:tcBorders>
                  <w:vAlign w:val="center"/>
                </w:tcPr>
                <w:p>
                  <w:pPr>
                    <w:topLinePunct/>
                    <w:adjustRightInd w:val="0"/>
                    <w:snapToGrid w:val="0"/>
                    <w:jc w:val="center"/>
                    <w:rPr>
                      <w:rFonts w:ascii="Times New Roman" w:eastAsia="宋体"/>
                      <w:color w:val="000000" w:themeColor="text1"/>
                      <w:szCs w:val="21"/>
                    </w:rPr>
                  </w:pPr>
                  <w:r>
                    <w:rPr>
                      <w:rFonts w:hint="eastAsia" w:ascii="Times New Roman" w:eastAsia="宋体"/>
                      <w:color w:val="000000" w:themeColor="text1"/>
                      <w:szCs w:val="21"/>
                    </w:rPr>
                    <w:t>废紫外灯管</w:t>
                  </w:r>
                </w:p>
              </w:tc>
              <w:tc>
                <w:tcPr>
                  <w:tcW w:w="649" w:type="pct"/>
                  <w:tcBorders>
                    <w:top w:val="single" w:color="auto" w:sz="8" w:space="0"/>
                  </w:tcBorders>
                  <w:vAlign w:val="center"/>
                </w:tcPr>
                <w:p>
                  <w:pPr>
                    <w:topLinePunct/>
                    <w:adjustRightInd w:val="0"/>
                    <w:snapToGrid w:val="0"/>
                    <w:jc w:val="center"/>
                    <w:rPr>
                      <w:rFonts w:ascii="Times New Roman" w:hAnsi="Times New Roman" w:eastAsia="宋体"/>
                      <w:color w:val="000000" w:themeColor="text1"/>
                      <w:kern w:val="0"/>
                      <w:szCs w:val="21"/>
                    </w:rPr>
                  </w:pPr>
                  <w:r>
                    <w:rPr>
                      <w:rFonts w:ascii="Times New Roman" w:hAnsi="Times New Roman" w:eastAsia="宋体"/>
                      <w:color w:val="000000" w:themeColor="text1"/>
                      <w:kern w:val="0"/>
                      <w:szCs w:val="21"/>
                    </w:rPr>
                    <w:t>HW</w:t>
                  </w:r>
                  <w:r>
                    <w:rPr>
                      <w:rFonts w:hint="eastAsia" w:ascii="Times New Roman" w:hAnsi="Times New Roman" w:eastAsia="宋体"/>
                      <w:color w:val="000000" w:themeColor="text1"/>
                      <w:kern w:val="0"/>
                      <w:szCs w:val="21"/>
                    </w:rPr>
                    <w:t>29</w:t>
                  </w:r>
                </w:p>
              </w:tc>
              <w:tc>
                <w:tcPr>
                  <w:tcW w:w="730" w:type="pct"/>
                  <w:tcBorders>
                    <w:top w:val="single" w:color="auto" w:sz="8" w:space="0"/>
                  </w:tcBorders>
                  <w:vAlign w:val="center"/>
                </w:tcPr>
                <w:p>
                  <w:pPr>
                    <w:topLinePunct/>
                    <w:adjustRightInd w:val="0"/>
                    <w:snapToGrid w:val="0"/>
                    <w:jc w:val="center"/>
                    <w:rPr>
                      <w:rFonts w:ascii="Times New Roman" w:hAnsi="Times New Roman" w:eastAsia="宋体"/>
                      <w:color w:val="000000" w:themeColor="text1"/>
                      <w:kern w:val="0"/>
                      <w:szCs w:val="21"/>
                    </w:rPr>
                  </w:pPr>
                  <w:r>
                    <w:rPr>
                      <w:rFonts w:ascii="Times New Roman" w:hAnsi="Times New Roman" w:eastAsia="宋体"/>
                      <w:color w:val="000000" w:themeColor="text1"/>
                      <w:szCs w:val="21"/>
                    </w:rPr>
                    <w:t>900-</w:t>
                  </w:r>
                  <w:r>
                    <w:rPr>
                      <w:rFonts w:hint="eastAsia" w:ascii="Times New Roman" w:hAnsi="Times New Roman" w:eastAsia="宋体"/>
                      <w:color w:val="000000" w:themeColor="text1"/>
                      <w:szCs w:val="21"/>
                    </w:rPr>
                    <w:t>023</w:t>
                  </w:r>
                  <w:r>
                    <w:rPr>
                      <w:rFonts w:ascii="Times New Roman" w:hAnsi="Times New Roman" w:eastAsia="宋体"/>
                      <w:color w:val="000000" w:themeColor="text1"/>
                      <w:szCs w:val="21"/>
                    </w:rPr>
                    <w:t>-</w:t>
                  </w:r>
                  <w:r>
                    <w:rPr>
                      <w:rFonts w:hint="eastAsia" w:ascii="Times New Roman" w:hAnsi="Times New Roman" w:eastAsia="宋体"/>
                      <w:color w:val="000000" w:themeColor="text1"/>
                      <w:szCs w:val="21"/>
                    </w:rPr>
                    <w:t>29</w:t>
                  </w:r>
                </w:p>
              </w:tc>
              <w:tc>
                <w:tcPr>
                  <w:tcW w:w="568" w:type="pct"/>
                  <w:vMerge w:val="restart"/>
                  <w:tcBorders>
                    <w:top w:val="single" w:color="auto" w:sz="8" w:space="0"/>
                  </w:tcBorders>
                  <w:vAlign w:val="center"/>
                </w:tcPr>
                <w:p>
                  <w:pPr>
                    <w:topLinePunct/>
                    <w:adjustRightInd w:val="0"/>
                    <w:snapToGrid w:val="0"/>
                    <w:jc w:val="center"/>
                    <w:rPr>
                      <w:rFonts w:ascii="Times New Roman" w:eastAsia="宋体"/>
                      <w:color w:val="000000" w:themeColor="text1"/>
                      <w:kern w:val="0"/>
                      <w:szCs w:val="21"/>
                    </w:rPr>
                  </w:pPr>
                  <w:r>
                    <w:rPr>
                      <w:rFonts w:ascii="Times New Roman" w:eastAsia="宋体"/>
                      <w:color w:val="000000" w:themeColor="text1"/>
                      <w:kern w:val="0"/>
                      <w:szCs w:val="21"/>
                    </w:rPr>
                    <w:t>生产车</w:t>
                  </w:r>
                  <w:r>
                    <w:rPr>
                      <w:rFonts w:hint="eastAsia" w:ascii="Times New Roman" w:eastAsia="宋体"/>
                      <w:color w:val="000000" w:themeColor="text1"/>
                      <w:kern w:val="0"/>
                      <w:szCs w:val="21"/>
                    </w:rPr>
                    <w:t>间东部</w:t>
                  </w:r>
                </w:p>
              </w:tc>
              <w:tc>
                <w:tcPr>
                  <w:tcW w:w="407" w:type="pct"/>
                  <w:vMerge w:val="restart"/>
                  <w:tcBorders>
                    <w:top w:val="single" w:color="auto" w:sz="8" w:space="0"/>
                  </w:tcBorders>
                  <w:vAlign w:val="center"/>
                </w:tcPr>
                <w:p>
                  <w:pPr>
                    <w:topLinePunct/>
                    <w:adjustRightInd w:val="0"/>
                    <w:snapToGrid w:val="0"/>
                    <w:jc w:val="center"/>
                    <w:rPr>
                      <w:rFonts w:ascii="Times New Roman" w:hAnsi="Times New Roman" w:eastAsia="宋体"/>
                      <w:color w:val="000000" w:themeColor="text1"/>
                      <w:kern w:val="0"/>
                      <w:szCs w:val="21"/>
                    </w:rPr>
                  </w:pPr>
                  <w:r>
                    <w:rPr>
                      <w:rFonts w:hint="eastAsia" w:ascii="Times New Roman" w:hAnsi="Times New Roman" w:eastAsia="宋体"/>
                      <w:color w:val="000000" w:themeColor="text1"/>
                      <w:kern w:val="0"/>
                      <w:szCs w:val="21"/>
                    </w:rPr>
                    <w:t>10</w:t>
                  </w:r>
                  <w:r>
                    <w:rPr>
                      <w:rFonts w:ascii="Times New Roman" w:hAnsi="Times New Roman" w:eastAsia="宋体"/>
                      <w:color w:val="000000" w:themeColor="text1"/>
                      <w:kern w:val="0"/>
                      <w:szCs w:val="21"/>
                    </w:rPr>
                    <w:t>m</w:t>
                  </w:r>
                  <w:r>
                    <w:rPr>
                      <w:rFonts w:ascii="Times New Roman" w:hAnsi="Times New Roman" w:eastAsia="宋体"/>
                      <w:color w:val="000000" w:themeColor="text1"/>
                      <w:kern w:val="0"/>
                      <w:szCs w:val="21"/>
                      <w:vertAlign w:val="superscript"/>
                    </w:rPr>
                    <w:t>2</w:t>
                  </w:r>
                </w:p>
              </w:tc>
              <w:tc>
                <w:tcPr>
                  <w:tcW w:w="487" w:type="pct"/>
                  <w:tcBorders>
                    <w:top w:val="single" w:color="auto" w:sz="8" w:space="0"/>
                  </w:tcBorders>
                  <w:vAlign w:val="center"/>
                </w:tcPr>
                <w:p>
                  <w:pPr>
                    <w:topLinePunct/>
                    <w:adjustRightInd w:val="0"/>
                    <w:snapToGrid w:val="0"/>
                    <w:jc w:val="center"/>
                    <w:rPr>
                      <w:rFonts w:ascii="Times New Roman" w:eastAsia="宋体"/>
                      <w:color w:val="000000" w:themeColor="text1"/>
                      <w:kern w:val="0"/>
                      <w:szCs w:val="21"/>
                    </w:rPr>
                  </w:pPr>
                  <w:r>
                    <w:rPr>
                      <w:rFonts w:ascii="Times New Roman" w:eastAsia="宋体"/>
                      <w:color w:val="000000" w:themeColor="text1"/>
                      <w:kern w:val="0"/>
                      <w:szCs w:val="21"/>
                    </w:rPr>
                    <w:t>桶装</w:t>
                  </w:r>
                </w:p>
              </w:tc>
              <w:tc>
                <w:tcPr>
                  <w:tcW w:w="487" w:type="pct"/>
                  <w:tcBorders>
                    <w:top w:val="single" w:color="auto" w:sz="8" w:space="0"/>
                  </w:tcBorders>
                  <w:vAlign w:val="center"/>
                </w:tcPr>
                <w:p>
                  <w:pPr>
                    <w:topLinePunct/>
                    <w:adjustRightInd w:val="0"/>
                    <w:snapToGrid w:val="0"/>
                    <w:jc w:val="center"/>
                    <w:rPr>
                      <w:rFonts w:ascii="Times New Roman" w:hAnsi="Times New Roman" w:eastAsia="宋体"/>
                      <w:color w:val="000000" w:themeColor="text1"/>
                      <w:kern w:val="0"/>
                      <w:szCs w:val="21"/>
                    </w:rPr>
                  </w:pPr>
                  <w:r>
                    <w:rPr>
                      <w:rFonts w:hint="eastAsia" w:ascii="Times New Roman" w:hAnsi="Times New Roman" w:eastAsia="宋体"/>
                      <w:color w:val="000000" w:themeColor="text1"/>
                      <w:kern w:val="0"/>
                      <w:szCs w:val="21"/>
                    </w:rPr>
                    <w:t>50根</w:t>
                  </w:r>
                </w:p>
              </w:tc>
              <w:tc>
                <w:tcPr>
                  <w:tcW w:w="372" w:type="pct"/>
                  <w:tcBorders>
                    <w:top w:val="single" w:color="auto" w:sz="8" w:space="0"/>
                  </w:tcBorders>
                  <w:vAlign w:val="center"/>
                </w:tcPr>
                <w:p>
                  <w:pPr>
                    <w:topLinePunct/>
                    <w:adjustRightInd w:val="0"/>
                    <w:snapToGrid w:val="0"/>
                    <w:jc w:val="center"/>
                    <w:rPr>
                      <w:rFonts w:ascii="Times New Roman" w:hAnsi="Times New Roman" w:eastAsia="宋体"/>
                      <w:color w:val="000000" w:themeColor="text1"/>
                      <w:kern w:val="0"/>
                      <w:szCs w:val="21"/>
                    </w:rPr>
                  </w:pPr>
                  <w:r>
                    <w:rPr>
                      <w:rFonts w:hint="eastAsia" w:ascii="Times New Roman" w:hAnsi="Times New Roman" w:eastAsia="宋体"/>
                      <w:color w:val="000000" w:themeColor="text1"/>
                      <w:kern w:val="0"/>
                      <w:szCs w:val="21"/>
                    </w:rPr>
                    <w:t>90</w:t>
                  </w:r>
                  <w:r>
                    <w:rPr>
                      <w:rFonts w:ascii="Times New Roman" w:hAnsi="Times New Roman" w:eastAsia="宋体"/>
                      <w:color w:val="000000" w:themeColor="text1"/>
                      <w:kern w:val="0"/>
                      <w:szCs w:val="21"/>
                    </w:rPr>
                    <w:t>d</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7" w:type="pct"/>
                  <w:vMerge w:val="continue"/>
                  <w:vAlign w:val="center"/>
                </w:tcPr>
                <w:p>
                  <w:pPr>
                    <w:topLinePunct/>
                    <w:adjustRightInd w:val="0"/>
                    <w:snapToGrid w:val="0"/>
                    <w:jc w:val="center"/>
                    <w:rPr>
                      <w:rFonts w:ascii="Times New Roman" w:hAnsi="Times New Roman" w:eastAsia="宋体"/>
                      <w:color w:val="000000" w:themeColor="text1"/>
                      <w:kern w:val="0"/>
                      <w:szCs w:val="21"/>
                    </w:rPr>
                  </w:pPr>
                </w:p>
              </w:tc>
              <w:tc>
                <w:tcPr>
                  <w:tcW w:w="812" w:type="pct"/>
                  <w:tcBorders>
                    <w:top w:val="single" w:color="auto" w:sz="8" w:space="0"/>
                  </w:tcBorders>
                  <w:vAlign w:val="center"/>
                </w:tcPr>
                <w:p>
                  <w:pPr>
                    <w:topLinePunct/>
                    <w:adjustRightInd w:val="0"/>
                    <w:snapToGrid w:val="0"/>
                    <w:jc w:val="center"/>
                    <w:rPr>
                      <w:rFonts w:ascii="Times New Roman" w:hAnsi="Times New Roman" w:eastAsia="宋体"/>
                      <w:color w:val="000000" w:themeColor="text1"/>
                      <w:kern w:val="0"/>
                      <w:szCs w:val="21"/>
                    </w:rPr>
                  </w:pPr>
                  <w:r>
                    <w:rPr>
                      <w:rFonts w:hint="eastAsia" w:ascii="Times New Roman" w:eastAsia="宋体"/>
                      <w:color w:val="000000" w:themeColor="text1"/>
                      <w:szCs w:val="21"/>
                    </w:rPr>
                    <w:t>废活性炭</w:t>
                  </w:r>
                </w:p>
              </w:tc>
              <w:tc>
                <w:tcPr>
                  <w:tcW w:w="649" w:type="pct"/>
                  <w:tcBorders>
                    <w:top w:val="single" w:color="auto" w:sz="8" w:space="0"/>
                  </w:tcBorders>
                  <w:vAlign w:val="center"/>
                </w:tcPr>
                <w:p>
                  <w:pPr>
                    <w:topLinePunct/>
                    <w:adjustRightInd w:val="0"/>
                    <w:snapToGrid w:val="0"/>
                    <w:jc w:val="center"/>
                    <w:rPr>
                      <w:rFonts w:ascii="Times New Roman" w:hAnsi="Times New Roman" w:eastAsia="宋体"/>
                      <w:color w:val="000000" w:themeColor="text1"/>
                      <w:kern w:val="0"/>
                      <w:szCs w:val="21"/>
                    </w:rPr>
                  </w:pPr>
                  <w:r>
                    <w:rPr>
                      <w:rFonts w:ascii="Times New Roman" w:hAnsi="Times New Roman" w:eastAsia="宋体"/>
                      <w:color w:val="000000" w:themeColor="text1"/>
                      <w:kern w:val="0"/>
                      <w:szCs w:val="21"/>
                    </w:rPr>
                    <w:t>HW</w:t>
                  </w:r>
                  <w:r>
                    <w:rPr>
                      <w:rFonts w:hint="eastAsia" w:ascii="Times New Roman" w:hAnsi="Times New Roman" w:eastAsia="宋体"/>
                      <w:color w:val="000000" w:themeColor="text1"/>
                      <w:kern w:val="0"/>
                      <w:szCs w:val="21"/>
                    </w:rPr>
                    <w:t>4</w:t>
                  </w:r>
                  <w:r>
                    <w:rPr>
                      <w:rFonts w:ascii="Times New Roman" w:hAnsi="Times New Roman" w:eastAsia="宋体"/>
                      <w:color w:val="000000" w:themeColor="text1"/>
                      <w:kern w:val="0"/>
                      <w:szCs w:val="21"/>
                    </w:rPr>
                    <w:t>9</w:t>
                  </w:r>
                </w:p>
              </w:tc>
              <w:tc>
                <w:tcPr>
                  <w:tcW w:w="730" w:type="pct"/>
                  <w:tcBorders>
                    <w:top w:val="single" w:color="auto" w:sz="8" w:space="0"/>
                  </w:tcBorders>
                  <w:vAlign w:val="center"/>
                </w:tcPr>
                <w:p>
                  <w:pPr>
                    <w:topLinePunct/>
                    <w:adjustRightInd w:val="0"/>
                    <w:snapToGrid w:val="0"/>
                    <w:jc w:val="center"/>
                    <w:rPr>
                      <w:rFonts w:ascii="Times New Roman" w:hAnsi="Times New Roman" w:eastAsia="宋体"/>
                      <w:color w:val="000000" w:themeColor="text1"/>
                      <w:kern w:val="0"/>
                      <w:szCs w:val="21"/>
                    </w:rPr>
                  </w:pPr>
                  <w:r>
                    <w:rPr>
                      <w:rFonts w:ascii="Times New Roman" w:hAnsi="Times New Roman" w:eastAsia="宋体"/>
                      <w:color w:val="000000" w:themeColor="text1"/>
                      <w:szCs w:val="21"/>
                    </w:rPr>
                    <w:t>900-</w:t>
                  </w:r>
                  <w:r>
                    <w:rPr>
                      <w:rFonts w:hint="eastAsia" w:ascii="Times New Roman" w:hAnsi="Times New Roman" w:eastAsia="宋体"/>
                      <w:color w:val="000000" w:themeColor="text1"/>
                      <w:szCs w:val="21"/>
                    </w:rPr>
                    <w:t>041</w:t>
                  </w:r>
                  <w:r>
                    <w:rPr>
                      <w:rFonts w:ascii="Times New Roman" w:hAnsi="Times New Roman" w:eastAsia="宋体"/>
                      <w:color w:val="000000" w:themeColor="text1"/>
                      <w:szCs w:val="21"/>
                    </w:rPr>
                    <w:t>-49</w:t>
                  </w:r>
                </w:p>
              </w:tc>
              <w:tc>
                <w:tcPr>
                  <w:tcW w:w="568" w:type="pct"/>
                  <w:vMerge w:val="continue"/>
                  <w:vAlign w:val="center"/>
                </w:tcPr>
                <w:p>
                  <w:pPr>
                    <w:topLinePunct/>
                    <w:adjustRightInd w:val="0"/>
                    <w:snapToGrid w:val="0"/>
                    <w:jc w:val="center"/>
                    <w:rPr>
                      <w:rFonts w:ascii="Times New Roman" w:hAnsi="Times New Roman" w:eastAsia="宋体"/>
                      <w:color w:val="000000" w:themeColor="text1"/>
                      <w:kern w:val="0"/>
                      <w:szCs w:val="21"/>
                    </w:rPr>
                  </w:pPr>
                </w:p>
              </w:tc>
              <w:tc>
                <w:tcPr>
                  <w:tcW w:w="407" w:type="pct"/>
                  <w:vMerge w:val="continue"/>
                  <w:vAlign w:val="center"/>
                </w:tcPr>
                <w:p>
                  <w:pPr>
                    <w:topLinePunct/>
                    <w:adjustRightInd w:val="0"/>
                    <w:snapToGrid w:val="0"/>
                    <w:jc w:val="center"/>
                    <w:rPr>
                      <w:rFonts w:ascii="Times New Roman" w:hAnsi="Times New Roman" w:eastAsia="宋体"/>
                      <w:color w:val="000000" w:themeColor="text1"/>
                      <w:kern w:val="0"/>
                      <w:szCs w:val="21"/>
                    </w:rPr>
                  </w:pPr>
                </w:p>
              </w:tc>
              <w:tc>
                <w:tcPr>
                  <w:tcW w:w="487" w:type="pct"/>
                  <w:tcBorders>
                    <w:top w:val="single" w:color="auto" w:sz="8" w:space="0"/>
                  </w:tcBorders>
                  <w:vAlign w:val="center"/>
                </w:tcPr>
                <w:p>
                  <w:pPr>
                    <w:topLinePunct/>
                    <w:adjustRightInd w:val="0"/>
                    <w:snapToGrid w:val="0"/>
                    <w:jc w:val="center"/>
                    <w:rPr>
                      <w:rFonts w:ascii="Times New Roman" w:hAnsi="Times New Roman" w:eastAsia="宋体"/>
                      <w:color w:val="000000" w:themeColor="text1"/>
                      <w:kern w:val="0"/>
                      <w:szCs w:val="21"/>
                    </w:rPr>
                  </w:pPr>
                  <w:r>
                    <w:rPr>
                      <w:rFonts w:ascii="Times New Roman" w:eastAsia="宋体"/>
                      <w:color w:val="000000" w:themeColor="text1"/>
                      <w:kern w:val="0"/>
                      <w:szCs w:val="21"/>
                    </w:rPr>
                    <w:t>桶装</w:t>
                  </w:r>
                </w:p>
              </w:tc>
              <w:tc>
                <w:tcPr>
                  <w:tcW w:w="487" w:type="pct"/>
                  <w:tcBorders>
                    <w:top w:val="single" w:color="auto" w:sz="8" w:space="0"/>
                  </w:tcBorders>
                  <w:vAlign w:val="center"/>
                </w:tcPr>
                <w:p>
                  <w:pPr>
                    <w:topLinePunct/>
                    <w:adjustRightInd w:val="0"/>
                    <w:snapToGrid w:val="0"/>
                    <w:jc w:val="center"/>
                    <w:rPr>
                      <w:rFonts w:ascii="Times New Roman" w:hAnsi="Times New Roman" w:eastAsia="宋体"/>
                      <w:color w:val="000000" w:themeColor="text1"/>
                      <w:kern w:val="0"/>
                      <w:szCs w:val="21"/>
                    </w:rPr>
                  </w:pPr>
                  <w:r>
                    <w:rPr>
                      <w:rFonts w:hint="eastAsia" w:ascii="Times New Roman" w:hAnsi="Times New Roman" w:eastAsia="宋体"/>
                      <w:color w:val="000000" w:themeColor="text1"/>
                      <w:kern w:val="0"/>
                      <w:szCs w:val="21"/>
                    </w:rPr>
                    <w:t>5</w:t>
                  </w:r>
                  <w:r>
                    <w:rPr>
                      <w:rFonts w:ascii="Times New Roman" w:hAnsi="Times New Roman" w:eastAsia="宋体"/>
                      <w:color w:val="000000" w:themeColor="text1"/>
                      <w:kern w:val="0"/>
                      <w:szCs w:val="21"/>
                    </w:rPr>
                    <w:t>t</w:t>
                  </w:r>
                </w:p>
              </w:tc>
              <w:tc>
                <w:tcPr>
                  <w:tcW w:w="372" w:type="pct"/>
                  <w:tcBorders>
                    <w:top w:val="single" w:color="auto" w:sz="8" w:space="0"/>
                  </w:tcBorders>
                  <w:vAlign w:val="center"/>
                </w:tcPr>
                <w:p>
                  <w:pPr>
                    <w:topLinePunct/>
                    <w:adjustRightInd w:val="0"/>
                    <w:snapToGrid w:val="0"/>
                    <w:jc w:val="center"/>
                    <w:rPr>
                      <w:rFonts w:ascii="Times New Roman" w:hAnsi="Times New Roman" w:eastAsia="宋体"/>
                      <w:color w:val="000000" w:themeColor="text1"/>
                      <w:kern w:val="0"/>
                      <w:szCs w:val="21"/>
                    </w:rPr>
                  </w:pPr>
                  <w:r>
                    <w:rPr>
                      <w:rFonts w:hint="eastAsia" w:ascii="Times New Roman" w:hAnsi="Times New Roman" w:eastAsia="宋体"/>
                      <w:color w:val="000000" w:themeColor="text1"/>
                      <w:kern w:val="0"/>
                      <w:szCs w:val="21"/>
                    </w:rPr>
                    <w:t>90</w:t>
                  </w:r>
                  <w:r>
                    <w:rPr>
                      <w:rFonts w:ascii="Times New Roman" w:hAnsi="Times New Roman" w:eastAsia="宋体"/>
                      <w:color w:val="000000" w:themeColor="text1"/>
                      <w:kern w:val="0"/>
                      <w:szCs w:val="21"/>
                    </w:rPr>
                    <w:t>d</w:t>
                  </w:r>
                </w:p>
              </w:tc>
            </w:tr>
          </w:tbl>
          <w:p>
            <w:pPr>
              <w:pStyle w:val="113"/>
              <w:adjustRightInd w:val="0"/>
              <w:snapToGrid w:val="0"/>
              <w:spacing w:line="440" w:lineRule="exact"/>
              <w:ind w:firstLine="480"/>
              <w:rPr>
                <w:rFonts w:ascii="Times New Roman" w:hAnsi="Times New Roman" w:eastAsia="宋体"/>
                <w:color w:val="000000" w:themeColor="text1"/>
                <w:sz w:val="24"/>
              </w:rPr>
            </w:pPr>
            <w:r>
              <w:rPr>
                <w:rFonts w:ascii="Times New Roman" w:eastAsia="宋体"/>
                <w:color w:val="000000" w:themeColor="text1"/>
                <w:kern w:val="24"/>
                <w:sz w:val="24"/>
              </w:rPr>
              <w:t>评价认为，建设项目固体废物全部妥善处置，能够避免固体废物排放对环境的二次污染，不会对当地的景观环境和生态环境产生不利影响。</w:t>
            </w:r>
          </w:p>
          <w:p>
            <w:pPr>
              <w:pStyle w:val="5"/>
              <w:adjustRightInd w:val="0"/>
              <w:snapToGrid w:val="0"/>
              <w:spacing w:line="440" w:lineRule="exact"/>
              <w:ind w:firstLine="482" w:firstLineChars="200"/>
              <w:rPr>
                <w:rFonts w:ascii="Times New Roman" w:hAnsi="Times New Roman"/>
                <w:b/>
                <w:color w:val="000000" w:themeColor="text1"/>
              </w:rPr>
            </w:pPr>
            <w:r>
              <w:rPr>
                <w:rFonts w:ascii="Times New Roman" w:hAnsi="Times New Roman"/>
                <w:b/>
                <w:color w:val="000000" w:themeColor="text1"/>
                <w:szCs w:val="24"/>
              </w:rPr>
              <w:t>五、</w:t>
            </w:r>
            <w:r>
              <w:rPr>
                <w:rFonts w:ascii="Times New Roman" w:hAnsi="Times New Roman"/>
                <w:b/>
                <w:color w:val="000000" w:themeColor="text1"/>
              </w:rPr>
              <w:t>土壤环境影响分析</w:t>
            </w:r>
          </w:p>
          <w:p>
            <w:pPr>
              <w:spacing w:line="440" w:lineRule="exact"/>
              <w:ind w:firstLine="482" w:firstLineChars="200"/>
              <w:rPr>
                <w:rFonts w:ascii="Times New Roman" w:eastAsia="宋体"/>
                <w:b/>
                <w:color w:val="000000" w:themeColor="text1"/>
                <w:sz w:val="24"/>
              </w:rPr>
            </w:pPr>
            <w:r>
              <w:rPr>
                <w:rFonts w:hint="eastAsia" w:ascii="Times New Roman" w:eastAsia="宋体"/>
                <w:b/>
                <w:color w:val="000000" w:themeColor="text1"/>
                <w:sz w:val="24"/>
              </w:rPr>
              <w:t>1、土壤评价等级</w:t>
            </w:r>
          </w:p>
          <w:p>
            <w:pPr>
              <w:pStyle w:val="2"/>
              <w:spacing w:line="440" w:lineRule="exact"/>
              <w:ind w:firstLine="480" w:firstLineChars="200"/>
              <w:jc w:val="both"/>
              <w:rPr>
                <w:rFonts w:ascii="Times New Roman" w:eastAsia="宋体"/>
                <w:color w:val="000000" w:themeColor="text1"/>
                <w:sz w:val="24"/>
              </w:rPr>
            </w:pPr>
            <w:r>
              <w:rPr>
                <w:rFonts w:ascii="Times New Roman" w:hAnsi="Times New Roman" w:eastAsia="宋体"/>
                <w:color w:val="000000" w:themeColor="text1"/>
                <w:sz w:val="24"/>
              </w:rPr>
              <w:fldChar w:fldCharType="begin"/>
            </w:r>
            <w:r>
              <w:rPr>
                <w:rFonts w:ascii="Times New Roman" w:hAnsi="Times New Roman" w:eastAsia="宋体"/>
                <w:color w:val="000000" w:themeColor="text1"/>
                <w:sz w:val="24"/>
              </w:rPr>
              <w:instrText xml:space="preserve"> </w:instrText>
            </w:r>
            <w:r>
              <w:rPr>
                <w:rFonts w:hint="eastAsia" w:ascii="Times New Roman" w:hAnsi="Times New Roman" w:eastAsia="宋体"/>
                <w:color w:val="000000" w:themeColor="text1"/>
                <w:sz w:val="24"/>
              </w:rPr>
              <w:instrText xml:space="preserve">= 1 \* GB3</w:instrText>
            </w:r>
            <w:r>
              <w:rPr>
                <w:rFonts w:ascii="Times New Roman" w:hAnsi="Times New Roman" w:eastAsia="宋体"/>
                <w:color w:val="000000" w:themeColor="text1"/>
                <w:sz w:val="24"/>
              </w:rPr>
              <w:instrText xml:space="preserve"> </w:instrText>
            </w:r>
            <w:r>
              <w:rPr>
                <w:rFonts w:ascii="Times New Roman" w:hAnsi="Times New Roman" w:eastAsia="宋体"/>
                <w:color w:val="000000" w:themeColor="text1"/>
                <w:sz w:val="24"/>
              </w:rPr>
              <w:fldChar w:fldCharType="separate"/>
            </w:r>
            <w:r>
              <w:rPr>
                <w:rFonts w:hint="eastAsia" w:ascii="Times New Roman" w:eastAsia="宋体"/>
                <w:color w:val="000000" w:themeColor="text1"/>
                <w:sz w:val="24"/>
              </w:rPr>
              <w:t>①</w:t>
            </w:r>
            <w:r>
              <w:rPr>
                <w:rFonts w:ascii="Times New Roman" w:hAnsi="Times New Roman" w:eastAsia="宋体"/>
                <w:color w:val="000000" w:themeColor="text1"/>
                <w:sz w:val="24"/>
              </w:rPr>
              <w:fldChar w:fldCharType="end"/>
            </w:r>
            <w:r>
              <w:rPr>
                <w:rFonts w:ascii="Times New Roman" w:eastAsia="宋体"/>
                <w:color w:val="000000" w:themeColor="text1"/>
                <w:sz w:val="24"/>
              </w:rPr>
              <w:t>建设项目类别</w:t>
            </w:r>
          </w:p>
          <w:p>
            <w:pPr>
              <w:adjustRightInd w:val="0"/>
              <w:snapToGrid w:val="0"/>
              <w:spacing w:line="440" w:lineRule="exact"/>
              <w:ind w:firstLine="480" w:firstLineChars="200"/>
              <w:rPr>
                <w:rFonts w:ascii="Times New Roman" w:eastAsia="宋体"/>
                <w:color w:val="000000" w:themeColor="text1"/>
                <w:sz w:val="24"/>
              </w:rPr>
            </w:pPr>
            <w:r>
              <w:rPr>
                <w:rFonts w:ascii="Times New Roman" w:hAnsi="Times New Roman" w:eastAsia="宋体"/>
                <w:color w:val="000000" w:themeColor="text1"/>
                <w:kern w:val="24"/>
                <w:sz w:val="24"/>
              </w:rPr>
              <w:t>本项目</w:t>
            </w:r>
            <w:r>
              <w:rPr>
                <w:rFonts w:hint="eastAsia" w:ascii="Times New Roman" w:eastAsia="宋体"/>
                <w:bCs/>
                <w:color w:val="000000" w:themeColor="text1"/>
                <w:sz w:val="24"/>
              </w:rPr>
              <w:t>属于</w:t>
            </w:r>
            <w:r>
              <w:rPr>
                <w:rFonts w:hint="eastAsia" w:ascii="Times New Roman" w:eastAsia="宋体"/>
                <w:color w:val="000000" w:themeColor="text1"/>
                <w:sz w:val="24"/>
              </w:rPr>
              <w:t>塑料制品项目。根据《环境影响评价技术导则土壤环境（试行）》（</w:t>
            </w:r>
            <w:r>
              <w:rPr>
                <w:rFonts w:ascii="Times New Roman" w:hAnsi="Times New Roman" w:eastAsia="宋体"/>
                <w:color w:val="000000" w:themeColor="text1"/>
                <w:sz w:val="24"/>
              </w:rPr>
              <w:t>HJ964-2018</w:t>
            </w:r>
            <w:r>
              <w:rPr>
                <w:rFonts w:hint="eastAsia" w:ascii="Times New Roman" w:eastAsia="宋体"/>
                <w:color w:val="000000" w:themeColor="text1"/>
                <w:sz w:val="24"/>
              </w:rPr>
              <w:t>）附录</w:t>
            </w:r>
            <w:r>
              <w:rPr>
                <w:rFonts w:ascii="Times New Roman" w:hAnsi="Times New Roman" w:eastAsia="宋体"/>
                <w:color w:val="000000" w:themeColor="text1"/>
                <w:sz w:val="24"/>
              </w:rPr>
              <w:t>A</w:t>
            </w:r>
            <w:r>
              <w:rPr>
                <w:rFonts w:hint="eastAsia" w:ascii="Times New Roman" w:eastAsia="宋体"/>
                <w:color w:val="000000" w:themeColor="text1"/>
                <w:sz w:val="24"/>
              </w:rPr>
              <w:t>土壤环境影响评价项目类别表</w:t>
            </w:r>
            <w:r>
              <w:rPr>
                <w:rFonts w:ascii="Times New Roman" w:hAnsi="Times New Roman" w:eastAsia="宋体"/>
                <w:color w:val="000000" w:themeColor="text1"/>
                <w:sz w:val="24"/>
              </w:rPr>
              <w:t>A.1</w:t>
            </w:r>
            <w:r>
              <w:rPr>
                <w:rFonts w:hint="eastAsia" w:ascii="Times New Roman" w:eastAsia="宋体"/>
                <w:color w:val="000000" w:themeColor="text1"/>
                <w:sz w:val="24"/>
              </w:rPr>
              <w:t>土壤环境影响评价项目类别可知，本项目属于制造业</w:t>
            </w:r>
            <w:r>
              <w:rPr>
                <w:rFonts w:hint="eastAsia" w:ascii="Times New Roman" w:hAnsi="Times New Roman" w:eastAsia="宋体"/>
                <w:color w:val="000000" w:themeColor="text1"/>
                <w:sz w:val="24"/>
              </w:rPr>
              <w:t>——</w:t>
            </w:r>
            <w:r>
              <w:rPr>
                <w:rFonts w:hint="eastAsia" w:ascii="Times New Roman" w:eastAsia="宋体"/>
                <w:color w:val="000000" w:themeColor="text1"/>
                <w:sz w:val="24"/>
              </w:rPr>
              <w:t>石油、化工中的其他项目类别，属于</w:t>
            </w:r>
            <w:r>
              <w:rPr>
                <w:rFonts w:ascii="Times New Roman" w:hAnsi="Times New Roman" w:eastAsia="宋体"/>
                <w:color w:val="000000" w:themeColor="text1"/>
                <w:sz w:val="24"/>
              </w:rPr>
              <w:t>III</w:t>
            </w:r>
            <w:r>
              <w:rPr>
                <w:rFonts w:hint="eastAsia" w:ascii="Times New Roman" w:eastAsia="宋体"/>
                <w:color w:val="000000" w:themeColor="text1"/>
                <w:sz w:val="24"/>
              </w:rPr>
              <w:t>类项目。</w:t>
            </w:r>
          </w:p>
          <w:p>
            <w:pPr>
              <w:keepNext/>
              <w:spacing w:line="440" w:lineRule="exact"/>
              <w:jc w:val="center"/>
              <w:rPr>
                <w:rFonts w:ascii="Times New Roman" w:hAnsi="Times New Roman" w:eastAsia="宋体"/>
                <w:b/>
                <w:bCs/>
                <w:snapToGrid w:val="0"/>
                <w:color w:val="000000" w:themeColor="text1"/>
                <w:kern w:val="0"/>
                <w:sz w:val="24"/>
              </w:rPr>
            </w:pPr>
            <w:r>
              <w:rPr>
                <w:rFonts w:ascii="Times New Roman" w:hAnsi="Times New Roman" w:eastAsia="宋体"/>
                <w:b/>
                <w:bCs/>
                <w:snapToGrid w:val="0"/>
                <w:color w:val="000000" w:themeColor="text1"/>
                <w:kern w:val="0"/>
                <w:sz w:val="24"/>
              </w:rPr>
              <w:t>表</w:t>
            </w:r>
            <w:r>
              <w:rPr>
                <w:rFonts w:hint="eastAsia" w:ascii="Times New Roman" w:hAnsi="Times New Roman" w:eastAsia="宋体"/>
                <w:b/>
                <w:bCs/>
                <w:snapToGrid w:val="0"/>
                <w:color w:val="000000" w:themeColor="text1"/>
                <w:kern w:val="0"/>
                <w:sz w:val="24"/>
              </w:rPr>
              <w:t xml:space="preserve">48    </w:t>
            </w:r>
            <w:r>
              <w:rPr>
                <w:rFonts w:ascii="Times New Roman" w:hAnsi="Times New Roman" w:eastAsia="宋体"/>
                <w:b/>
                <w:bCs/>
                <w:snapToGrid w:val="0"/>
                <w:color w:val="000000" w:themeColor="text1"/>
                <w:kern w:val="0"/>
                <w:sz w:val="24"/>
              </w:rPr>
              <w:t>污染影响型敏感程度分级表</w:t>
            </w:r>
          </w:p>
          <w:tbl>
            <w:tblPr>
              <w:tblStyle w:val="24"/>
              <w:tblW w:w="9072"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7"/>
              <w:gridCol w:w="1372"/>
              <w:gridCol w:w="4012"/>
              <w:gridCol w:w="1863"/>
              <w:gridCol w:w="1208"/>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pct"/>
                  <w:gridSpan w:val="2"/>
                  <w:tcBorders>
                    <w:bottom w:val="single" w:color="auto" w:sz="8" w:space="0"/>
                  </w:tcBorders>
                  <w:vAlign w:val="center"/>
                </w:tcPr>
                <w:p>
                  <w:pPr>
                    <w:adjustRightInd w:val="0"/>
                    <w:snapToGrid w:val="0"/>
                    <w:jc w:val="center"/>
                    <w:rPr>
                      <w:rFonts w:ascii="Times New Roman" w:hAnsi="Times New Roman" w:eastAsia="宋体"/>
                      <w:b/>
                      <w:bCs/>
                      <w:color w:val="000000" w:themeColor="text1"/>
                      <w:kern w:val="24"/>
                      <w:szCs w:val="21"/>
                    </w:rPr>
                  </w:pPr>
                  <w:r>
                    <w:rPr>
                      <w:rFonts w:ascii="Times New Roman" w:hAnsi="Times New Roman" w:eastAsia="宋体"/>
                      <w:b/>
                      <w:bCs/>
                      <w:color w:val="000000" w:themeColor="text1"/>
                      <w:kern w:val="24"/>
                      <w:szCs w:val="21"/>
                    </w:rPr>
                    <w:t>行业类别</w:t>
                  </w:r>
                </w:p>
              </w:tc>
              <w:tc>
                <w:tcPr>
                  <w:tcW w:w="2211" w:type="pct"/>
                  <w:tcBorders>
                    <w:bottom w:val="single" w:color="auto" w:sz="8" w:space="0"/>
                  </w:tcBorders>
                  <w:vAlign w:val="center"/>
                </w:tcPr>
                <w:p>
                  <w:pPr>
                    <w:adjustRightInd w:val="0"/>
                    <w:snapToGrid w:val="0"/>
                    <w:jc w:val="center"/>
                    <w:rPr>
                      <w:rFonts w:ascii="Times New Roman" w:hAnsi="Times New Roman" w:eastAsia="宋体"/>
                      <w:b/>
                      <w:bCs/>
                      <w:color w:val="000000" w:themeColor="text1"/>
                      <w:kern w:val="24"/>
                      <w:szCs w:val="21"/>
                    </w:rPr>
                  </w:pPr>
                  <w:r>
                    <w:rPr>
                      <w:rFonts w:ascii="Times New Roman" w:hAnsi="Times New Roman" w:eastAsia="宋体"/>
                      <w:b/>
                      <w:bCs/>
                      <w:color w:val="000000" w:themeColor="text1"/>
                      <w:kern w:val="24"/>
                      <w:szCs w:val="21"/>
                    </w:rPr>
                    <w:t>项目类别</w:t>
                  </w:r>
                </w:p>
              </w:tc>
              <w:tc>
                <w:tcPr>
                  <w:tcW w:w="1027" w:type="pct"/>
                  <w:tcBorders>
                    <w:bottom w:val="single" w:color="auto" w:sz="8" w:space="0"/>
                  </w:tcBorders>
                  <w:vAlign w:val="center"/>
                </w:tcPr>
                <w:p>
                  <w:pPr>
                    <w:adjustRightInd w:val="0"/>
                    <w:snapToGrid w:val="0"/>
                    <w:jc w:val="center"/>
                    <w:rPr>
                      <w:rFonts w:ascii="Times New Roman" w:hAnsi="Times New Roman" w:eastAsia="宋体"/>
                      <w:b/>
                      <w:bCs/>
                      <w:color w:val="000000" w:themeColor="text1"/>
                      <w:kern w:val="24"/>
                      <w:szCs w:val="21"/>
                    </w:rPr>
                  </w:pPr>
                  <w:r>
                    <w:rPr>
                      <w:rFonts w:ascii="Times New Roman" w:hAnsi="Times New Roman" w:eastAsia="宋体"/>
                      <w:b/>
                      <w:bCs/>
                      <w:color w:val="000000" w:themeColor="text1"/>
                      <w:kern w:val="24"/>
                      <w:szCs w:val="21"/>
                    </w:rPr>
                    <w:t>项目情况</w:t>
                  </w:r>
                </w:p>
              </w:tc>
              <w:tc>
                <w:tcPr>
                  <w:tcW w:w="666" w:type="pct"/>
                  <w:tcBorders>
                    <w:bottom w:val="single" w:color="auto" w:sz="8" w:space="0"/>
                  </w:tcBorders>
                  <w:vAlign w:val="center"/>
                </w:tcPr>
                <w:p>
                  <w:pPr>
                    <w:adjustRightInd w:val="0"/>
                    <w:snapToGrid w:val="0"/>
                    <w:jc w:val="center"/>
                    <w:rPr>
                      <w:rFonts w:ascii="Times New Roman" w:hAnsi="Times New Roman" w:eastAsia="宋体"/>
                      <w:b/>
                      <w:bCs/>
                      <w:color w:val="000000" w:themeColor="text1"/>
                      <w:kern w:val="24"/>
                      <w:szCs w:val="21"/>
                    </w:rPr>
                  </w:pPr>
                  <w:r>
                    <w:rPr>
                      <w:rFonts w:ascii="Times New Roman" w:hAnsi="Times New Roman" w:eastAsia="宋体"/>
                      <w:b/>
                      <w:bCs/>
                      <w:color w:val="000000" w:themeColor="text1"/>
                      <w:kern w:val="24"/>
                      <w:szCs w:val="21"/>
                    </w:rPr>
                    <w:t>符合性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0" w:type="pct"/>
                  <w:vMerge w:val="restart"/>
                  <w:tcBorders>
                    <w:top w:val="single" w:color="auto" w:sz="8" w:space="0"/>
                  </w:tcBorders>
                  <w:vAlign w:val="center"/>
                </w:tcPr>
                <w:p>
                  <w:pPr>
                    <w:adjustRightInd w:val="0"/>
                    <w:snapToGrid w:val="0"/>
                    <w:jc w:val="center"/>
                    <w:rPr>
                      <w:rFonts w:ascii="Times New Roman" w:hAnsi="Times New Roman" w:eastAsia="宋体"/>
                      <w:color w:val="000000" w:themeColor="text1"/>
                      <w:kern w:val="24"/>
                      <w:szCs w:val="21"/>
                    </w:rPr>
                  </w:pPr>
                  <w:r>
                    <w:rPr>
                      <w:rFonts w:ascii="Times New Roman" w:hAnsi="Times New Roman" w:eastAsia="宋体"/>
                      <w:color w:val="000000" w:themeColor="text1"/>
                      <w:kern w:val="24"/>
                      <w:szCs w:val="21"/>
                    </w:rPr>
                    <w:t>制造业</w:t>
                  </w:r>
                </w:p>
              </w:tc>
              <w:tc>
                <w:tcPr>
                  <w:tcW w:w="756" w:type="pct"/>
                  <w:vMerge w:val="restart"/>
                  <w:tcBorders>
                    <w:top w:val="single" w:color="auto" w:sz="8" w:space="0"/>
                  </w:tcBorders>
                  <w:vAlign w:val="center"/>
                </w:tcPr>
                <w:p>
                  <w:pPr>
                    <w:adjustRightInd w:val="0"/>
                    <w:snapToGrid w:val="0"/>
                    <w:jc w:val="center"/>
                    <w:rPr>
                      <w:rFonts w:ascii="Times New Roman" w:hAnsi="Times New Roman" w:eastAsia="宋体"/>
                      <w:color w:val="000000" w:themeColor="text1"/>
                      <w:kern w:val="24"/>
                      <w:szCs w:val="21"/>
                    </w:rPr>
                  </w:pPr>
                  <w:r>
                    <w:rPr>
                      <w:rFonts w:ascii="Times New Roman" w:hAnsi="Times New Roman" w:eastAsia="宋体"/>
                      <w:color w:val="000000" w:themeColor="text1"/>
                      <w:kern w:val="24"/>
                      <w:szCs w:val="21"/>
                    </w:rPr>
                    <w:t>石油</w:t>
                  </w:r>
                  <w:r>
                    <w:rPr>
                      <w:rFonts w:hint="eastAsia" w:ascii="Times New Roman" w:hAnsi="Times New Roman" w:eastAsia="宋体"/>
                      <w:color w:val="000000" w:themeColor="text1"/>
                      <w:kern w:val="24"/>
                      <w:szCs w:val="21"/>
                    </w:rPr>
                    <w:t>、</w:t>
                  </w:r>
                  <w:r>
                    <w:rPr>
                      <w:rFonts w:ascii="Times New Roman" w:hAnsi="Times New Roman" w:eastAsia="宋体"/>
                      <w:color w:val="000000" w:themeColor="text1"/>
                      <w:kern w:val="24"/>
                      <w:szCs w:val="21"/>
                    </w:rPr>
                    <w:t>化工</w:t>
                  </w:r>
                </w:p>
              </w:tc>
              <w:tc>
                <w:tcPr>
                  <w:tcW w:w="2211" w:type="pct"/>
                  <w:tcBorders>
                    <w:top w:val="single" w:color="auto" w:sz="8" w:space="0"/>
                  </w:tcBorders>
                  <w:vAlign w:val="center"/>
                </w:tcPr>
                <w:p>
                  <w:pPr>
                    <w:adjustRightInd w:val="0"/>
                    <w:snapToGrid w:val="0"/>
                    <w:jc w:val="center"/>
                    <w:rPr>
                      <w:rFonts w:ascii="Times New Roman" w:hAnsi="Times New Roman" w:eastAsia="宋体"/>
                      <w:color w:val="000000" w:themeColor="text1"/>
                      <w:kern w:val="24"/>
                      <w:szCs w:val="21"/>
                    </w:rPr>
                  </w:pPr>
                  <w:r>
                    <w:rPr>
                      <w:rFonts w:ascii="Times New Roman" w:hAnsi="Times New Roman" w:eastAsia="宋体"/>
                      <w:color w:val="000000" w:themeColor="text1"/>
                      <w:kern w:val="24"/>
                      <w:szCs w:val="21"/>
                    </w:rPr>
                    <w:t>石油加工</w:t>
                  </w:r>
                  <w:r>
                    <w:rPr>
                      <w:rFonts w:hint="eastAsia" w:ascii="Times New Roman" w:hAnsi="Times New Roman" w:eastAsia="宋体"/>
                      <w:color w:val="000000" w:themeColor="text1"/>
                      <w:kern w:val="24"/>
                      <w:szCs w:val="21"/>
                    </w:rPr>
                    <w:t>、</w:t>
                  </w:r>
                  <w:r>
                    <w:rPr>
                      <w:rFonts w:ascii="Times New Roman" w:hAnsi="Times New Roman" w:eastAsia="宋体"/>
                      <w:color w:val="000000" w:themeColor="text1"/>
                      <w:kern w:val="24"/>
                      <w:szCs w:val="21"/>
                    </w:rPr>
                    <w:t>炼焦</w:t>
                  </w:r>
                  <w:r>
                    <w:rPr>
                      <w:rFonts w:hint="eastAsia" w:ascii="Times New Roman" w:hAnsi="Times New Roman" w:eastAsia="宋体"/>
                      <w:color w:val="000000" w:themeColor="text1"/>
                      <w:kern w:val="24"/>
                      <w:szCs w:val="21"/>
                    </w:rPr>
                    <w:t>；</w:t>
                  </w:r>
                  <w:r>
                    <w:rPr>
                      <w:rFonts w:ascii="Times New Roman" w:hAnsi="Times New Roman" w:eastAsia="宋体"/>
                      <w:color w:val="000000" w:themeColor="text1"/>
                      <w:kern w:val="24"/>
                      <w:szCs w:val="21"/>
                    </w:rPr>
                    <w:t>化学原料和化学制品制造</w:t>
                  </w:r>
                  <w:r>
                    <w:rPr>
                      <w:rFonts w:hint="eastAsia" w:ascii="Times New Roman" w:hAnsi="Times New Roman" w:eastAsia="宋体"/>
                      <w:color w:val="000000" w:themeColor="text1"/>
                      <w:kern w:val="24"/>
                      <w:szCs w:val="21"/>
                    </w:rPr>
                    <w:t>；</w:t>
                  </w:r>
                  <w:r>
                    <w:rPr>
                      <w:rFonts w:ascii="Times New Roman" w:hAnsi="Times New Roman" w:eastAsia="宋体"/>
                      <w:color w:val="000000" w:themeColor="text1"/>
                      <w:kern w:val="24"/>
                      <w:szCs w:val="21"/>
                    </w:rPr>
                    <w:t>农药制造</w:t>
                  </w:r>
                  <w:r>
                    <w:rPr>
                      <w:rFonts w:hint="eastAsia" w:ascii="Times New Roman" w:hAnsi="Times New Roman" w:eastAsia="宋体"/>
                      <w:color w:val="000000" w:themeColor="text1"/>
                      <w:kern w:val="24"/>
                      <w:szCs w:val="21"/>
                    </w:rPr>
                    <w:t>；</w:t>
                  </w:r>
                  <w:r>
                    <w:rPr>
                      <w:rFonts w:ascii="Times New Roman" w:hAnsi="Times New Roman" w:eastAsia="宋体"/>
                      <w:color w:val="000000" w:themeColor="text1"/>
                      <w:kern w:val="24"/>
                      <w:szCs w:val="21"/>
                    </w:rPr>
                    <w:t>涂料</w:t>
                  </w:r>
                  <w:r>
                    <w:rPr>
                      <w:rFonts w:hint="eastAsia" w:ascii="Times New Roman" w:hAnsi="Times New Roman" w:eastAsia="宋体"/>
                      <w:color w:val="000000" w:themeColor="text1"/>
                      <w:kern w:val="24"/>
                      <w:szCs w:val="21"/>
                    </w:rPr>
                    <w:t>、</w:t>
                  </w:r>
                  <w:r>
                    <w:rPr>
                      <w:rFonts w:ascii="Times New Roman" w:hAnsi="Times New Roman" w:eastAsia="宋体"/>
                      <w:color w:val="000000" w:themeColor="text1"/>
                      <w:kern w:val="24"/>
                      <w:szCs w:val="21"/>
                    </w:rPr>
                    <w:t>染料</w:t>
                  </w:r>
                  <w:r>
                    <w:rPr>
                      <w:rFonts w:hint="eastAsia" w:ascii="Times New Roman" w:hAnsi="Times New Roman" w:eastAsia="宋体"/>
                      <w:color w:val="000000" w:themeColor="text1"/>
                      <w:kern w:val="24"/>
                      <w:szCs w:val="21"/>
                    </w:rPr>
                    <w:t>、</w:t>
                  </w:r>
                  <w:r>
                    <w:rPr>
                      <w:rFonts w:ascii="Times New Roman" w:hAnsi="Times New Roman" w:eastAsia="宋体"/>
                      <w:color w:val="000000" w:themeColor="text1"/>
                      <w:kern w:val="24"/>
                      <w:szCs w:val="21"/>
                    </w:rPr>
                    <w:t>颜料</w:t>
                  </w:r>
                  <w:r>
                    <w:rPr>
                      <w:rFonts w:hint="eastAsia" w:ascii="Times New Roman" w:hAnsi="Times New Roman" w:eastAsia="宋体"/>
                      <w:color w:val="000000" w:themeColor="text1"/>
                      <w:kern w:val="24"/>
                      <w:szCs w:val="21"/>
                    </w:rPr>
                    <w:t>、</w:t>
                  </w:r>
                  <w:r>
                    <w:rPr>
                      <w:rFonts w:ascii="Times New Roman" w:hAnsi="Times New Roman" w:eastAsia="宋体"/>
                      <w:color w:val="000000" w:themeColor="text1"/>
                      <w:kern w:val="24"/>
                      <w:szCs w:val="21"/>
                    </w:rPr>
                    <w:t>油墨及其类似产品制造</w:t>
                  </w:r>
                  <w:r>
                    <w:rPr>
                      <w:rFonts w:hint="eastAsia" w:ascii="Times New Roman" w:hAnsi="Times New Roman" w:eastAsia="宋体"/>
                      <w:color w:val="000000" w:themeColor="text1"/>
                      <w:kern w:val="24"/>
                      <w:szCs w:val="21"/>
                    </w:rPr>
                    <w:t>；</w:t>
                  </w:r>
                  <w:r>
                    <w:rPr>
                      <w:rFonts w:ascii="Times New Roman" w:hAnsi="Times New Roman" w:eastAsia="宋体"/>
                      <w:color w:val="000000" w:themeColor="text1"/>
                      <w:kern w:val="24"/>
                      <w:szCs w:val="21"/>
                    </w:rPr>
                    <w:t>合成材料制造</w:t>
                  </w:r>
                  <w:r>
                    <w:rPr>
                      <w:rFonts w:hint="eastAsia" w:ascii="Times New Roman" w:hAnsi="Times New Roman" w:eastAsia="宋体"/>
                      <w:color w:val="000000" w:themeColor="text1"/>
                      <w:kern w:val="24"/>
                      <w:szCs w:val="21"/>
                    </w:rPr>
                    <w:t>；</w:t>
                  </w:r>
                  <w:r>
                    <w:rPr>
                      <w:rFonts w:ascii="Times New Roman" w:hAnsi="Times New Roman" w:eastAsia="宋体"/>
                      <w:color w:val="000000" w:themeColor="text1"/>
                      <w:kern w:val="24"/>
                      <w:szCs w:val="21"/>
                    </w:rPr>
                    <w:t>炸药</w:t>
                  </w:r>
                  <w:r>
                    <w:rPr>
                      <w:rFonts w:hint="eastAsia" w:ascii="Times New Roman" w:hAnsi="Times New Roman" w:eastAsia="宋体"/>
                      <w:color w:val="000000" w:themeColor="text1"/>
                      <w:kern w:val="24"/>
                      <w:szCs w:val="21"/>
                    </w:rPr>
                    <w:t>、</w:t>
                  </w:r>
                  <w:r>
                    <w:rPr>
                      <w:rFonts w:ascii="Times New Roman" w:hAnsi="Times New Roman" w:eastAsia="宋体"/>
                      <w:color w:val="000000" w:themeColor="text1"/>
                      <w:kern w:val="24"/>
                      <w:szCs w:val="21"/>
                    </w:rPr>
                    <w:t>火工及焰火产品制造</w:t>
                  </w:r>
                  <w:r>
                    <w:rPr>
                      <w:rFonts w:hint="eastAsia" w:ascii="Times New Roman" w:hAnsi="Times New Roman" w:eastAsia="宋体"/>
                      <w:color w:val="000000" w:themeColor="text1"/>
                      <w:kern w:val="24"/>
                      <w:szCs w:val="21"/>
                    </w:rPr>
                    <w:t>；</w:t>
                  </w:r>
                  <w:r>
                    <w:rPr>
                      <w:rFonts w:ascii="Times New Roman" w:hAnsi="Times New Roman" w:eastAsia="宋体"/>
                      <w:color w:val="000000" w:themeColor="text1"/>
                      <w:kern w:val="24"/>
                      <w:szCs w:val="21"/>
                    </w:rPr>
                    <w:t>水处理剂等制造</w:t>
                  </w:r>
                  <w:r>
                    <w:rPr>
                      <w:rFonts w:hint="eastAsia" w:ascii="Times New Roman" w:hAnsi="Times New Roman" w:eastAsia="宋体"/>
                      <w:color w:val="000000" w:themeColor="text1"/>
                      <w:kern w:val="24"/>
                      <w:szCs w:val="21"/>
                    </w:rPr>
                    <w:t>；</w:t>
                  </w:r>
                  <w:r>
                    <w:rPr>
                      <w:rFonts w:ascii="Times New Roman" w:hAnsi="Times New Roman" w:eastAsia="宋体"/>
                      <w:color w:val="000000" w:themeColor="text1"/>
                      <w:kern w:val="24"/>
                      <w:szCs w:val="21"/>
                    </w:rPr>
                    <w:t>化学药品制造</w:t>
                  </w:r>
                  <w:r>
                    <w:rPr>
                      <w:rFonts w:hint="eastAsia" w:ascii="Times New Roman" w:hAnsi="Times New Roman" w:eastAsia="宋体"/>
                      <w:color w:val="000000" w:themeColor="text1"/>
                      <w:kern w:val="24"/>
                      <w:szCs w:val="21"/>
                    </w:rPr>
                    <w:t>；</w:t>
                  </w:r>
                  <w:r>
                    <w:rPr>
                      <w:rFonts w:ascii="Times New Roman" w:hAnsi="Times New Roman" w:eastAsia="宋体"/>
                      <w:color w:val="000000" w:themeColor="text1"/>
                      <w:kern w:val="24"/>
                      <w:szCs w:val="21"/>
                    </w:rPr>
                    <w:t>化学药品制造</w:t>
                  </w:r>
                  <w:r>
                    <w:rPr>
                      <w:rFonts w:hint="eastAsia" w:ascii="Times New Roman" w:hAnsi="Times New Roman" w:eastAsia="宋体"/>
                      <w:color w:val="000000" w:themeColor="text1"/>
                      <w:kern w:val="24"/>
                      <w:szCs w:val="21"/>
                    </w:rPr>
                    <w:t>；</w:t>
                  </w:r>
                  <w:r>
                    <w:rPr>
                      <w:rFonts w:ascii="Times New Roman" w:hAnsi="Times New Roman" w:eastAsia="宋体"/>
                      <w:color w:val="000000" w:themeColor="text1"/>
                      <w:kern w:val="24"/>
                      <w:szCs w:val="21"/>
                    </w:rPr>
                    <w:t>生物</w:t>
                  </w:r>
                  <w:r>
                    <w:rPr>
                      <w:rFonts w:hint="eastAsia" w:ascii="Times New Roman" w:hAnsi="Times New Roman" w:eastAsia="宋体"/>
                      <w:color w:val="000000" w:themeColor="text1"/>
                      <w:kern w:val="24"/>
                      <w:szCs w:val="21"/>
                    </w:rPr>
                    <w:t>、</w:t>
                  </w:r>
                  <w:r>
                    <w:rPr>
                      <w:rFonts w:ascii="Times New Roman" w:hAnsi="Times New Roman" w:eastAsia="宋体"/>
                      <w:color w:val="000000" w:themeColor="text1"/>
                      <w:kern w:val="24"/>
                      <w:szCs w:val="21"/>
                    </w:rPr>
                    <w:t>生化制品制造</w:t>
                  </w:r>
                </w:p>
              </w:tc>
              <w:tc>
                <w:tcPr>
                  <w:tcW w:w="1027" w:type="pct"/>
                  <w:vMerge w:val="restart"/>
                  <w:tcBorders>
                    <w:top w:val="single" w:color="auto" w:sz="8" w:space="0"/>
                  </w:tcBorders>
                  <w:vAlign w:val="center"/>
                </w:tcPr>
                <w:p>
                  <w:pPr>
                    <w:adjustRightInd w:val="0"/>
                    <w:snapToGrid w:val="0"/>
                    <w:jc w:val="center"/>
                    <w:rPr>
                      <w:rFonts w:ascii="Times New Roman" w:hAnsi="Times New Roman" w:eastAsia="宋体"/>
                      <w:color w:val="000000" w:themeColor="text1"/>
                      <w:kern w:val="24"/>
                      <w:szCs w:val="21"/>
                    </w:rPr>
                  </w:pPr>
                  <w:r>
                    <w:rPr>
                      <w:rFonts w:ascii="Times New Roman" w:hAnsi="Times New Roman" w:eastAsia="宋体"/>
                      <w:bCs/>
                      <w:color w:val="000000" w:themeColor="text1"/>
                      <w:szCs w:val="21"/>
                    </w:rPr>
                    <w:t>本项目属于</w:t>
                  </w:r>
                  <w:r>
                    <w:rPr>
                      <w:rFonts w:hint="eastAsia" w:ascii="Times New Roman" w:hAnsi="Times New Roman" w:eastAsia="宋体"/>
                      <w:bCs/>
                      <w:color w:val="000000" w:themeColor="text1"/>
                      <w:szCs w:val="21"/>
                    </w:rPr>
                    <w:t>塑料制品项目</w:t>
                  </w:r>
                </w:p>
              </w:tc>
              <w:tc>
                <w:tcPr>
                  <w:tcW w:w="666" w:type="pct"/>
                  <w:tcBorders>
                    <w:top w:val="single" w:color="auto" w:sz="8" w:space="0"/>
                  </w:tcBorders>
                  <w:vAlign w:val="center"/>
                </w:tcPr>
                <w:p>
                  <w:pPr>
                    <w:adjustRightInd w:val="0"/>
                    <w:snapToGrid w:val="0"/>
                    <w:jc w:val="center"/>
                    <w:rPr>
                      <w:rFonts w:ascii="Times New Roman" w:hAnsi="Times New Roman" w:eastAsia="宋体"/>
                      <w:color w:val="000000" w:themeColor="text1"/>
                      <w:kern w:val="24"/>
                      <w:szCs w:val="21"/>
                    </w:rPr>
                  </w:pPr>
                  <w:r>
                    <w:rPr>
                      <w:rFonts w:ascii="Times New Roman" w:hAnsi="Times New Roman" w:eastAsia="宋体"/>
                      <w:color w:val="000000" w:themeColor="text1"/>
                      <w:kern w:val="24"/>
                      <w:szCs w:val="21"/>
                    </w:rPr>
                    <w:t>不符合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0" w:type="pct"/>
                  <w:vMerge w:val="continue"/>
                  <w:vAlign w:val="center"/>
                </w:tcPr>
                <w:p>
                  <w:pPr>
                    <w:widowControl/>
                    <w:jc w:val="center"/>
                    <w:rPr>
                      <w:rFonts w:ascii="Times New Roman" w:hAnsi="Times New Roman" w:eastAsia="宋体"/>
                      <w:color w:val="000000" w:themeColor="text1"/>
                      <w:kern w:val="24"/>
                      <w:szCs w:val="21"/>
                    </w:rPr>
                  </w:pPr>
                </w:p>
              </w:tc>
              <w:tc>
                <w:tcPr>
                  <w:tcW w:w="756" w:type="pct"/>
                  <w:vMerge w:val="continue"/>
                  <w:vAlign w:val="center"/>
                </w:tcPr>
                <w:p>
                  <w:pPr>
                    <w:widowControl/>
                    <w:jc w:val="center"/>
                    <w:rPr>
                      <w:rFonts w:ascii="Times New Roman" w:hAnsi="Times New Roman" w:eastAsia="宋体"/>
                      <w:color w:val="000000" w:themeColor="text1"/>
                      <w:kern w:val="24"/>
                      <w:szCs w:val="21"/>
                    </w:rPr>
                  </w:pPr>
                </w:p>
              </w:tc>
              <w:tc>
                <w:tcPr>
                  <w:tcW w:w="2211" w:type="pct"/>
                  <w:vAlign w:val="center"/>
                </w:tcPr>
                <w:p>
                  <w:pPr>
                    <w:adjustRightInd w:val="0"/>
                    <w:snapToGrid w:val="0"/>
                    <w:jc w:val="center"/>
                    <w:rPr>
                      <w:rFonts w:ascii="Times New Roman" w:hAnsi="Times New Roman" w:eastAsia="宋体"/>
                      <w:color w:val="000000" w:themeColor="text1"/>
                      <w:kern w:val="24"/>
                      <w:szCs w:val="21"/>
                    </w:rPr>
                  </w:pPr>
                  <w:r>
                    <w:rPr>
                      <w:rFonts w:ascii="Times New Roman" w:hAnsi="Times New Roman" w:eastAsia="宋体"/>
                      <w:color w:val="000000" w:themeColor="text1"/>
                      <w:kern w:val="24"/>
                      <w:szCs w:val="21"/>
                    </w:rPr>
                    <w:t>半导体材料</w:t>
                  </w:r>
                  <w:r>
                    <w:rPr>
                      <w:rFonts w:hint="eastAsia" w:ascii="Times New Roman" w:hAnsi="Times New Roman" w:eastAsia="宋体"/>
                      <w:color w:val="000000" w:themeColor="text1"/>
                      <w:kern w:val="24"/>
                      <w:szCs w:val="21"/>
                    </w:rPr>
                    <w:t>、</w:t>
                  </w:r>
                  <w:r>
                    <w:rPr>
                      <w:rFonts w:ascii="Times New Roman" w:hAnsi="Times New Roman" w:eastAsia="宋体"/>
                      <w:color w:val="000000" w:themeColor="text1"/>
                      <w:kern w:val="24"/>
                      <w:szCs w:val="21"/>
                    </w:rPr>
                    <w:t>日用化学品制造</w:t>
                  </w:r>
                  <w:r>
                    <w:rPr>
                      <w:rFonts w:hint="eastAsia" w:ascii="Times New Roman" w:hAnsi="Times New Roman" w:eastAsia="宋体"/>
                      <w:color w:val="000000" w:themeColor="text1"/>
                      <w:kern w:val="24"/>
                      <w:szCs w:val="21"/>
                    </w:rPr>
                    <w:t>；</w:t>
                  </w:r>
                  <w:r>
                    <w:rPr>
                      <w:rFonts w:ascii="Times New Roman" w:hAnsi="Times New Roman" w:eastAsia="宋体"/>
                      <w:color w:val="000000" w:themeColor="text1"/>
                      <w:kern w:val="24"/>
                      <w:szCs w:val="21"/>
                    </w:rPr>
                    <w:t>化学肥料制造</w:t>
                  </w:r>
                </w:p>
              </w:tc>
              <w:tc>
                <w:tcPr>
                  <w:tcW w:w="1027" w:type="pct"/>
                  <w:vMerge w:val="continue"/>
                  <w:vAlign w:val="center"/>
                </w:tcPr>
                <w:p>
                  <w:pPr>
                    <w:widowControl/>
                    <w:jc w:val="center"/>
                    <w:rPr>
                      <w:rFonts w:ascii="Times New Roman" w:hAnsi="Times New Roman" w:eastAsia="宋体"/>
                      <w:color w:val="000000" w:themeColor="text1"/>
                      <w:kern w:val="24"/>
                      <w:szCs w:val="21"/>
                    </w:rPr>
                  </w:pPr>
                </w:p>
              </w:tc>
              <w:tc>
                <w:tcPr>
                  <w:tcW w:w="666"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kern w:val="24"/>
                      <w:szCs w:val="21"/>
                    </w:rPr>
                    <w:t>不符合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0" w:type="pct"/>
                  <w:vMerge w:val="continue"/>
                  <w:vAlign w:val="center"/>
                </w:tcPr>
                <w:p>
                  <w:pPr>
                    <w:widowControl/>
                    <w:jc w:val="center"/>
                    <w:rPr>
                      <w:rFonts w:ascii="Times New Roman" w:hAnsi="Times New Roman" w:eastAsia="宋体"/>
                      <w:color w:val="000000" w:themeColor="text1"/>
                      <w:kern w:val="24"/>
                      <w:szCs w:val="21"/>
                    </w:rPr>
                  </w:pPr>
                </w:p>
              </w:tc>
              <w:tc>
                <w:tcPr>
                  <w:tcW w:w="756" w:type="pct"/>
                  <w:vMerge w:val="continue"/>
                  <w:vAlign w:val="center"/>
                </w:tcPr>
                <w:p>
                  <w:pPr>
                    <w:widowControl/>
                    <w:jc w:val="center"/>
                    <w:rPr>
                      <w:rFonts w:ascii="Times New Roman" w:hAnsi="Times New Roman" w:eastAsia="宋体"/>
                      <w:color w:val="000000" w:themeColor="text1"/>
                      <w:kern w:val="24"/>
                      <w:szCs w:val="21"/>
                    </w:rPr>
                  </w:pPr>
                </w:p>
              </w:tc>
              <w:tc>
                <w:tcPr>
                  <w:tcW w:w="2211" w:type="pct"/>
                  <w:vAlign w:val="center"/>
                </w:tcPr>
                <w:p>
                  <w:pPr>
                    <w:adjustRightInd w:val="0"/>
                    <w:snapToGrid w:val="0"/>
                    <w:jc w:val="center"/>
                    <w:rPr>
                      <w:rFonts w:ascii="Times New Roman" w:hAnsi="Times New Roman" w:eastAsia="宋体"/>
                      <w:color w:val="000000" w:themeColor="text1"/>
                      <w:kern w:val="24"/>
                      <w:szCs w:val="21"/>
                    </w:rPr>
                  </w:pPr>
                  <w:r>
                    <w:rPr>
                      <w:rFonts w:ascii="Times New Roman" w:hAnsi="Times New Roman" w:eastAsia="宋体"/>
                      <w:color w:val="000000" w:themeColor="text1"/>
                      <w:kern w:val="24"/>
                      <w:szCs w:val="21"/>
                    </w:rPr>
                    <w:t>其他</w:t>
                  </w:r>
                </w:p>
              </w:tc>
              <w:tc>
                <w:tcPr>
                  <w:tcW w:w="1027" w:type="pct"/>
                  <w:vMerge w:val="continue"/>
                  <w:vAlign w:val="center"/>
                </w:tcPr>
                <w:p>
                  <w:pPr>
                    <w:widowControl/>
                    <w:jc w:val="center"/>
                    <w:rPr>
                      <w:rFonts w:ascii="Times New Roman" w:hAnsi="Times New Roman" w:eastAsia="宋体"/>
                      <w:color w:val="000000" w:themeColor="text1"/>
                      <w:kern w:val="24"/>
                      <w:szCs w:val="21"/>
                    </w:rPr>
                  </w:pPr>
                </w:p>
              </w:tc>
              <w:tc>
                <w:tcPr>
                  <w:tcW w:w="666"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kern w:val="24"/>
                      <w:szCs w:val="21"/>
                    </w:rPr>
                    <w:t>符合</w:t>
                  </w:r>
                </w:p>
              </w:tc>
            </w:tr>
          </w:tbl>
          <w:p>
            <w:pPr>
              <w:adjustRightInd w:val="0"/>
              <w:snapToGrid w:val="0"/>
              <w:spacing w:line="440" w:lineRule="exact"/>
              <w:ind w:firstLine="480" w:firstLineChars="200"/>
              <w:rPr>
                <w:rFonts w:ascii="Times New Roman" w:hAnsi="Times New Roman" w:eastAsia="宋体"/>
                <w:color w:val="000000" w:themeColor="text1"/>
                <w:kern w:val="24"/>
                <w:sz w:val="24"/>
                <w:szCs w:val="22"/>
              </w:rPr>
            </w:pPr>
            <w:r>
              <w:rPr>
                <w:rFonts w:ascii="Times New Roman" w:hAnsi="Times New Roman" w:eastAsia="宋体"/>
                <w:color w:val="000000" w:themeColor="text1"/>
                <w:kern w:val="24"/>
                <w:sz w:val="24"/>
              </w:rPr>
              <w:fldChar w:fldCharType="begin"/>
            </w:r>
            <w:r>
              <w:rPr>
                <w:rFonts w:ascii="Times New Roman" w:hAnsi="Times New Roman" w:eastAsia="宋体"/>
                <w:color w:val="000000" w:themeColor="text1"/>
                <w:kern w:val="24"/>
                <w:sz w:val="24"/>
              </w:rPr>
              <w:instrText xml:space="preserve"> </w:instrText>
            </w:r>
            <w:r>
              <w:rPr>
                <w:rFonts w:hint="eastAsia" w:ascii="Times New Roman" w:hAnsi="Times New Roman" w:eastAsia="宋体"/>
                <w:color w:val="000000" w:themeColor="text1"/>
                <w:kern w:val="24"/>
                <w:sz w:val="24"/>
              </w:rPr>
              <w:instrText xml:space="preserve">= 2 \* GB3</w:instrText>
            </w:r>
            <w:r>
              <w:rPr>
                <w:rFonts w:ascii="Times New Roman" w:hAnsi="Times New Roman" w:eastAsia="宋体"/>
                <w:color w:val="000000" w:themeColor="text1"/>
                <w:kern w:val="24"/>
                <w:sz w:val="24"/>
              </w:rPr>
              <w:instrText xml:space="preserve"> </w:instrText>
            </w:r>
            <w:r>
              <w:rPr>
                <w:rFonts w:ascii="Times New Roman" w:hAnsi="Times New Roman" w:eastAsia="宋体"/>
                <w:color w:val="000000" w:themeColor="text1"/>
                <w:kern w:val="24"/>
                <w:sz w:val="24"/>
              </w:rPr>
              <w:fldChar w:fldCharType="separate"/>
            </w:r>
            <w:r>
              <w:rPr>
                <w:rFonts w:hint="eastAsia" w:ascii="Times New Roman" w:hAnsi="Times New Roman" w:eastAsia="宋体"/>
                <w:color w:val="000000" w:themeColor="text1"/>
                <w:kern w:val="24"/>
                <w:sz w:val="24"/>
              </w:rPr>
              <w:t>②</w:t>
            </w:r>
            <w:r>
              <w:rPr>
                <w:rFonts w:ascii="Times New Roman" w:hAnsi="Times New Roman" w:eastAsia="宋体"/>
                <w:color w:val="000000" w:themeColor="text1"/>
                <w:kern w:val="24"/>
                <w:sz w:val="24"/>
              </w:rPr>
              <w:fldChar w:fldCharType="end"/>
            </w:r>
            <w:r>
              <w:rPr>
                <w:rFonts w:ascii="Times New Roman" w:hAnsi="Times New Roman" w:eastAsia="宋体"/>
                <w:color w:val="000000" w:themeColor="text1"/>
                <w:kern w:val="24"/>
                <w:sz w:val="24"/>
              </w:rPr>
              <w:t>占地规模</w:t>
            </w:r>
          </w:p>
          <w:p>
            <w:pPr>
              <w:keepNext/>
              <w:spacing w:line="440" w:lineRule="exact"/>
              <w:jc w:val="center"/>
              <w:rPr>
                <w:rFonts w:ascii="Times New Roman" w:hAnsi="Times New Roman" w:eastAsia="宋体"/>
                <w:b/>
                <w:bCs/>
                <w:snapToGrid w:val="0"/>
                <w:color w:val="000000" w:themeColor="text1"/>
                <w:kern w:val="0"/>
                <w:sz w:val="24"/>
              </w:rPr>
            </w:pPr>
            <w:r>
              <w:rPr>
                <w:rFonts w:ascii="Times New Roman" w:hAnsi="Times New Roman" w:eastAsia="宋体"/>
                <w:b/>
                <w:bCs/>
                <w:snapToGrid w:val="0"/>
                <w:color w:val="000000" w:themeColor="text1"/>
                <w:kern w:val="0"/>
                <w:sz w:val="24"/>
              </w:rPr>
              <w:t>表</w:t>
            </w:r>
            <w:r>
              <w:rPr>
                <w:rFonts w:hint="eastAsia" w:ascii="Times New Roman" w:hAnsi="Times New Roman" w:eastAsia="宋体"/>
                <w:b/>
                <w:bCs/>
                <w:snapToGrid w:val="0"/>
                <w:color w:val="000000" w:themeColor="text1"/>
                <w:kern w:val="0"/>
                <w:sz w:val="24"/>
              </w:rPr>
              <w:t xml:space="preserve">49    </w:t>
            </w:r>
            <w:r>
              <w:rPr>
                <w:rFonts w:ascii="Times New Roman" w:hAnsi="Times New Roman" w:eastAsia="宋体"/>
                <w:b/>
                <w:bCs/>
                <w:snapToGrid w:val="0"/>
                <w:color w:val="000000" w:themeColor="text1"/>
                <w:kern w:val="0"/>
                <w:sz w:val="24"/>
              </w:rPr>
              <w:t>建设项目占地规模</w:t>
            </w:r>
          </w:p>
          <w:tbl>
            <w:tblPr>
              <w:tblStyle w:val="24"/>
              <w:tblW w:w="9072"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85"/>
              <w:gridCol w:w="2285"/>
              <w:gridCol w:w="2285"/>
              <w:gridCol w:w="221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9" w:type="pct"/>
                  <w:tcBorders>
                    <w:bottom w:val="single" w:color="auto" w:sz="8" w:space="0"/>
                  </w:tcBorders>
                  <w:vAlign w:val="center"/>
                </w:tcPr>
                <w:p>
                  <w:pPr>
                    <w:adjustRightInd w:val="0"/>
                    <w:snapToGrid w:val="0"/>
                    <w:jc w:val="center"/>
                    <w:rPr>
                      <w:rFonts w:ascii="Times New Roman" w:hAnsi="Times New Roman" w:eastAsia="宋体"/>
                      <w:b/>
                      <w:bCs/>
                      <w:color w:val="000000" w:themeColor="text1"/>
                      <w:kern w:val="24"/>
                      <w:szCs w:val="21"/>
                    </w:rPr>
                  </w:pPr>
                  <w:r>
                    <w:rPr>
                      <w:rFonts w:ascii="Times New Roman" w:hAnsi="Times New Roman" w:eastAsia="宋体"/>
                      <w:b/>
                      <w:bCs/>
                      <w:color w:val="000000" w:themeColor="text1"/>
                      <w:kern w:val="24"/>
                      <w:szCs w:val="21"/>
                    </w:rPr>
                    <w:t>类别</w:t>
                  </w:r>
                </w:p>
              </w:tc>
              <w:tc>
                <w:tcPr>
                  <w:tcW w:w="1259" w:type="pct"/>
                  <w:tcBorders>
                    <w:bottom w:val="single" w:color="auto" w:sz="8" w:space="0"/>
                  </w:tcBorders>
                  <w:vAlign w:val="center"/>
                </w:tcPr>
                <w:p>
                  <w:pPr>
                    <w:adjustRightInd w:val="0"/>
                    <w:snapToGrid w:val="0"/>
                    <w:jc w:val="center"/>
                    <w:rPr>
                      <w:rFonts w:ascii="Times New Roman" w:hAnsi="Times New Roman" w:eastAsia="宋体"/>
                      <w:b/>
                      <w:bCs/>
                      <w:color w:val="000000" w:themeColor="text1"/>
                      <w:kern w:val="24"/>
                      <w:szCs w:val="21"/>
                    </w:rPr>
                  </w:pPr>
                  <w:r>
                    <w:rPr>
                      <w:rFonts w:ascii="Times New Roman" w:hAnsi="Times New Roman" w:eastAsia="宋体"/>
                      <w:b/>
                      <w:bCs/>
                      <w:color w:val="000000" w:themeColor="text1"/>
                      <w:kern w:val="24"/>
                      <w:szCs w:val="21"/>
                    </w:rPr>
                    <w:t>占地要求</w:t>
                  </w:r>
                </w:p>
              </w:tc>
              <w:tc>
                <w:tcPr>
                  <w:tcW w:w="1259" w:type="pct"/>
                  <w:tcBorders>
                    <w:bottom w:val="single" w:color="auto" w:sz="8" w:space="0"/>
                  </w:tcBorders>
                  <w:vAlign w:val="center"/>
                </w:tcPr>
                <w:p>
                  <w:pPr>
                    <w:adjustRightInd w:val="0"/>
                    <w:snapToGrid w:val="0"/>
                    <w:jc w:val="center"/>
                    <w:rPr>
                      <w:rFonts w:ascii="Times New Roman" w:hAnsi="Times New Roman" w:eastAsia="宋体"/>
                      <w:b/>
                      <w:bCs/>
                      <w:color w:val="000000" w:themeColor="text1"/>
                      <w:kern w:val="24"/>
                      <w:szCs w:val="21"/>
                    </w:rPr>
                  </w:pPr>
                  <w:r>
                    <w:rPr>
                      <w:rFonts w:ascii="Times New Roman" w:hAnsi="Times New Roman" w:eastAsia="宋体"/>
                      <w:b/>
                      <w:bCs/>
                      <w:color w:val="000000" w:themeColor="text1"/>
                      <w:kern w:val="24"/>
                      <w:szCs w:val="21"/>
                    </w:rPr>
                    <w:t>项目情况</w:t>
                  </w:r>
                </w:p>
              </w:tc>
              <w:tc>
                <w:tcPr>
                  <w:tcW w:w="1221" w:type="pct"/>
                  <w:tcBorders>
                    <w:bottom w:val="single" w:color="auto" w:sz="8" w:space="0"/>
                  </w:tcBorders>
                  <w:vAlign w:val="center"/>
                </w:tcPr>
                <w:p>
                  <w:pPr>
                    <w:adjustRightInd w:val="0"/>
                    <w:snapToGrid w:val="0"/>
                    <w:jc w:val="center"/>
                    <w:rPr>
                      <w:rFonts w:ascii="Times New Roman" w:hAnsi="Times New Roman" w:eastAsia="宋体"/>
                      <w:b/>
                      <w:bCs/>
                      <w:color w:val="000000" w:themeColor="text1"/>
                      <w:kern w:val="24"/>
                      <w:szCs w:val="21"/>
                    </w:rPr>
                  </w:pPr>
                  <w:r>
                    <w:rPr>
                      <w:rFonts w:ascii="Times New Roman" w:hAnsi="Times New Roman" w:eastAsia="宋体"/>
                      <w:b/>
                      <w:bCs/>
                      <w:color w:val="000000" w:themeColor="text1"/>
                      <w:kern w:val="24"/>
                      <w:szCs w:val="21"/>
                    </w:rPr>
                    <w:t>符合性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9" w:type="pct"/>
                  <w:tcBorders>
                    <w:top w:val="single" w:color="auto" w:sz="8" w:space="0"/>
                  </w:tcBorders>
                  <w:vAlign w:val="center"/>
                </w:tcPr>
                <w:p>
                  <w:pPr>
                    <w:adjustRightInd w:val="0"/>
                    <w:snapToGrid w:val="0"/>
                    <w:jc w:val="center"/>
                    <w:rPr>
                      <w:rFonts w:ascii="Times New Roman" w:hAnsi="Times New Roman" w:eastAsia="宋体"/>
                      <w:color w:val="000000" w:themeColor="text1"/>
                      <w:kern w:val="24"/>
                      <w:szCs w:val="21"/>
                    </w:rPr>
                  </w:pPr>
                  <w:r>
                    <w:rPr>
                      <w:rFonts w:ascii="Times New Roman" w:hAnsi="Times New Roman" w:eastAsia="宋体"/>
                      <w:color w:val="000000" w:themeColor="text1"/>
                      <w:kern w:val="24"/>
                      <w:szCs w:val="21"/>
                    </w:rPr>
                    <w:t>大型</w:t>
                  </w:r>
                </w:p>
              </w:tc>
              <w:tc>
                <w:tcPr>
                  <w:tcW w:w="1259" w:type="pct"/>
                  <w:tcBorders>
                    <w:top w:val="single" w:color="auto" w:sz="8" w:space="0"/>
                  </w:tcBorders>
                  <w:vAlign w:val="center"/>
                </w:tcPr>
                <w:p>
                  <w:pPr>
                    <w:adjustRightInd w:val="0"/>
                    <w:snapToGrid w:val="0"/>
                    <w:jc w:val="center"/>
                    <w:rPr>
                      <w:rFonts w:ascii="Times New Roman" w:hAnsi="Times New Roman" w:eastAsia="宋体"/>
                      <w:color w:val="000000" w:themeColor="text1"/>
                      <w:kern w:val="24"/>
                      <w:szCs w:val="21"/>
                    </w:rPr>
                  </w:pPr>
                  <w:r>
                    <w:rPr>
                      <w:rFonts w:ascii="Times New Roman" w:hAnsi="Times New Roman" w:eastAsia="宋体"/>
                      <w:color w:val="000000" w:themeColor="text1"/>
                      <w:kern w:val="24"/>
                      <w:szCs w:val="21"/>
                    </w:rPr>
                    <w:t>≥50hm</w:t>
                  </w:r>
                  <w:r>
                    <w:rPr>
                      <w:rFonts w:ascii="Times New Roman" w:hAnsi="Times New Roman" w:eastAsia="宋体"/>
                      <w:color w:val="000000" w:themeColor="text1"/>
                      <w:kern w:val="24"/>
                      <w:szCs w:val="21"/>
                      <w:vertAlign w:val="superscript"/>
                    </w:rPr>
                    <w:t>2</w:t>
                  </w:r>
                </w:p>
              </w:tc>
              <w:tc>
                <w:tcPr>
                  <w:tcW w:w="1259" w:type="pct"/>
                  <w:vMerge w:val="restart"/>
                  <w:tcBorders>
                    <w:top w:val="single" w:color="auto" w:sz="8" w:space="0"/>
                  </w:tcBorders>
                  <w:vAlign w:val="center"/>
                </w:tcPr>
                <w:p>
                  <w:pPr>
                    <w:adjustRightInd w:val="0"/>
                    <w:snapToGrid w:val="0"/>
                    <w:jc w:val="center"/>
                    <w:rPr>
                      <w:rFonts w:ascii="Times New Roman" w:hAnsi="Times New Roman" w:eastAsia="宋体"/>
                      <w:color w:val="000000" w:themeColor="text1"/>
                      <w:kern w:val="24"/>
                      <w:szCs w:val="21"/>
                    </w:rPr>
                  </w:pPr>
                  <w:r>
                    <w:rPr>
                      <w:rFonts w:ascii="Times New Roman" w:hAnsi="Times New Roman" w:eastAsia="宋体"/>
                      <w:color w:val="000000" w:themeColor="text1"/>
                      <w:kern w:val="24"/>
                      <w:szCs w:val="21"/>
                    </w:rPr>
                    <w:t>本项目占地面积为</w:t>
                  </w:r>
                  <w:r>
                    <w:rPr>
                      <w:rFonts w:hint="eastAsia" w:ascii="Times New Roman" w:hAnsi="Times New Roman" w:eastAsia="宋体"/>
                      <w:color w:val="000000" w:themeColor="text1"/>
                      <w:kern w:val="24"/>
                      <w:szCs w:val="21"/>
                    </w:rPr>
                    <w:t>2025</w:t>
                  </w:r>
                  <w:r>
                    <w:rPr>
                      <w:rFonts w:ascii="Times New Roman" w:hAnsi="Times New Roman" w:eastAsia="宋体"/>
                      <w:color w:val="000000" w:themeColor="text1"/>
                      <w:szCs w:val="21"/>
                    </w:rPr>
                    <w:t>m</w:t>
                  </w:r>
                  <w:r>
                    <w:rPr>
                      <w:rFonts w:ascii="Times New Roman" w:hAnsi="Times New Roman" w:eastAsia="宋体"/>
                      <w:color w:val="000000" w:themeColor="text1"/>
                      <w:szCs w:val="21"/>
                      <w:vertAlign w:val="superscript"/>
                    </w:rPr>
                    <w:t>2</w:t>
                  </w:r>
                  <w:r>
                    <w:rPr>
                      <w:rFonts w:ascii="Times New Roman" w:hAnsi="Times New Roman" w:eastAsia="宋体"/>
                      <w:color w:val="000000" w:themeColor="text1"/>
                      <w:szCs w:val="21"/>
                    </w:rPr>
                    <w:t>，属于小型</w:t>
                  </w:r>
                </w:p>
              </w:tc>
              <w:tc>
                <w:tcPr>
                  <w:tcW w:w="1221" w:type="pct"/>
                  <w:tcBorders>
                    <w:top w:val="single" w:color="auto" w:sz="8" w:space="0"/>
                  </w:tcBorders>
                  <w:vAlign w:val="center"/>
                </w:tcPr>
                <w:p>
                  <w:pPr>
                    <w:adjustRightInd w:val="0"/>
                    <w:snapToGrid w:val="0"/>
                    <w:jc w:val="center"/>
                    <w:rPr>
                      <w:rFonts w:ascii="Times New Roman" w:hAnsi="Times New Roman" w:eastAsia="宋体"/>
                      <w:color w:val="000000" w:themeColor="text1"/>
                      <w:kern w:val="24"/>
                      <w:szCs w:val="21"/>
                    </w:rPr>
                  </w:pPr>
                  <w:r>
                    <w:rPr>
                      <w:rFonts w:ascii="Times New Roman" w:hAnsi="Times New Roman" w:eastAsia="宋体"/>
                      <w:color w:val="000000" w:themeColor="text1"/>
                      <w:kern w:val="24"/>
                      <w:szCs w:val="21"/>
                    </w:rPr>
                    <w:t>不符合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9" w:type="pct"/>
                  <w:vAlign w:val="center"/>
                </w:tcPr>
                <w:p>
                  <w:pPr>
                    <w:adjustRightInd w:val="0"/>
                    <w:snapToGrid w:val="0"/>
                    <w:jc w:val="center"/>
                    <w:rPr>
                      <w:rFonts w:ascii="Times New Roman" w:hAnsi="Times New Roman" w:eastAsia="宋体"/>
                      <w:color w:val="000000" w:themeColor="text1"/>
                      <w:kern w:val="24"/>
                      <w:szCs w:val="21"/>
                    </w:rPr>
                  </w:pPr>
                  <w:r>
                    <w:rPr>
                      <w:rFonts w:ascii="Times New Roman" w:hAnsi="Times New Roman" w:eastAsia="宋体"/>
                      <w:color w:val="000000" w:themeColor="text1"/>
                      <w:kern w:val="24"/>
                      <w:szCs w:val="21"/>
                    </w:rPr>
                    <w:t>中型</w:t>
                  </w:r>
                </w:p>
              </w:tc>
              <w:tc>
                <w:tcPr>
                  <w:tcW w:w="1259" w:type="pct"/>
                  <w:vAlign w:val="center"/>
                </w:tcPr>
                <w:p>
                  <w:pPr>
                    <w:adjustRightInd w:val="0"/>
                    <w:snapToGrid w:val="0"/>
                    <w:jc w:val="center"/>
                    <w:rPr>
                      <w:rFonts w:ascii="Times New Roman" w:hAnsi="Times New Roman" w:eastAsia="宋体"/>
                      <w:color w:val="000000" w:themeColor="text1"/>
                      <w:kern w:val="24"/>
                      <w:szCs w:val="21"/>
                    </w:rPr>
                  </w:pPr>
                  <w:r>
                    <w:rPr>
                      <w:rFonts w:ascii="Times New Roman" w:hAnsi="Times New Roman" w:eastAsia="宋体"/>
                      <w:color w:val="000000" w:themeColor="text1"/>
                      <w:kern w:val="24"/>
                      <w:szCs w:val="21"/>
                    </w:rPr>
                    <w:t>5~50hm</w:t>
                  </w:r>
                  <w:r>
                    <w:rPr>
                      <w:rFonts w:ascii="Times New Roman" w:hAnsi="Times New Roman" w:eastAsia="宋体"/>
                      <w:color w:val="000000" w:themeColor="text1"/>
                      <w:kern w:val="24"/>
                      <w:szCs w:val="21"/>
                      <w:vertAlign w:val="superscript"/>
                    </w:rPr>
                    <w:t>2</w:t>
                  </w:r>
                </w:p>
              </w:tc>
              <w:tc>
                <w:tcPr>
                  <w:tcW w:w="1259" w:type="pct"/>
                  <w:vMerge w:val="continue"/>
                  <w:vAlign w:val="center"/>
                </w:tcPr>
                <w:p>
                  <w:pPr>
                    <w:widowControl/>
                    <w:jc w:val="left"/>
                    <w:rPr>
                      <w:rFonts w:ascii="Times New Roman" w:hAnsi="Times New Roman" w:eastAsia="宋体"/>
                      <w:color w:val="000000" w:themeColor="text1"/>
                      <w:kern w:val="24"/>
                      <w:szCs w:val="21"/>
                    </w:rPr>
                  </w:pPr>
                </w:p>
              </w:tc>
              <w:tc>
                <w:tcPr>
                  <w:tcW w:w="1221"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kern w:val="24"/>
                      <w:szCs w:val="21"/>
                    </w:rPr>
                    <w:t>不符合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9" w:type="pct"/>
                  <w:vAlign w:val="center"/>
                </w:tcPr>
                <w:p>
                  <w:pPr>
                    <w:adjustRightInd w:val="0"/>
                    <w:snapToGrid w:val="0"/>
                    <w:jc w:val="center"/>
                    <w:rPr>
                      <w:rFonts w:ascii="Times New Roman" w:hAnsi="Times New Roman" w:eastAsia="宋体"/>
                      <w:color w:val="000000" w:themeColor="text1"/>
                      <w:kern w:val="24"/>
                      <w:szCs w:val="21"/>
                    </w:rPr>
                  </w:pPr>
                  <w:r>
                    <w:rPr>
                      <w:rFonts w:ascii="Times New Roman" w:hAnsi="Times New Roman" w:eastAsia="宋体"/>
                      <w:color w:val="000000" w:themeColor="text1"/>
                      <w:kern w:val="24"/>
                      <w:szCs w:val="21"/>
                    </w:rPr>
                    <w:t>小型</w:t>
                  </w:r>
                </w:p>
              </w:tc>
              <w:tc>
                <w:tcPr>
                  <w:tcW w:w="1259" w:type="pct"/>
                  <w:vAlign w:val="center"/>
                </w:tcPr>
                <w:p>
                  <w:pPr>
                    <w:adjustRightInd w:val="0"/>
                    <w:snapToGrid w:val="0"/>
                    <w:jc w:val="center"/>
                    <w:rPr>
                      <w:rFonts w:ascii="Times New Roman" w:hAnsi="Times New Roman" w:eastAsia="宋体"/>
                      <w:color w:val="000000" w:themeColor="text1"/>
                      <w:kern w:val="24"/>
                      <w:szCs w:val="21"/>
                    </w:rPr>
                  </w:pPr>
                  <w:r>
                    <w:rPr>
                      <w:rFonts w:ascii="Times New Roman" w:hAnsi="Times New Roman" w:eastAsia="宋体"/>
                      <w:color w:val="000000" w:themeColor="text1"/>
                      <w:kern w:val="24"/>
                      <w:szCs w:val="21"/>
                    </w:rPr>
                    <w:t>≤5hm</w:t>
                  </w:r>
                  <w:r>
                    <w:rPr>
                      <w:rFonts w:ascii="Times New Roman" w:hAnsi="Times New Roman" w:eastAsia="宋体"/>
                      <w:color w:val="000000" w:themeColor="text1"/>
                      <w:kern w:val="24"/>
                      <w:szCs w:val="21"/>
                      <w:vertAlign w:val="superscript"/>
                    </w:rPr>
                    <w:t>2</w:t>
                  </w:r>
                </w:p>
              </w:tc>
              <w:tc>
                <w:tcPr>
                  <w:tcW w:w="1259" w:type="pct"/>
                  <w:vMerge w:val="continue"/>
                  <w:vAlign w:val="center"/>
                </w:tcPr>
                <w:p>
                  <w:pPr>
                    <w:widowControl/>
                    <w:jc w:val="left"/>
                    <w:rPr>
                      <w:rFonts w:ascii="Times New Roman" w:hAnsi="Times New Roman" w:eastAsia="宋体"/>
                      <w:color w:val="000000" w:themeColor="text1"/>
                      <w:kern w:val="24"/>
                      <w:szCs w:val="21"/>
                    </w:rPr>
                  </w:pPr>
                </w:p>
              </w:tc>
              <w:tc>
                <w:tcPr>
                  <w:tcW w:w="1221"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kern w:val="24"/>
                      <w:szCs w:val="21"/>
                    </w:rPr>
                    <w:t>符合</w:t>
                  </w:r>
                </w:p>
              </w:tc>
            </w:tr>
          </w:tbl>
          <w:p>
            <w:pPr>
              <w:adjustRightInd w:val="0"/>
              <w:snapToGrid w:val="0"/>
              <w:spacing w:line="440" w:lineRule="exact"/>
              <w:ind w:firstLine="480" w:firstLineChars="200"/>
              <w:rPr>
                <w:rFonts w:ascii="Times New Roman" w:hAnsi="Times New Roman" w:eastAsia="宋体"/>
                <w:color w:val="000000" w:themeColor="text1"/>
                <w:kern w:val="24"/>
                <w:sz w:val="24"/>
                <w:szCs w:val="22"/>
              </w:rPr>
            </w:pPr>
            <w:r>
              <w:rPr>
                <w:rFonts w:ascii="Times New Roman" w:hAnsi="Times New Roman" w:eastAsia="宋体"/>
                <w:color w:val="000000" w:themeColor="text1"/>
                <w:kern w:val="24"/>
                <w:sz w:val="24"/>
              </w:rPr>
              <w:fldChar w:fldCharType="begin"/>
            </w:r>
            <w:r>
              <w:rPr>
                <w:rFonts w:ascii="Times New Roman" w:hAnsi="Times New Roman" w:eastAsia="宋体"/>
                <w:color w:val="000000" w:themeColor="text1"/>
                <w:kern w:val="24"/>
                <w:sz w:val="24"/>
              </w:rPr>
              <w:instrText xml:space="preserve"> </w:instrText>
            </w:r>
            <w:r>
              <w:rPr>
                <w:rFonts w:hint="eastAsia" w:ascii="Times New Roman" w:hAnsi="Times New Roman" w:eastAsia="宋体"/>
                <w:color w:val="000000" w:themeColor="text1"/>
                <w:kern w:val="24"/>
                <w:sz w:val="24"/>
              </w:rPr>
              <w:instrText xml:space="preserve">= 3 \* GB3</w:instrText>
            </w:r>
            <w:r>
              <w:rPr>
                <w:rFonts w:ascii="Times New Roman" w:hAnsi="Times New Roman" w:eastAsia="宋体"/>
                <w:color w:val="000000" w:themeColor="text1"/>
                <w:kern w:val="24"/>
                <w:sz w:val="24"/>
              </w:rPr>
              <w:instrText xml:space="preserve"> </w:instrText>
            </w:r>
            <w:r>
              <w:rPr>
                <w:rFonts w:ascii="Times New Roman" w:hAnsi="Times New Roman" w:eastAsia="宋体"/>
                <w:color w:val="000000" w:themeColor="text1"/>
                <w:kern w:val="24"/>
                <w:sz w:val="24"/>
              </w:rPr>
              <w:fldChar w:fldCharType="separate"/>
            </w:r>
            <w:r>
              <w:rPr>
                <w:rFonts w:hint="eastAsia" w:ascii="Times New Roman" w:hAnsi="Times New Roman" w:eastAsia="宋体"/>
                <w:color w:val="000000" w:themeColor="text1"/>
                <w:kern w:val="24"/>
                <w:sz w:val="24"/>
              </w:rPr>
              <w:t>③</w:t>
            </w:r>
            <w:r>
              <w:rPr>
                <w:rFonts w:ascii="Times New Roman" w:hAnsi="Times New Roman" w:eastAsia="宋体"/>
                <w:color w:val="000000" w:themeColor="text1"/>
                <w:kern w:val="24"/>
                <w:sz w:val="24"/>
              </w:rPr>
              <w:fldChar w:fldCharType="end"/>
            </w:r>
            <w:r>
              <w:rPr>
                <w:rFonts w:ascii="Times New Roman" w:hAnsi="Times New Roman" w:eastAsia="宋体"/>
                <w:color w:val="000000" w:themeColor="text1"/>
                <w:kern w:val="24"/>
                <w:sz w:val="24"/>
              </w:rPr>
              <w:t>土壤环境敏感程度</w:t>
            </w:r>
          </w:p>
          <w:p>
            <w:pPr>
              <w:keepNext/>
              <w:spacing w:line="440" w:lineRule="exact"/>
              <w:jc w:val="center"/>
              <w:rPr>
                <w:rFonts w:ascii="Times New Roman" w:hAnsi="Times New Roman" w:eastAsia="宋体"/>
                <w:b/>
                <w:bCs/>
                <w:snapToGrid w:val="0"/>
                <w:color w:val="000000" w:themeColor="text1"/>
                <w:kern w:val="0"/>
                <w:sz w:val="24"/>
              </w:rPr>
            </w:pPr>
            <w:r>
              <w:rPr>
                <w:rFonts w:ascii="Times New Roman" w:hAnsi="Times New Roman" w:eastAsia="宋体"/>
                <w:b/>
                <w:bCs/>
                <w:snapToGrid w:val="0"/>
                <w:color w:val="000000" w:themeColor="text1"/>
                <w:kern w:val="0"/>
                <w:sz w:val="24"/>
              </w:rPr>
              <w:t>表5</w:t>
            </w:r>
            <w:r>
              <w:rPr>
                <w:rFonts w:hint="eastAsia" w:ascii="Times New Roman" w:hAnsi="Times New Roman" w:eastAsia="宋体"/>
                <w:b/>
                <w:bCs/>
                <w:snapToGrid w:val="0"/>
                <w:color w:val="000000" w:themeColor="text1"/>
                <w:kern w:val="0"/>
                <w:sz w:val="24"/>
              </w:rPr>
              <w:t xml:space="preserve">0    </w:t>
            </w:r>
            <w:r>
              <w:rPr>
                <w:rFonts w:ascii="Times New Roman" w:hAnsi="Times New Roman" w:eastAsia="宋体"/>
                <w:b/>
                <w:bCs/>
                <w:snapToGrid w:val="0"/>
                <w:color w:val="000000" w:themeColor="text1"/>
                <w:kern w:val="0"/>
                <w:sz w:val="24"/>
              </w:rPr>
              <w:t>污染影响型敏感程度分级表</w:t>
            </w:r>
          </w:p>
          <w:tbl>
            <w:tblPr>
              <w:tblStyle w:val="24"/>
              <w:tblW w:w="9072"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1"/>
              <w:gridCol w:w="4292"/>
              <w:gridCol w:w="2871"/>
              <w:gridCol w:w="998"/>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2" w:type="pct"/>
                  <w:tcBorders>
                    <w:bottom w:val="single" w:color="auto" w:sz="8" w:space="0"/>
                  </w:tcBorders>
                  <w:vAlign w:val="center"/>
                </w:tcPr>
                <w:p>
                  <w:pPr>
                    <w:adjustRightInd w:val="0"/>
                    <w:snapToGrid w:val="0"/>
                    <w:jc w:val="center"/>
                    <w:rPr>
                      <w:rFonts w:ascii="Times New Roman" w:hAnsi="Times New Roman" w:eastAsia="宋体"/>
                      <w:b/>
                      <w:bCs/>
                      <w:color w:val="000000" w:themeColor="text1"/>
                      <w:kern w:val="24"/>
                      <w:szCs w:val="21"/>
                    </w:rPr>
                  </w:pPr>
                  <w:r>
                    <w:rPr>
                      <w:rFonts w:ascii="Times New Roman" w:hAnsi="Times New Roman" w:eastAsia="宋体"/>
                      <w:b/>
                      <w:bCs/>
                      <w:color w:val="000000" w:themeColor="text1"/>
                      <w:kern w:val="24"/>
                      <w:szCs w:val="21"/>
                    </w:rPr>
                    <w:t>类别</w:t>
                  </w:r>
                </w:p>
              </w:tc>
              <w:tc>
                <w:tcPr>
                  <w:tcW w:w="2365" w:type="pct"/>
                  <w:tcBorders>
                    <w:bottom w:val="single" w:color="auto" w:sz="8" w:space="0"/>
                  </w:tcBorders>
                  <w:vAlign w:val="center"/>
                </w:tcPr>
                <w:p>
                  <w:pPr>
                    <w:adjustRightInd w:val="0"/>
                    <w:snapToGrid w:val="0"/>
                    <w:jc w:val="center"/>
                    <w:rPr>
                      <w:rFonts w:ascii="Times New Roman" w:hAnsi="Times New Roman" w:eastAsia="宋体"/>
                      <w:b/>
                      <w:bCs/>
                      <w:color w:val="000000" w:themeColor="text1"/>
                      <w:kern w:val="24"/>
                      <w:szCs w:val="21"/>
                    </w:rPr>
                  </w:pPr>
                  <w:r>
                    <w:rPr>
                      <w:rFonts w:ascii="Times New Roman" w:hAnsi="Times New Roman" w:eastAsia="宋体"/>
                      <w:b/>
                      <w:bCs/>
                      <w:color w:val="000000" w:themeColor="text1"/>
                      <w:kern w:val="24"/>
                      <w:szCs w:val="21"/>
                    </w:rPr>
                    <w:t>判别依据</w:t>
                  </w:r>
                </w:p>
              </w:tc>
              <w:tc>
                <w:tcPr>
                  <w:tcW w:w="1582" w:type="pct"/>
                  <w:tcBorders>
                    <w:bottom w:val="single" w:color="auto" w:sz="8" w:space="0"/>
                  </w:tcBorders>
                  <w:vAlign w:val="center"/>
                </w:tcPr>
                <w:p>
                  <w:pPr>
                    <w:adjustRightInd w:val="0"/>
                    <w:snapToGrid w:val="0"/>
                    <w:jc w:val="center"/>
                    <w:rPr>
                      <w:rFonts w:ascii="Times New Roman" w:hAnsi="Times New Roman" w:eastAsia="宋体"/>
                      <w:b/>
                      <w:bCs/>
                      <w:color w:val="000000" w:themeColor="text1"/>
                      <w:kern w:val="24"/>
                      <w:szCs w:val="21"/>
                    </w:rPr>
                  </w:pPr>
                  <w:r>
                    <w:rPr>
                      <w:rFonts w:ascii="Times New Roman" w:hAnsi="Times New Roman" w:eastAsia="宋体"/>
                      <w:b/>
                      <w:bCs/>
                      <w:color w:val="000000" w:themeColor="text1"/>
                      <w:kern w:val="24"/>
                      <w:szCs w:val="21"/>
                    </w:rPr>
                    <w:t>项目情况</w:t>
                  </w:r>
                </w:p>
              </w:tc>
              <w:tc>
                <w:tcPr>
                  <w:tcW w:w="550" w:type="pct"/>
                  <w:tcBorders>
                    <w:bottom w:val="single" w:color="auto" w:sz="8" w:space="0"/>
                  </w:tcBorders>
                  <w:vAlign w:val="center"/>
                </w:tcPr>
                <w:p>
                  <w:pPr>
                    <w:adjustRightInd w:val="0"/>
                    <w:snapToGrid w:val="0"/>
                    <w:jc w:val="center"/>
                    <w:rPr>
                      <w:rFonts w:ascii="Times New Roman" w:hAnsi="Times New Roman" w:eastAsia="宋体"/>
                      <w:b/>
                      <w:bCs/>
                      <w:color w:val="000000" w:themeColor="text1"/>
                      <w:kern w:val="24"/>
                      <w:szCs w:val="21"/>
                    </w:rPr>
                  </w:pPr>
                  <w:r>
                    <w:rPr>
                      <w:rFonts w:ascii="Times New Roman" w:hAnsi="Times New Roman" w:eastAsia="宋体"/>
                      <w:b/>
                      <w:bCs/>
                      <w:color w:val="000000" w:themeColor="text1"/>
                      <w:kern w:val="24"/>
                      <w:szCs w:val="21"/>
                    </w:rPr>
                    <w:t>符合性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2" w:type="pct"/>
                  <w:tcBorders>
                    <w:top w:val="single" w:color="auto" w:sz="8" w:space="0"/>
                  </w:tcBorders>
                  <w:vAlign w:val="center"/>
                </w:tcPr>
                <w:p>
                  <w:pPr>
                    <w:adjustRightInd w:val="0"/>
                    <w:snapToGrid w:val="0"/>
                    <w:jc w:val="center"/>
                    <w:rPr>
                      <w:rFonts w:ascii="Times New Roman" w:hAnsi="Times New Roman" w:eastAsia="宋体"/>
                      <w:color w:val="000000" w:themeColor="text1"/>
                      <w:kern w:val="24"/>
                      <w:szCs w:val="21"/>
                    </w:rPr>
                  </w:pPr>
                  <w:r>
                    <w:rPr>
                      <w:rFonts w:ascii="Times New Roman" w:hAnsi="Times New Roman" w:eastAsia="宋体"/>
                      <w:color w:val="000000" w:themeColor="text1"/>
                      <w:kern w:val="24"/>
                      <w:szCs w:val="21"/>
                    </w:rPr>
                    <w:t>敏感</w:t>
                  </w:r>
                </w:p>
              </w:tc>
              <w:tc>
                <w:tcPr>
                  <w:tcW w:w="2365" w:type="pct"/>
                  <w:tcBorders>
                    <w:top w:val="single" w:color="auto" w:sz="8" w:space="0"/>
                  </w:tcBorders>
                  <w:vAlign w:val="center"/>
                </w:tcPr>
                <w:p>
                  <w:pPr>
                    <w:adjustRightInd w:val="0"/>
                    <w:snapToGrid w:val="0"/>
                    <w:jc w:val="center"/>
                    <w:rPr>
                      <w:rFonts w:ascii="Times New Roman" w:hAnsi="Times New Roman" w:eastAsia="宋体"/>
                      <w:color w:val="000000" w:themeColor="text1"/>
                      <w:kern w:val="24"/>
                      <w:szCs w:val="21"/>
                    </w:rPr>
                  </w:pPr>
                  <w:r>
                    <w:rPr>
                      <w:rFonts w:ascii="Times New Roman" w:hAnsi="Times New Roman" w:eastAsia="宋体"/>
                      <w:color w:val="000000" w:themeColor="text1"/>
                      <w:kern w:val="24"/>
                      <w:szCs w:val="21"/>
                    </w:rPr>
                    <w:t>建设项目周边存在耕地、园地、牧草地、饮用水水源地或居民区、学校、医院、疗养院等土壤环境敏感目标的</w:t>
                  </w:r>
                </w:p>
              </w:tc>
              <w:tc>
                <w:tcPr>
                  <w:tcW w:w="1582" w:type="pct"/>
                  <w:vMerge w:val="restart"/>
                  <w:tcBorders>
                    <w:top w:val="single" w:color="auto" w:sz="8" w:space="0"/>
                  </w:tcBorders>
                  <w:vAlign w:val="center"/>
                </w:tcPr>
                <w:p>
                  <w:pPr>
                    <w:adjustRightInd w:val="0"/>
                    <w:snapToGrid w:val="0"/>
                    <w:jc w:val="center"/>
                    <w:rPr>
                      <w:rFonts w:ascii="Times New Roman" w:hAnsi="Times New Roman" w:eastAsia="宋体"/>
                      <w:color w:val="000000" w:themeColor="text1"/>
                      <w:kern w:val="24"/>
                      <w:szCs w:val="21"/>
                    </w:rPr>
                  </w:pPr>
                  <w:r>
                    <w:rPr>
                      <w:rFonts w:hint="eastAsia" w:ascii="Times New Roman" w:eastAsia="宋体"/>
                      <w:color w:val="000000" w:themeColor="text1"/>
                      <w:szCs w:val="21"/>
                    </w:rPr>
                    <w:t>项目位于</w:t>
                  </w:r>
                  <w:r>
                    <w:rPr>
                      <w:rFonts w:ascii="Times New Roman" w:hAnsi="Times New Roman" w:eastAsia="宋体"/>
                      <w:bCs/>
                      <w:color w:val="000000" w:themeColor="text1"/>
                      <w:szCs w:val="21"/>
                    </w:rPr>
                    <w:t>新乡市新乡县七里营镇</w:t>
                  </w:r>
                  <w:r>
                    <w:rPr>
                      <w:rFonts w:hint="eastAsia" w:ascii="Times New Roman" w:hAnsi="Times New Roman" w:eastAsia="宋体"/>
                      <w:bCs/>
                      <w:color w:val="000000" w:themeColor="text1"/>
                      <w:szCs w:val="21"/>
                    </w:rPr>
                    <w:t>107国道与胡韦线交叉口中原兴业产业园</w:t>
                  </w:r>
                  <w:r>
                    <w:rPr>
                      <w:rFonts w:hint="eastAsia" w:ascii="Times New Roman" w:eastAsia="宋体"/>
                      <w:color w:val="000000" w:themeColor="text1"/>
                      <w:szCs w:val="21"/>
                    </w:rPr>
                    <w:t>，属于</w:t>
                  </w:r>
                  <w:r>
                    <w:rPr>
                      <w:rFonts w:hint="eastAsia" w:ascii="Times New Roman" w:hAnsi="Times New Roman" w:eastAsia="宋体"/>
                      <w:color w:val="000000" w:themeColor="text1"/>
                      <w:szCs w:val="21"/>
                    </w:rPr>
                    <w:t>新乡经济技术产业集聚区，项目周围全部为工业用地，</w:t>
                  </w:r>
                  <w:r>
                    <w:rPr>
                      <w:rFonts w:ascii="Times New Roman" w:hAnsi="Times New Roman" w:eastAsia="宋体"/>
                      <w:bCs/>
                      <w:color w:val="000000" w:themeColor="text1"/>
                      <w:szCs w:val="21"/>
                    </w:rPr>
                    <w:t>故本项目属于</w:t>
                  </w:r>
                  <w:r>
                    <w:rPr>
                      <w:rFonts w:hint="eastAsia" w:ascii="Times New Roman" w:hAnsi="Times New Roman" w:eastAsia="宋体"/>
                      <w:bCs/>
                      <w:color w:val="000000" w:themeColor="text1"/>
                      <w:szCs w:val="21"/>
                    </w:rPr>
                    <w:t>不</w:t>
                  </w:r>
                  <w:r>
                    <w:rPr>
                      <w:rFonts w:ascii="Times New Roman" w:hAnsi="Times New Roman" w:eastAsia="宋体"/>
                      <w:bCs/>
                      <w:color w:val="000000" w:themeColor="text1"/>
                      <w:szCs w:val="21"/>
                    </w:rPr>
                    <w:t>敏感</w:t>
                  </w:r>
                </w:p>
              </w:tc>
              <w:tc>
                <w:tcPr>
                  <w:tcW w:w="550" w:type="pct"/>
                  <w:tcBorders>
                    <w:top w:val="single" w:color="auto" w:sz="8" w:space="0"/>
                  </w:tcBorders>
                  <w:vAlign w:val="center"/>
                </w:tcPr>
                <w:p>
                  <w:pPr>
                    <w:adjustRightInd w:val="0"/>
                    <w:snapToGrid w:val="0"/>
                    <w:jc w:val="center"/>
                    <w:rPr>
                      <w:rFonts w:ascii="Times New Roman" w:hAnsi="Times New Roman" w:eastAsia="宋体"/>
                      <w:color w:val="000000" w:themeColor="text1"/>
                      <w:kern w:val="24"/>
                      <w:szCs w:val="21"/>
                    </w:rPr>
                  </w:pPr>
                  <w:r>
                    <w:rPr>
                      <w:rFonts w:hint="eastAsia" w:ascii="Times New Roman" w:hAnsi="Times New Roman" w:eastAsia="宋体"/>
                      <w:color w:val="000000" w:themeColor="text1"/>
                      <w:kern w:val="24"/>
                      <w:szCs w:val="21"/>
                    </w:rPr>
                    <w:t>不</w:t>
                  </w:r>
                  <w:r>
                    <w:rPr>
                      <w:rFonts w:ascii="Times New Roman" w:hAnsi="Times New Roman" w:eastAsia="宋体"/>
                      <w:color w:val="000000" w:themeColor="text1"/>
                      <w:kern w:val="24"/>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2" w:type="pct"/>
                  <w:vAlign w:val="center"/>
                </w:tcPr>
                <w:p>
                  <w:pPr>
                    <w:adjustRightInd w:val="0"/>
                    <w:snapToGrid w:val="0"/>
                    <w:jc w:val="center"/>
                    <w:rPr>
                      <w:rFonts w:ascii="Times New Roman" w:hAnsi="Times New Roman" w:eastAsia="宋体"/>
                      <w:color w:val="000000" w:themeColor="text1"/>
                      <w:kern w:val="24"/>
                      <w:szCs w:val="21"/>
                    </w:rPr>
                  </w:pPr>
                  <w:r>
                    <w:rPr>
                      <w:rFonts w:ascii="Times New Roman" w:hAnsi="Times New Roman" w:eastAsia="宋体"/>
                      <w:color w:val="000000" w:themeColor="text1"/>
                      <w:kern w:val="24"/>
                      <w:szCs w:val="21"/>
                    </w:rPr>
                    <w:t>较敏感</w:t>
                  </w:r>
                </w:p>
              </w:tc>
              <w:tc>
                <w:tcPr>
                  <w:tcW w:w="2365" w:type="pct"/>
                  <w:vAlign w:val="center"/>
                </w:tcPr>
                <w:p>
                  <w:pPr>
                    <w:adjustRightInd w:val="0"/>
                    <w:snapToGrid w:val="0"/>
                    <w:jc w:val="center"/>
                    <w:rPr>
                      <w:rFonts w:ascii="Times New Roman" w:hAnsi="Times New Roman" w:eastAsia="宋体"/>
                      <w:color w:val="000000" w:themeColor="text1"/>
                      <w:kern w:val="24"/>
                      <w:szCs w:val="21"/>
                    </w:rPr>
                  </w:pPr>
                  <w:r>
                    <w:rPr>
                      <w:rFonts w:ascii="Times New Roman" w:hAnsi="Times New Roman" w:eastAsia="宋体"/>
                      <w:color w:val="000000" w:themeColor="text1"/>
                      <w:kern w:val="24"/>
                      <w:szCs w:val="21"/>
                    </w:rPr>
                    <w:t>建设项目周边存在其他土壤环境敏感目标的</w:t>
                  </w:r>
                </w:p>
              </w:tc>
              <w:tc>
                <w:tcPr>
                  <w:tcW w:w="1582" w:type="pct"/>
                  <w:vMerge w:val="continue"/>
                  <w:vAlign w:val="center"/>
                </w:tcPr>
                <w:p>
                  <w:pPr>
                    <w:widowControl/>
                    <w:jc w:val="left"/>
                    <w:rPr>
                      <w:rFonts w:ascii="Times New Roman" w:hAnsi="Times New Roman" w:eastAsia="宋体"/>
                      <w:color w:val="000000" w:themeColor="text1"/>
                      <w:kern w:val="24"/>
                      <w:szCs w:val="21"/>
                    </w:rPr>
                  </w:pPr>
                </w:p>
              </w:tc>
              <w:tc>
                <w:tcPr>
                  <w:tcW w:w="550"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kern w:val="24"/>
                      <w:szCs w:val="21"/>
                    </w:rPr>
                    <w:t>不符合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2" w:type="pct"/>
                  <w:vAlign w:val="center"/>
                </w:tcPr>
                <w:p>
                  <w:pPr>
                    <w:adjustRightInd w:val="0"/>
                    <w:snapToGrid w:val="0"/>
                    <w:jc w:val="center"/>
                    <w:rPr>
                      <w:rFonts w:ascii="Times New Roman" w:hAnsi="Times New Roman" w:eastAsia="宋体"/>
                      <w:color w:val="000000" w:themeColor="text1"/>
                      <w:kern w:val="24"/>
                      <w:szCs w:val="21"/>
                    </w:rPr>
                  </w:pPr>
                  <w:r>
                    <w:rPr>
                      <w:rFonts w:ascii="Times New Roman" w:hAnsi="Times New Roman" w:eastAsia="宋体"/>
                      <w:color w:val="000000" w:themeColor="text1"/>
                      <w:kern w:val="24"/>
                      <w:szCs w:val="21"/>
                    </w:rPr>
                    <w:t>不敏感</w:t>
                  </w:r>
                </w:p>
              </w:tc>
              <w:tc>
                <w:tcPr>
                  <w:tcW w:w="2365" w:type="pct"/>
                  <w:vAlign w:val="center"/>
                </w:tcPr>
                <w:p>
                  <w:pPr>
                    <w:adjustRightInd w:val="0"/>
                    <w:snapToGrid w:val="0"/>
                    <w:jc w:val="center"/>
                    <w:rPr>
                      <w:rFonts w:ascii="Times New Roman" w:hAnsi="Times New Roman" w:eastAsia="宋体"/>
                      <w:color w:val="000000" w:themeColor="text1"/>
                      <w:kern w:val="24"/>
                      <w:szCs w:val="21"/>
                    </w:rPr>
                  </w:pPr>
                  <w:r>
                    <w:rPr>
                      <w:rFonts w:ascii="Times New Roman" w:hAnsi="Times New Roman" w:eastAsia="宋体"/>
                      <w:color w:val="000000" w:themeColor="text1"/>
                      <w:kern w:val="24"/>
                      <w:szCs w:val="21"/>
                    </w:rPr>
                    <w:t>其他情况</w:t>
                  </w:r>
                </w:p>
              </w:tc>
              <w:tc>
                <w:tcPr>
                  <w:tcW w:w="1582" w:type="pct"/>
                  <w:vMerge w:val="continue"/>
                  <w:vAlign w:val="center"/>
                </w:tcPr>
                <w:p>
                  <w:pPr>
                    <w:widowControl/>
                    <w:jc w:val="left"/>
                    <w:rPr>
                      <w:rFonts w:ascii="Times New Roman" w:hAnsi="Times New Roman" w:eastAsia="宋体"/>
                      <w:color w:val="000000" w:themeColor="text1"/>
                      <w:kern w:val="24"/>
                      <w:szCs w:val="21"/>
                    </w:rPr>
                  </w:pPr>
                </w:p>
              </w:tc>
              <w:tc>
                <w:tcPr>
                  <w:tcW w:w="550"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kern w:val="24"/>
                      <w:szCs w:val="21"/>
                    </w:rPr>
                    <w:t>符合</w:t>
                  </w:r>
                </w:p>
              </w:tc>
            </w:tr>
          </w:tbl>
          <w:p>
            <w:pPr>
              <w:adjustRightInd w:val="0"/>
              <w:snapToGrid w:val="0"/>
              <w:spacing w:line="440" w:lineRule="exact"/>
              <w:ind w:firstLine="480" w:firstLineChars="200"/>
              <w:rPr>
                <w:rFonts w:ascii="Times New Roman" w:hAnsi="Times New Roman" w:eastAsia="宋体"/>
                <w:color w:val="000000" w:themeColor="text1"/>
                <w:kern w:val="24"/>
                <w:sz w:val="24"/>
                <w:szCs w:val="22"/>
              </w:rPr>
            </w:pPr>
            <w:r>
              <w:rPr>
                <w:rFonts w:ascii="Times New Roman" w:hAnsi="Times New Roman" w:eastAsia="宋体"/>
                <w:color w:val="000000" w:themeColor="text1"/>
                <w:kern w:val="24"/>
                <w:sz w:val="24"/>
              </w:rPr>
              <w:fldChar w:fldCharType="begin"/>
            </w:r>
            <w:r>
              <w:rPr>
                <w:rFonts w:ascii="Times New Roman" w:hAnsi="Times New Roman" w:eastAsia="宋体"/>
                <w:color w:val="000000" w:themeColor="text1"/>
                <w:kern w:val="24"/>
                <w:sz w:val="24"/>
              </w:rPr>
              <w:instrText xml:space="preserve"> </w:instrText>
            </w:r>
            <w:r>
              <w:rPr>
                <w:rFonts w:hint="eastAsia" w:ascii="Times New Roman" w:hAnsi="Times New Roman" w:eastAsia="宋体"/>
                <w:color w:val="000000" w:themeColor="text1"/>
                <w:kern w:val="24"/>
                <w:sz w:val="24"/>
              </w:rPr>
              <w:instrText xml:space="preserve">= 4 \* GB3</w:instrText>
            </w:r>
            <w:r>
              <w:rPr>
                <w:rFonts w:ascii="Times New Roman" w:hAnsi="Times New Roman" w:eastAsia="宋体"/>
                <w:color w:val="000000" w:themeColor="text1"/>
                <w:kern w:val="24"/>
                <w:sz w:val="24"/>
              </w:rPr>
              <w:instrText xml:space="preserve"> </w:instrText>
            </w:r>
            <w:r>
              <w:rPr>
                <w:rFonts w:ascii="Times New Roman" w:hAnsi="Times New Roman" w:eastAsia="宋体"/>
                <w:color w:val="000000" w:themeColor="text1"/>
                <w:kern w:val="24"/>
                <w:sz w:val="24"/>
              </w:rPr>
              <w:fldChar w:fldCharType="separate"/>
            </w:r>
            <w:r>
              <w:rPr>
                <w:rFonts w:hint="eastAsia" w:ascii="Times New Roman" w:hAnsi="Times New Roman" w:eastAsia="宋体"/>
                <w:color w:val="000000" w:themeColor="text1"/>
                <w:kern w:val="24"/>
                <w:sz w:val="24"/>
              </w:rPr>
              <w:t>④</w:t>
            </w:r>
            <w:r>
              <w:rPr>
                <w:rFonts w:ascii="Times New Roman" w:hAnsi="Times New Roman" w:eastAsia="宋体"/>
                <w:color w:val="000000" w:themeColor="text1"/>
                <w:kern w:val="24"/>
                <w:sz w:val="24"/>
              </w:rPr>
              <w:fldChar w:fldCharType="end"/>
            </w:r>
            <w:r>
              <w:rPr>
                <w:rFonts w:ascii="Times New Roman" w:hAnsi="Times New Roman" w:eastAsia="宋体"/>
                <w:color w:val="000000" w:themeColor="text1"/>
                <w:kern w:val="24"/>
                <w:sz w:val="24"/>
              </w:rPr>
              <w:t>评价工作等级</w:t>
            </w:r>
          </w:p>
          <w:p>
            <w:pPr>
              <w:spacing w:line="440" w:lineRule="exact"/>
              <w:ind w:firstLine="480" w:firstLineChars="200"/>
              <w:rPr>
                <w:rFonts w:ascii="Times New Roman" w:eastAsia="宋体"/>
                <w:color w:val="000000" w:themeColor="text1"/>
                <w:sz w:val="24"/>
              </w:rPr>
            </w:pPr>
            <w:r>
              <w:rPr>
                <w:rFonts w:hint="eastAsia" w:ascii="Times New Roman" w:eastAsia="宋体"/>
                <w:color w:val="000000" w:themeColor="text1"/>
                <w:sz w:val="24"/>
              </w:rPr>
              <w:t>根据《环境影响评价技术导则土壤环境（试行）》（</w:t>
            </w:r>
            <w:r>
              <w:rPr>
                <w:rFonts w:ascii="Times New Roman" w:hAnsi="Times New Roman" w:eastAsia="宋体"/>
                <w:color w:val="000000" w:themeColor="text1"/>
                <w:sz w:val="24"/>
              </w:rPr>
              <w:t>HJ964-2018</w:t>
            </w:r>
            <w:r>
              <w:rPr>
                <w:rFonts w:hint="eastAsia" w:ascii="Times New Roman" w:eastAsia="宋体"/>
                <w:color w:val="000000" w:themeColor="text1"/>
                <w:sz w:val="24"/>
              </w:rPr>
              <w:t>），本项目属于导则中的污染影响型项目，污染影响型项目土壤环境影响评价等级判定依据见下表</w:t>
            </w:r>
            <w:r>
              <w:rPr>
                <w:rFonts w:hint="eastAsia" w:ascii="Times New Roman" w:hAnsi="Times New Roman" w:eastAsia="宋体"/>
                <w:color w:val="000000" w:themeColor="text1"/>
                <w:sz w:val="24"/>
              </w:rPr>
              <w:t>51</w:t>
            </w:r>
            <w:r>
              <w:rPr>
                <w:rFonts w:hint="eastAsia" w:ascii="Times New Roman" w:eastAsia="宋体"/>
                <w:color w:val="000000" w:themeColor="text1"/>
                <w:sz w:val="24"/>
              </w:rPr>
              <w:t>。</w:t>
            </w:r>
          </w:p>
          <w:p>
            <w:pPr>
              <w:tabs>
                <w:tab w:val="left" w:pos="417"/>
              </w:tabs>
              <w:spacing w:line="440" w:lineRule="exact"/>
              <w:jc w:val="center"/>
              <w:rPr>
                <w:rFonts w:ascii="Times New Roman" w:hAnsi="Times New Roman" w:eastAsia="宋体"/>
                <w:b/>
                <w:color w:val="000000" w:themeColor="text1"/>
                <w:sz w:val="24"/>
              </w:rPr>
            </w:pPr>
            <w:r>
              <w:rPr>
                <w:rFonts w:ascii="Times New Roman" w:hAnsi="Times New Roman" w:eastAsia="宋体"/>
                <w:b/>
                <w:color w:val="000000" w:themeColor="text1"/>
                <w:szCs w:val="21"/>
              </w:rPr>
              <w:pict>
                <v:shape id="_x0000_s1683" o:spid="_x0000_s1683" o:spt="202" type="#_x0000_t202" style="position:absolute;left:0pt;margin-left:72.05pt;margin-top:21.05pt;height:24.45pt;width:59.8pt;z-index:251684864;mso-width-relative:page;mso-height-relative:page;" filled="f" stroked="f" coordsize="21600,21600">
                  <v:path/>
                  <v:fill on="f" focussize="0,0"/>
                  <v:stroke on="f" joinstyle="miter"/>
                  <v:imagedata o:title=""/>
                  <o:lock v:ext="edit"/>
                  <v:textbox>
                    <w:txbxContent>
                      <w:p>
                        <w:pPr>
                          <w:rPr>
                            <w:rFonts w:asciiTheme="minorEastAsia" w:hAnsiTheme="minorEastAsia" w:eastAsiaTheme="minorEastAsia"/>
                            <w:b/>
                          </w:rPr>
                        </w:pPr>
                        <w:r>
                          <w:rPr>
                            <w:rFonts w:asciiTheme="minorEastAsia" w:hAnsiTheme="minorEastAsia" w:eastAsiaTheme="minorEastAsia"/>
                            <w:b/>
                          </w:rPr>
                          <w:t>占地规模</w:t>
                        </w:r>
                      </w:p>
                    </w:txbxContent>
                  </v:textbox>
                </v:shape>
              </w:pict>
            </w:r>
            <w:r>
              <w:rPr>
                <w:rFonts w:hint="eastAsia" w:ascii="Times New Roman" w:eastAsia="宋体"/>
                <w:b/>
                <w:color w:val="000000" w:themeColor="text1"/>
                <w:sz w:val="24"/>
              </w:rPr>
              <w:t>表</w:t>
            </w:r>
            <w:r>
              <w:rPr>
                <w:rFonts w:hint="eastAsia" w:ascii="Times New Roman" w:hAnsi="Times New Roman" w:eastAsia="宋体"/>
                <w:b/>
                <w:color w:val="000000" w:themeColor="text1"/>
                <w:sz w:val="24"/>
              </w:rPr>
              <w:t xml:space="preserve">51    </w:t>
            </w:r>
            <w:r>
              <w:rPr>
                <w:rFonts w:hint="eastAsia" w:ascii="Times New Roman" w:eastAsia="宋体"/>
                <w:b/>
                <w:color w:val="000000" w:themeColor="text1"/>
                <w:sz w:val="24"/>
              </w:rPr>
              <w:t>污染影响型评价工作等级划分表</w:t>
            </w:r>
          </w:p>
          <w:tbl>
            <w:tblPr>
              <w:tblStyle w:val="24"/>
              <w:tblW w:w="9072"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522"/>
              <w:gridCol w:w="730"/>
              <w:gridCol w:w="730"/>
              <w:gridCol w:w="729"/>
              <w:gridCol w:w="730"/>
              <w:gridCol w:w="730"/>
              <w:gridCol w:w="731"/>
              <w:gridCol w:w="730"/>
              <w:gridCol w:w="731"/>
              <w:gridCol w:w="70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448" w:type="dxa"/>
                  <w:vMerge w:val="restart"/>
                  <w:tcBorders>
                    <w:top w:val="single" w:color="000000" w:sz="8" w:space="0"/>
                    <w:left w:val="nil"/>
                    <w:bottom w:val="single" w:color="000000" w:sz="4" w:space="0"/>
                    <w:right w:val="single" w:color="000000" w:sz="4" w:space="0"/>
                  </w:tcBorders>
                  <w:vAlign w:val="center"/>
                </w:tcPr>
                <w:p>
                  <w:pPr>
                    <w:tabs>
                      <w:tab w:val="left" w:pos="417"/>
                    </w:tabs>
                    <w:adjustRightInd w:val="0"/>
                    <w:snapToGrid w:val="0"/>
                    <w:rPr>
                      <w:rFonts w:ascii="Times New Roman" w:hAnsi="Times New Roman" w:eastAsia="宋体"/>
                      <w:color w:val="000000" w:themeColor="text1"/>
                      <w:szCs w:val="21"/>
                    </w:rPr>
                  </w:pPr>
                  <w:r>
                    <w:rPr>
                      <w:rFonts w:ascii="Times New Roman" w:hAnsi="Times New Roman" w:eastAsia="宋体"/>
                      <w:b/>
                      <w:color w:val="000000" w:themeColor="text1"/>
                      <w:sz w:val="28"/>
                    </w:rPr>
                    <w:pict>
                      <v:shape id="_x0000_s1677" o:spid="_x0000_s1677" o:spt="32" type="#_x0000_t32" style="position:absolute;left:0pt;margin-left:55.75pt;margin-top:-1.6pt;height:41.35pt;width:65.9pt;z-index:251682816;mso-width-relative:page;mso-height-relative:page;" o:connectortype="straight" filled="f" coordsize="21600,21600">
                        <v:path arrowok="t"/>
                        <v:fill on="f" focussize="0,0"/>
                        <v:stroke/>
                        <v:imagedata o:title=""/>
                        <o:lock v:ext="edit"/>
                      </v:shape>
                    </w:pict>
                  </w:r>
                  <w:r>
                    <w:rPr>
                      <w:rFonts w:ascii="Times New Roman" w:hAnsi="Times New Roman" w:eastAsia="宋体"/>
                      <w:b/>
                      <w:color w:val="000000" w:themeColor="text1"/>
                      <w:sz w:val="28"/>
                    </w:rPr>
                    <w:pict>
                      <v:shape id="_x0000_s1678" o:spid="_x0000_s1678" o:spt="32" type="#_x0000_t32" style="position:absolute;left:0pt;margin-left:-1.35pt;margin-top:10.5pt;height:28.05pt;width:123pt;z-index:251683840;mso-width-relative:page;mso-height-relative:page;" o:connectortype="straight" filled="f" coordsize="21600,21600">
                        <v:path arrowok="t"/>
                        <v:fill on="f" focussize="0,0"/>
                        <v:stroke/>
                        <v:imagedata o:title=""/>
                        <o:lock v:ext="edit"/>
                      </v:shape>
                    </w:pict>
                  </w:r>
                  <w:r>
                    <w:rPr>
                      <w:rFonts w:hint="eastAsia" w:ascii="Times New Roman" w:eastAsia="宋体"/>
                      <w:b/>
                      <w:color w:val="000000" w:themeColor="text1"/>
                      <w:szCs w:val="21"/>
                    </w:rPr>
                    <w:t>评价工作等级</w:t>
                  </w:r>
                </w:p>
                <w:p>
                  <w:pPr>
                    <w:tabs>
                      <w:tab w:val="left" w:pos="417"/>
                    </w:tabs>
                    <w:adjustRightInd w:val="0"/>
                    <w:snapToGrid w:val="0"/>
                    <w:rPr>
                      <w:rFonts w:ascii="Times New Roman" w:hAnsi="Times New Roman" w:eastAsia="宋体"/>
                      <w:b/>
                      <w:color w:val="000000" w:themeColor="text1"/>
                      <w:szCs w:val="21"/>
                    </w:rPr>
                  </w:pPr>
                  <w:r>
                    <w:rPr>
                      <w:rFonts w:ascii="Times New Roman" w:hAnsi="Times New Roman" w:eastAsia="宋体"/>
                      <w:b/>
                      <w:color w:val="000000" w:themeColor="text1"/>
                      <w:sz w:val="24"/>
                    </w:rPr>
                    <w:pict>
                      <v:shape id="_x0000_s1684" o:spid="_x0000_s1684" o:spt="202" type="#_x0000_t202" style="position:absolute;left:0pt;margin-left:-1.5pt;margin-top:5.4pt;height:24.45pt;width:59.8pt;z-index:251685888;mso-width-relative:page;mso-height-relative:page;" filled="f" stroked="f" coordsize="21600,21600">
                        <v:path/>
                        <v:fill on="f" focussize="0,0"/>
                        <v:stroke on="f" joinstyle="miter"/>
                        <v:imagedata o:title=""/>
                        <o:lock v:ext="edit"/>
                        <v:textbox>
                          <w:txbxContent>
                            <w:p>
                              <w:pPr>
                                <w:rPr>
                                  <w:rFonts w:asciiTheme="minorEastAsia" w:hAnsiTheme="minorEastAsia" w:eastAsiaTheme="minorEastAsia"/>
                                  <w:b/>
                                </w:rPr>
                              </w:pPr>
                              <w:r>
                                <w:rPr>
                                  <w:rFonts w:asciiTheme="minorEastAsia" w:hAnsiTheme="minorEastAsia" w:eastAsiaTheme="minorEastAsia"/>
                                  <w:b/>
                                </w:rPr>
                                <w:t>占地规模</w:t>
                              </w:r>
                            </w:p>
                          </w:txbxContent>
                        </v:textbox>
                      </v:shape>
                    </w:pict>
                  </w:r>
                </w:p>
              </w:tc>
              <w:tc>
                <w:tcPr>
                  <w:tcW w:w="2126" w:type="dxa"/>
                  <w:gridSpan w:val="3"/>
                  <w:tcBorders>
                    <w:top w:val="single" w:color="000000" w:sz="8" w:space="0"/>
                    <w:left w:val="single" w:color="000000" w:sz="4" w:space="0"/>
                    <w:bottom w:val="single" w:color="000000" w:sz="4" w:space="0"/>
                    <w:right w:val="single" w:color="000000" w:sz="4" w:space="0"/>
                  </w:tcBorders>
                  <w:vAlign w:val="center"/>
                </w:tcPr>
                <w:p>
                  <w:pPr>
                    <w:tabs>
                      <w:tab w:val="left" w:pos="417"/>
                    </w:tabs>
                    <w:adjustRightInd w:val="0"/>
                    <w:snapToGrid w:val="0"/>
                    <w:jc w:val="center"/>
                    <w:rPr>
                      <w:rFonts w:ascii="Times New Roman" w:hAnsi="Times New Roman" w:eastAsia="宋体"/>
                      <w:b/>
                      <w:color w:val="000000" w:themeColor="text1"/>
                      <w:szCs w:val="21"/>
                    </w:rPr>
                  </w:pPr>
                  <w:r>
                    <w:rPr>
                      <w:rFonts w:ascii="Times New Roman" w:hAnsi="Times New Roman" w:eastAsia="宋体"/>
                      <w:b/>
                      <w:color w:val="000000" w:themeColor="text1"/>
                      <w:szCs w:val="21"/>
                    </w:rPr>
                    <w:t>I</w:t>
                  </w:r>
                  <w:r>
                    <w:rPr>
                      <w:rFonts w:hint="eastAsia" w:ascii="Times New Roman" w:eastAsia="宋体"/>
                      <w:b/>
                      <w:color w:val="000000" w:themeColor="text1"/>
                      <w:szCs w:val="21"/>
                    </w:rPr>
                    <w:t>类</w:t>
                  </w:r>
                </w:p>
              </w:tc>
              <w:tc>
                <w:tcPr>
                  <w:tcW w:w="2127" w:type="dxa"/>
                  <w:gridSpan w:val="3"/>
                  <w:tcBorders>
                    <w:top w:val="single" w:color="000000" w:sz="8" w:space="0"/>
                    <w:left w:val="single" w:color="000000" w:sz="4" w:space="0"/>
                    <w:bottom w:val="single" w:color="000000" w:sz="4" w:space="0"/>
                    <w:right w:val="single" w:color="000000" w:sz="4" w:space="0"/>
                  </w:tcBorders>
                  <w:vAlign w:val="center"/>
                </w:tcPr>
                <w:p>
                  <w:pPr>
                    <w:tabs>
                      <w:tab w:val="left" w:pos="417"/>
                    </w:tabs>
                    <w:adjustRightInd w:val="0"/>
                    <w:snapToGrid w:val="0"/>
                    <w:jc w:val="center"/>
                    <w:rPr>
                      <w:rFonts w:ascii="Times New Roman" w:hAnsi="Times New Roman" w:eastAsia="宋体"/>
                      <w:b/>
                      <w:color w:val="000000" w:themeColor="text1"/>
                      <w:szCs w:val="21"/>
                    </w:rPr>
                  </w:pPr>
                  <w:r>
                    <w:rPr>
                      <w:rFonts w:ascii="Times New Roman" w:hAnsi="Times New Roman" w:eastAsia="宋体"/>
                      <w:b/>
                      <w:color w:val="000000" w:themeColor="text1"/>
                      <w:szCs w:val="21"/>
                    </w:rPr>
                    <w:t>II</w:t>
                  </w:r>
                  <w:r>
                    <w:rPr>
                      <w:rFonts w:hint="eastAsia" w:ascii="Times New Roman" w:eastAsia="宋体"/>
                      <w:b/>
                      <w:color w:val="000000" w:themeColor="text1"/>
                      <w:szCs w:val="21"/>
                    </w:rPr>
                    <w:t>类</w:t>
                  </w:r>
                </w:p>
              </w:tc>
              <w:tc>
                <w:tcPr>
                  <w:tcW w:w="2104" w:type="dxa"/>
                  <w:gridSpan w:val="3"/>
                  <w:tcBorders>
                    <w:top w:val="single" w:color="000000" w:sz="8" w:space="0"/>
                    <w:left w:val="single" w:color="000000" w:sz="4" w:space="0"/>
                    <w:bottom w:val="single" w:color="000000" w:sz="4" w:space="0"/>
                    <w:right w:val="nil"/>
                  </w:tcBorders>
                  <w:vAlign w:val="center"/>
                </w:tcPr>
                <w:p>
                  <w:pPr>
                    <w:tabs>
                      <w:tab w:val="left" w:pos="417"/>
                    </w:tabs>
                    <w:adjustRightInd w:val="0"/>
                    <w:snapToGrid w:val="0"/>
                    <w:jc w:val="center"/>
                    <w:rPr>
                      <w:rFonts w:ascii="Times New Roman" w:hAnsi="Times New Roman" w:eastAsia="宋体"/>
                      <w:b/>
                      <w:color w:val="000000" w:themeColor="text1"/>
                      <w:szCs w:val="21"/>
                    </w:rPr>
                  </w:pPr>
                  <w:r>
                    <w:rPr>
                      <w:rFonts w:ascii="Times New Roman" w:hAnsi="Times New Roman" w:eastAsia="宋体"/>
                      <w:b/>
                      <w:color w:val="000000" w:themeColor="text1"/>
                      <w:szCs w:val="21"/>
                    </w:rPr>
                    <w:t>III</w:t>
                  </w:r>
                  <w:r>
                    <w:rPr>
                      <w:rFonts w:hint="eastAsia" w:ascii="Times New Roman" w:eastAsia="宋体"/>
                      <w:b/>
                      <w:color w:val="000000" w:themeColor="text1"/>
                      <w:szCs w:val="21"/>
                    </w:rPr>
                    <w:t>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805" w:type="dxa"/>
                  <w:vMerge w:val="continue"/>
                  <w:tcBorders>
                    <w:top w:val="single" w:color="000000" w:sz="12" w:space="0"/>
                    <w:left w:val="nil"/>
                    <w:bottom w:val="single" w:color="000000" w:sz="8" w:space="0"/>
                    <w:right w:val="single" w:color="000000" w:sz="4" w:space="0"/>
                  </w:tcBorders>
                  <w:vAlign w:val="center"/>
                </w:tcPr>
                <w:p>
                  <w:pPr>
                    <w:widowControl/>
                    <w:jc w:val="left"/>
                    <w:rPr>
                      <w:rFonts w:ascii="Times New Roman" w:hAnsi="Times New Roman" w:eastAsia="宋体"/>
                      <w:color w:val="000000" w:themeColor="text1"/>
                      <w:szCs w:val="21"/>
                    </w:rPr>
                  </w:pPr>
                </w:p>
              </w:tc>
              <w:tc>
                <w:tcPr>
                  <w:tcW w:w="709" w:type="dxa"/>
                  <w:tcBorders>
                    <w:top w:val="single" w:color="000000" w:sz="4" w:space="0"/>
                    <w:left w:val="single" w:color="000000" w:sz="4" w:space="0"/>
                    <w:bottom w:val="single" w:color="000000" w:sz="8" w:space="0"/>
                    <w:right w:val="single" w:color="000000" w:sz="4" w:space="0"/>
                  </w:tcBorders>
                  <w:vAlign w:val="center"/>
                </w:tcPr>
                <w:p>
                  <w:pPr>
                    <w:tabs>
                      <w:tab w:val="left" w:pos="417"/>
                    </w:tabs>
                    <w:adjustRightInd w:val="0"/>
                    <w:snapToGrid w:val="0"/>
                    <w:jc w:val="center"/>
                    <w:rPr>
                      <w:rFonts w:ascii="Times New Roman" w:hAnsi="Times New Roman" w:eastAsia="宋体"/>
                      <w:b/>
                      <w:color w:val="000000" w:themeColor="text1"/>
                      <w:szCs w:val="21"/>
                    </w:rPr>
                  </w:pPr>
                  <w:r>
                    <w:rPr>
                      <w:rFonts w:hint="eastAsia" w:ascii="Times New Roman" w:eastAsia="宋体"/>
                      <w:b/>
                      <w:color w:val="000000" w:themeColor="text1"/>
                      <w:szCs w:val="21"/>
                    </w:rPr>
                    <w:t>大</w:t>
                  </w:r>
                </w:p>
              </w:tc>
              <w:tc>
                <w:tcPr>
                  <w:tcW w:w="709" w:type="dxa"/>
                  <w:tcBorders>
                    <w:top w:val="single" w:color="000000" w:sz="4" w:space="0"/>
                    <w:left w:val="single" w:color="000000" w:sz="4" w:space="0"/>
                    <w:bottom w:val="single" w:color="000000" w:sz="8" w:space="0"/>
                    <w:right w:val="single" w:color="000000" w:sz="4" w:space="0"/>
                  </w:tcBorders>
                  <w:vAlign w:val="center"/>
                </w:tcPr>
                <w:p>
                  <w:pPr>
                    <w:tabs>
                      <w:tab w:val="left" w:pos="417"/>
                    </w:tabs>
                    <w:adjustRightInd w:val="0"/>
                    <w:snapToGrid w:val="0"/>
                    <w:jc w:val="center"/>
                    <w:rPr>
                      <w:rFonts w:ascii="Times New Roman" w:hAnsi="Times New Roman" w:eastAsia="宋体"/>
                      <w:b/>
                      <w:color w:val="000000" w:themeColor="text1"/>
                      <w:szCs w:val="21"/>
                    </w:rPr>
                  </w:pPr>
                  <w:r>
                    <w:rPr>
                      <w:rFonts w:hint="eastAsia" w:ascii="Times New Roman" w:eastAsia="宋体"/>
                      <w:b/>
                      <w:color w:val="000000" w:themeColor="text1"/>
                      <w:szCs w:val="21"/>
                    </w:rPr>
                    <w:t>中</w:t>
                  </w:r>
                </w:p>
              </w:tc>
              <w:tc>
                <w:tcPr>
                  <w:tcW w:w="708" w:type="dxa"/>
                  <w:tcBorders>
                    <w:top w:val="single" w:color="000000" w:sz="4" w:space="0"/>
                    <w:left w:val="single" w:color="000000" w:sz="4" w:space="0"/>
                    <w:bottom w:val="single" w:color="000000" w:sz="8" w:space="0"/>
                    <w:right w:val="single" w:color="000000" w:sz="4" w:space="0"/>
                  </w:tcBorders>
                  <w:vAlign w:val="center"/>
                </w:tcPr>
                <w:p>
                  <w:pPr>
                    <w:tabs>
                      <w:tab w:val="left" w:pos="417"/>
                    </w:tabs>
                    <w:adjustRightInd w:val="0"/>
                    <w:snapToGrid w:val="0"/>
                    <w:jc w:val="center"/>
                    <w:rPr>
                      <w:rFonts w:ascii="Times New Roman" w:hAnsi="Times New Roman" w:eastAsia="宋体"/>
                      <w:b/>
                      <w:color w:val="000000" w:themeColor="text1"/>
                      <w:szCs w:val="21"/>
                    </w:rPr>
                  </w:pPr>
                  <w:r>
                    <w:rPr>
                      <w:rFonts w:hint="eastAsia" w:ascii="Times New Roman" w:eastAsia="宋体"/>
                      <w:b/>
                      <w:color w:val="000000" w:themeColor="text1"/>
                      <w:szCs w:val="21"/>
                    </w:rPr>
                    <w:t>小</w:t>
                  </w:r>
                </w:p>
              </w:tc>
              <w:tc>
                <w:tcPr>
                  <w:tcW w:w="709" w:type="dxa"/>
                  <w:tcBorders>
                    <w:top w:val="single" w:color="000000" w:sz="4" w:space="0"/>
                    <w:left w:val="single" w:color="000000" w:sz="4" w:space="0"/>
                    <w:bottom w:val="single" w:color="000000" w:sz="8" w:space="0"/>
                    <w:right w:val="single" w:color="000000" w:sz="4" w:space="0"/>
                  </w:tcBorders>
                  <w:vAlign w:val="center"/>
                </w:tcPr>
                <w:p>
                  <w:pPr>
                    <w:tabs>
                      <w:tab w:val="left" w:pos="417"/>
                    </w:tabs>
                    <w:adjustRightInd w:val="0"/>
                    <w:snapToGrid w:val="0"/>
                    <w:jc w:val="center"/>
                    <w:rPr>
                      <w:rFonts w:ascii="Times New Roman" w:hAnsi="Times New Roman" w:eastAsia="宋体"/>
                      <w:b/>
                      <w:color w:val="000000" w:themeColor="text1"/>
                      <w:szCs w:val="21"/>
                    </w:rPr>
                  </w:pPr>
                  <w:r>
                    <w:rPr>
                      <w:rFonts w:hint="eastAsia" w:ascii="Times New Roman" w:eastAsia="宋体"/>
                      <w:b/>
                      <w:color w:val="000000" w:themeColor="text1"/>
                      <w:szCs w:val="21"/>
                    </w:rPr>
                    <w:t>大</w:t>
                  </w:r>
                </w:p>
              </w:tc>
              <w:tc>
                <w:tcPr>
                  <w:tcW w:w="709" w:type="dxa"/>
                  <w:tcBorders>
                    <w:top w:val="single" w:color="000000" w:sz="4" w:space="0"/>
                    <w:left w:val="single" w:color="000000" w:sz="4" w:space="0"/>
                    <w:bottom w:val="single" w:color="000000" w:sz="8" w:space="0"/>
                    <w:right w:val="single" w:color="000000" w:sz="4" w:space="0"/>
                  </w:tcBorders>
                  <w:vAlign w:val="center"/>
                </w:tcPr>
                <w:p>
                  <w:pPr>
                    <w:tabs>
                      <w:tab w:val="left" w:pos="417"/>
                    </w:tabs>
                    <w:adjustRightInd w:val="0"/>
                    <w:snapToGrid w:val="0"/>
                    <w:jc w:val="center"/>
                    <w:rPr>
                      <w:rFonts w:ascii="Times New Roman" w:hAnsi="Times New Roman" w:eastAsia="宋体"/>
                      <w:b/>
                      <w:color w:val="000000" w:themeColor="text1"/>
                      <w:szCs w:val="21"/>
                    </w:rPr>
                  </w:pPr>
                  <w:r>
                    <w:rPr>
                      <w:rFonts w:hint="eastAsia" w:ascii="Times New Roman" w:eastAsia="宋体"/>
                      <w:b/>
                      <w:color w:val="000000" w:themeColor="text1"/>
                      <w:szCs w:val="21"/>
                    </w:rPr>
                    <w:t>中</w:t>
                  </w:r>
                </w:p>
              </w:tc>
              <w:tc>
                <w:tcPr>
                  <w:tcW w:w="709" w:type="dxa"/>
                  <w:tcBorders>
                    <w:top w:val="single" w:color="000000" w:sz="4" w:space="0"/>
                    <w:left w:val="single" w:color="000000" w:sz="4" w:space="0"/>
                    <w:bottom w:val="single" w:color="000000" w:sz="8" w:space="0"/>
                    <w:right w:val="single" w:color="000000" w:sz="4" w:space="0"/>
                  </w:tcBorders>
                  <w:vAlign w:val="center"/>
                </w:tcPr>
                <w:p>
                  <w:pPr>
                    <w:tabs>
                      <w:tab w:val="left" w:pos="417"/>
                    </w:tabs>
                    <w:adjustRightInd w:val="0"/>
                    <w:snapToGrid w:val="0"/>
                    <w:jc w:val="center"/>
                    <w:rPr>
                      <w:rFonts w:ascii="Times New Roman" w:hAnsi="Times New Roman" w:eastAsia="宋体"/>
                      <w:b/>
                      <w:color w:val="000000" w:themeColor="text1"/>
                      <w:szCs w:val="21"/>
                    </w:rPr>
                  </w:pPr>
                  <w:r>
                    <w:rPr>
                      <w:rFonts w:hint="eastAsia" w:ascii="Times New Roman" w:eastAsia="宋体"/>
                      <w:b/>
                      <w:color w:val="000000" w:themeColor="text1"/>
                      <w:szCs w:val="21"/>
                    </w:rPr>
                    <w:t>小</w:t>
                  </w:r>
                </w:p>
              </w:tc>
              <w:tc>
                <w:tcPr>
                  <w:tcW w:w="708" w:type="dxa"/>
                  <w:tcBorders>
                    <w:top w:val="single" w:color="000000" w:sz="4" w:space="0"/>
                    <w:left w:val="single" w:color="000000" w:sz="4" w:space="0"/>
                    <w:bottom w:val="single" w:color="000000" w:sz="8" w:space="0"/>
                    <w:right w:val="single" w:color="000000" w:sz="4" w:space="0"/>
                  </w:tcBorders>
                  <w:vAlign w:val="center"/>
                </w:tcPr>
                <w:p>
                  <w:pPr>
                    <w:tabs>
                      <w:tab w:val="left" w:pos="417"/>
                    </w:tabs>
                    <w:adjustRightInd w:val="0"/>
                    <w:snapToGrid w:val="0"/>
                    <w:jc w:val="center"/>
                    <w:rPr>
                      <w:rFonts w:ascii="Times New Roman" w:hAnsi="Times New Roman" w:eastAsia="宋体"/>
                      <w:b/>
                      <w:color w:val="000000" w:themeColor="text1"/>
                      <w:szCs w:val="21"/>
                    </w:rPr>
                  </w:pPr>
                  <w:r>
                    <w:rPr>
                      <w:rFonts w:hint="eastAsia" w:ascii="Times New Roman" w:eastAsia="宋体"/>
                      <w:b/>
                      <w:color w:val="000000" w:themeColor="text1"/>
                      <w:szCs w:val="21"/>
                    </w:rPr>
                    <w:t>大</w:t>
                  </w:r>
                </w:p>
              </w:tc>
              <w:tc>
                <w:tcPr>
                  <w:tcW w:w="709" w:type="dxa"/>
                  <w:tcBorders>
                    <w:top w:val="single" w:color="000000" w:sz="4" w:space="0"/>
                    <w:left w:val="single" w:color="000000" w:sz="4" w:space="0"/>
                    <w:bottom w:val="single" w:color="000000" w:sz="8" w:space="0"/>
                    <w:right w:val="single" w:color="000000" w:sz="4" w:space="0"/>
                  </w:tcBorders>
                  <w:vAlign w:val="center"/>
                </w:tcPr>
                <w:p>
                  <w:pPr>
                    <w:tabs>
                      <w:tab w:val="left" w:pos="417"/>
                    </w:tabs>
                    <w:adjustRightInd w:val="0"/>
                    <w:snapToGrid w:val="0"/>
                    <w:jc w:val="center"/>
                    <w:rPr>
                      <w:rFonts w:ascii="Times New Roman" w:hAnsi="Times New Roman" w:eastAsia="宋体"/>
                      <w:b/>
                      <w:color w:val="000000" w:themeColor="text1"/>
                      <w:szCs w:val="21"/>
                    </w:rPr>
                  </w:pPr>
                  <w:r>
                    <w:rPr>
                      <w:rFonts w:hint="eastAsia" w:ascii="Times New Roman" w:eastAsia="宋体"/>
                      <w:b/>
                      <w:color w:val="000000" w:themeColor="text1"/>
                      <w:szCs w:val="21"/>
                    </w:rPr>
                    <w:t>中</w:t>
                  </w:r>
                </w:p>
              </w:tc>
              <w:tc>
                <w:tcPr>
                  <w:tcW w:w="687" w:type="dxa"/>
                  <w:tcBorders>
                    <w:top w:val="single" w:color="000000" w:sz="4" w:space="0"/>
                    <w:left w:val="single" w:color="000000" w:sz="4" w:space="0"/>
                    <w:bottom w:val="single" w:color="000000" w:sz="8" w:space="0"/>
                    <w:right w:val="nil"/>
                  </w:tcBorders>
                  <w:vAlign w:val="center"/>
                </w:tcPr>
                <w:p>
                  <w:pPr>
                    <w:tabs>
                      <w:tab w:val="left" w:pos="417"/>
                    </w:tabs>
                    <w:adjustRightInd w:val="0"/>
                    <w:snapToGrid w:val="0"/>
                    <w:jc w:val="center"/>
                    <w:rPr>
                      <w:rFonts w:ascii="Times New Roman" w:hAnsi="Times New Roman" w:eastAsia="宋体"/>
                      <w:b/>
                      <w:color w:val="000000" w:themeColor="text1"/>
                      <w:szCs w:val="21"/>
                    </w:rPr>
                  </w:pPr>
                  <w:r>
                    <w:rPr>
                      <w:rFonts w:hint="eastAsia" w:ascii="Times New Roman" w:eastAsia="宋体"/>
                      <w:b/>
                      <w:color w:val="000000" w:themeColor="text1"/>
                      <w:szCs w:val="21"/>
                    </w:rPr>
                    <w:t>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448" w:type="dxa"/>
                  <w:tcBorders>
                    <w:top w:val="single" w:color="000000" w:sz="8" w:space="0"/>
                    <w:left w:val="nil"/>
                    <w:bottom w:val="single" w:color="000000" w:sz="4" w:space="0"/>
                    <w:right w:val="single" w:color="000000" w:sz="4" w:space="0"/>
                  </w:tcBorders>
                  <w:vAlign w:val="center"/>
                </w:tcPr>
                <w:p>
                  <w:pPr>
                    <w:tabs>
                      <w:tab w:val="left" w:pos="417"/>
                    </w:tabs>
                    <w:adjustRightInd w:val="0"/>
                    <w:snapToGrid w:val="0"/>
                    <w:jc w:val="center"/>
                    <w:rPr>
                      <w:rFonts w:ascii="Times New Roman" w:hAnsi="Times New Roman" w:eastAsia="宋体"/>
                      <w:color w:val="000000" w:themeColor="text1"/>
                      <w:szCs w:val="21"/>
                    </w:rPr>
                  </w:pPr>
                  <w:r>
                    <w:rPr>
                      <w:rFonts w:hint="eastAsia" w:ascii="Times New Roman" w:eastAsia="宋体"/>
                      <w:color w:val="000000" w:themeColor="text1"/>
                      <w:szCs w:val="21"/>
                    </w:rPr>
                    <w:t>敏感</w:t>
                  </w:r>
                </w:p>
              </w:tc>
              <w:tc>
                <w:tcPr>
                  <w:tcW w:w="709" w:type="dxa"/>
                  <w:tcBorders>
                    <w:top w:val="single" w:color="000000" w:sz="8" w:space="0"/>
                    <w:left w:val="single" w:color="000000" w:sz="4" w:space="0"/>
                    <w:bottom w:val="single" w:color="000000" w:sz="4" w:space="0"/>
                    <w:right w:val="single" w:color="000000" w:sz="4" w:space="0"/>
                  </w:tcBorders>
                  <w:vAlign w:val="center"/>
                </w:tcPr>
                <w:p>
                  <w:pPr>
                    <w:tabs>
                      <w:tab w:val="left" w:pos="417"/>
                    </w:tabs>
                    <w:adjustRightInd w:val="0"/>
                    <w:snapToGrid w:val="0"/>
                    <w:jc w:val="center"/>
                    <w:rPr>
                      <w:rFonts w:ascii="Times New Roman" w:hAnsi="Times New Roman" w:eastAsia="宋体"/>
                      <w:color w:val="000000" w:themeColor="text1"/>
                      <w:szCs w:val="21"/>
                    </w:rPr>
                  </w:pPr>
                  <w:r>
                    <w:rPr>
                      <w:rFonts w:hint="eastAsia" w:ascii="Times New Roman" w:eastAsia="宋体"/>
                      <w:color w:val="000000" w:themeColor="text1"/>
                      <w:szCs w:val="21"/>
                    </w:rPr>
                    <w:t>一级</w:t>
                  </w:r>
                </w:p>
              </w:tc>
              <w:tc>
                <w:tcPr>
                  <w:tcW w:w="709" w:type="dxa"/>
                  <w:tcBorders>
                    <w:top w:val="single" w:color="000000" w:sz="8" w:space="0"/>
                    <w:left w:val="single" w:color="000000" w:sz="4" w:space="0"/>
                    <w:bottom w:val="single" w:color="000000" w:sz="4" w:space="0"/>
                    <w:right w:val="single" w:color="000000" w:sz="4" w:space="0"/>
                  </w:tcBorders>
                  <w:vAlign w:val="center"/>
                </w:tcPr>
                <w:p>
                  <w:pPr>
                    <w:tabs>
                      <w:tab w:val="left" w:pos="417"/>
                    </w:tabs>
                    <w:adjustRightInd w:val="0"/>
                    <w:snapToGrid w:val="0"/>
                    <w:jc w:val="center"/>
                    <w:rPr>
                      <w:rFonts w:ascii="Times New Roman" w:hAnsi="Times New Roman" w:eastAsia="宋体"/>
                      <w:color w:val="000000" w:themeColor="text1"/>
                      <w:szCs w:val="21"/>
                    </w:rPr>
                  </w:pPr>
                  <w:r>
                    <w:rPr>
                      <w:rFonts w:hint="eastAsia" w:ascii="Times New Roman" w:eastAsia="宋体"/>
                      <w:color w:val="000000" w:themeColor="text1"/>
                      <w:szCs w:val="21"/>
                    </w:rPr>
                    <w:t>一级</w:t>
                  </w:r>
                </w:p>
              </w:tc>
              <w:tc>
                <w:tcPr>
                  <w:tcW w:w="708" w:type="dxa"/>
                  <w:tcBorders>
                    <w:top w:val="single" w:color="000000" w:sz="8" w:space="0"/>
                    <w:left w:val="single" w:color="000000" w:sz="4" w:space="0"/>
                    <w:bottom w:val="single" w:color="000000" w:sz="4" w:space="0"/>
                    <w:right w:val="single" w:color="000000" w:sz="4" w:space="0"/>
                  </w:tcBorders>
                  <w:vAlign w:val="center"/>
                </w:tcPr>
                <w:p>
                  <w:pPr>
                    <w:tabs>
                      <w:tab w:val="left" w:pos="417"/>
                    </w:tabs>
                    <w:adjustRightInd w:val="0"/>
                    <w:snapToGrid w:val="0"/>
                    <w:jc w:val="center"/>
                    <w:rPr>
                      <w:rFonts w:ascii="Times New Roman" w:hAnsi="Times New Roman" w:eastAsia="宋体"/>
                      <w:color w:val="000000" w:themeColor="text1"/>
                      <w:szCs w:val="21"/>
                    </w:rPr>
                  </w:pPr>
                  <w:r>
                    <w:rPr>
                      <w:rFonts w:hint="eastAsia" w:ascii="Times New Roman" w:eastAsia="宋体"/>
                      <w:color w:val="000000" w:themeColor="text1"/>
                      <w:szCs w:val="21"/>
                    </w:rPr>
                    <w:t>一级</w:t>
                  </w:r>
                </w:p>
              </w:tc>
              <w:tc>
                <w:tcPr>
                  <w:tcW w:w="709" w:type="dxa"/>
                  <w:tcBorders>
                    <w:top w:val="single" w:color="000000" w:sz="8" w:space="0"/>
                    <w:left w:val="single" w:color="000000" w:sz="4" w:space="0"/>
                    <w:bottom w:val="single" w:color="000000" w:sz="4" w:space="0"/>
                    <w:right w:val="single" w:color="000000" w:sz="4" w:space="0"/>
                  </w:tcBorders>
                  <w:vAlign w:val="center"/>
                </w:tcPr>
                <w:p>
                  <w:pPr>
                    <w:jc w:val="center"/>
                    <w:rPr>
                      <w:rFonts w:ascii="Times New Roman" w:hAnsi="Times New Roman" w:eastAsia="宋体"/>
                      <w:color w:val="000000" w:themeColor="text1"/>
                      <w:sz w:val="28"/>
                    </w:rPr>
                  </w:pPr>
                  <w:r>
                    <w:rPr>
                      <w:rFonts w:hint="eastAsia" w:ascii="Times New Roman" w:eastAsia="宋体"/>
                      <w:color w:val="000000" w:themeColor="text1"/>
                      <w:szCs w:val="21"/>
                    </w:rPr>
                    <w:t>二级</w:t>
                  </w:r>
                </w:p>
              </w:tc>
              <w:tc>
                <w:tcPr>
                  <w:tcW w:w="709" w:type="dxa"/>
                  <w:tcBorders>
                    <w:top w:val="single" w:color="000000" w:sz="8" w:space="0"/>
                    <w:left w:val="single" w:color="000000" w:sz="4" w:space="0"/>
                    <w:bottom w:val="single" w:color="000000" w:sz="4" w:space="0"/>
                    <w:right w:val="single" w:color="000000" w:sz="4" w:space="0"/>
                  </w:tcBorders>
                  <w:vAlign w:val="center"/>
                </w:tcPr>
                <w:p>
                  <w:pPr>
                    <w:jc w:val="center"/>
                    <w:rPr>
                      <w:rFonts w:ascii="Times New Roman" w:hAnsi="Times New Roman" w:eastAsia="宋体"/>
                      <w:color w:val="000000" w:themeColor="text1"/>
                      <w:sz w:val="28"/>
                    </w:rPr>
                  </w:pPr>
                  <w:r>
                    <w:rPr>
                      <w:rFonts w:hint="eastAsia" w:ascii="Times New Roman" w:eastAsia="宋体"/>
                      <w:color w:val="000000" w:themeColor="text1"/>
                      <w:szCs w:val="21"/>
                    </w:rPr>
                    <w:t>二级</w:t>
                  </w:r>
                </w:p>
              </w:tc>
              <w:tc>
                <w:tcPr>
                  <w:tcW w:w="709" w:type="dxa"/>
                  <w:tcBorders>
                    <w:top w:val="single" w:color="000000" w:sz="8" w:space="0"/>
                    <w:left w:val="single" w:color="000000" w:sz="4" w:space="0"/>
                    <w:bottom w:val="single" w:color="000000" w:sz="4" w:space="0"/>
                    <w:right w:val="single" w:color="000000" w:sz="4" w:space="0"/>
                  </w:tcBorders>
                  <w:vAlign w:val="center"/>
                </w:tcPr>
                <w:p>
                  <w:pPr>
                    <w:jc w:val="center"/>
                    <w:rPr>
                      <w:rFonts w:ascii="Times New Roman" w:hAnsi="Times New Roman" w:eastAsia="宋体"/>
                      <w:color w:val="000000" w:themeColor="text1"/>
                      <w:sz w:val="28"/>
                    </w:rPr>
                  </w:pPr>
                  <w:r>
                    <w:rPr>
                      <w:rFonts w:hint="eastAsia" w:ascii="Times New Roman" w:eastAsia="宋体"/>
                      <w:color w:val="000000" w:themeColor="text1"/>
                      <w:szCs w:val="21"/>
                    </w:rPr>
                    <w:t>二级</w:t>
                  </w:r>
                </w:p>
              </w:tc>
              <w:tc>
                <w:tcPr>
                  <w:tcW w:w="708" w:type="dxa"/>
                  <w:tcBorders>
                    <w:top w:val="single" w:color="000000" w:sz="8" w:space="0"/>
                    <w:left w:val="single" w:color="000000" w:sz="4" w:space="0"/>
                    <w:bottom w:val="single" w:color="000000" w:sz="4" w:space="0"/>
                    <w:right w:val="single" w:color="000000" w:sz="4" w:space="0"/>
                  </w:tcBorders>
                  <w:vAlign w:val="center"/>
                </w:tcPr>
                <w:p>
                  <w:pPr>
                    <w:jc w:val="center"/>
                    <w:rPr>
                      <w:rFonts w:ascii="Times New Roman" w:hAnsi="Times New Roman" w:eastAsia="宋体"/>
                      <w:color w:val="000000" w:themeColor="text1"/>
                      <w:sz w:val="28"/>
                    </w:rPr>
                  </w:pPr>
                  <w:r>
                    <w:rPr>
                      <w:rFonts w:hint="eastAsia" w:ascii="Times New Roman" w:eastAsia="宋体"/>
                      <w:color w:val="000000" w:themeColor="text1"/>
                      <w:szCs w:val="21"/>
                    </w:rPr>
                    <w:t>三级</w:t>
                  </w:r>
                </w:p>
              </w:tc>
              <w:tc>
                <w:tcPr>
                  <w:tcW w:w="709" w:type="dxa"/>
                  <w:tcBorders>
                    <w:top w:val="single" w:color="000000" w:sz="8" w:space="0"/>
                    <w:left w:val="single" w:color="000000" w:sz="4" w:space="0"/>
                    <w:bottom w:val="single" w:color="000000" w:sz="4" w:space="0"/>
                    <w:right w:val="single" w:color="000000" w:sz="4" w:space="0"/>
                  </w:tcBorders>
                  <w:vAlign w:val="center"/>
                </w:tcPr>
                <w:p>
                  <w:pPr>
                    <w:jc w:val="center"/>
                    <w:rPr>
                      <w:rFonts w:ascii="Times New Roman" w:hAnsi="Times New Roman" w:eastAsia="宋体"/>
                      <w:color w:val="000000" w:themeColor="text1"/>
                      <w:sz w:val="28"/>
                    </w:rPr>
                  </w:pPr>
                  <w:r>
                    <w:rPr>
                      <w:rFonts w:hint="eastAsia" w:ascii="Times New Roman" w:eastAsia="宋体"/>
                      <w:color w:val="000000" w:themeColor="text1"/>
                      <w:szCs w:val="21"/>
                    </w:rPr>
                    <w:t>三级</w:t>
                  </w:r>
                </w:p>
              </w:tc>
              <w:tc>
                <w:tcPr>
                  <w:tcW w:w="687" w:type="dxa"/>
                  <w:tcBorders>
                    <w:top w:val="single" w:color="000000" w:sz="8" w:space="0"/>
                    <w:left w:val="single" w:color="000000" w:sz="4" w:space="0"/>
                    <w:bottom w:val="single" w:color="000000" w:sz="4" w:space="0"/>
                    <w:right w:val="nil"/>
                  </w:tcBorders>
                  <w:vAlign w:val="center"/>
                </w:tcPr>
                <w:p>
                  <w:pPr>
                    <w:jc w:val="center"/>
                    <w:rPr>
                      <w:rFonts w:ascii="Times New Roman" w:hAnsi="Times New Roman" w:eastAsia="宋体"/>
                      <w:color w:val="000000" w:themeColor="text1"/>
                      <w:sz w:val="28"/>
                    </w:rPr>
                  </w:pPr>
                  <w:r>
                    <w:rPr>
                      <w:rFonts w:hint="eastAsia" w:ascii="Times New Roman" w:eastAsia="宋体"/>
                      <w:color w:val="000000" w:themeColor="text1"/>
                      <w:szCs w:val="21"/>
                    </w:rPr>
                    <w:t>三级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448" w:type="dxa"/>
                  <w:tcBorders>
                    <w:top w:val="single" w:color="000000" w:sz="4" w:space="0"/>
                    <w:left w:val="nil"/>
                    <w:bottom w:val="single" w:color="000000" w:sz="4" w:space="0"/>
                    <w:right w:val="single" w:color="000000" w:sz="4" w:space="0"/>
                  </w:tcBorders>
                  <w:vAlign w:val="center"/>
                </w:tcPr>
                <w:p>
                  <w:pPr>
                    <w:tabs>
                      <w:tab w:val="left" w:pos="417"/>
                    </w:tabs>
                    <w:adjustRightInd w:val="0"/>
                    <w:snapToGrid w:val="0"/>
                    <w:jc w:val="center"/>
                    <w:rPr>
                      <w:rFonts w:ascii="Times New Roman" w:hAnsi="Times New Roman" w:eastAsia="宋体"/>
                      <w:color w:val="000000" w:themeColor="text1"/>
                      <w:szCs w:val="21"/>
                    </w:rPr>
                  </w:pPr>
                  <w:r>
                    <w:rPr>
                      <w:rFonts w:hint="eastAsia" w:ascii="Times New Roman" w:eastAsia="宋体"/>
                      <w:color w:val="000000" w:themeColor="text1"/>
                      <w:szCs w:val="21"/>
                    </w:rPr>
                    <w:t>较敏感</w:t>
                  </w:r>
                </w:p>
              </w:tc>
              <w:tc>
                <w:tcPr>
                  <w:tcW w:w="709" w:type="dxa"/>
                  <w:tcBorders>
                    <w:top w:val="single" w:color="000000" w:sz="4" w:space="0"/>
                    <w:left w:val="single" w:color="000000" w:sz="4" w:space="0"/>
                    <w:bottom w:val="single" w:color="000000" w:sz="4" w:space="0"/>
                    <w:right w:val="single" w:color="000000" w:sz="4" w:space="0"/>
                  </w:tcBorders>
                  <w:vAlign w:val="center"/>
                </w:tcPr>
                <w:p>
                  <w:pPr>
                    <w:tabs>
                      <w:tab w:val="left" w:pos="417"/>
                    </w:tabs>
                    <w:adjustRightInd w:val="0"/>
                    <w:snapToGrid w:val="0"/>
                    <w:jc w:val="center"/>
                    <w:rPr>
                      <w:rFonts w:ascii="Times New Roman" w:hAnsi="Times New Roman" w:eastAsia="宋体"/>
                      <w:color w:val="000000" w:themeColor="text1"/>
                      <w:szCs w:val="21"/>
                    </w:rPr>
                  </w:pPr>
                  <w:r>
                    <w:rPr>
                      <w:rFonts w:hint="eastAsia" w:ascii="Times New Roman" w:eastAsia="宋体"/>
                      <w:color w:val="000000" w:themeColor="text1"/>
                      <w:szCs w:val="21"/>
                    </w:rPr>
                    <w:t>一级</w:t>
                  </w:r>
                </w:p>
              </w:tc>
              <w:tc>
                <w:tcPr>
                  <w:tcW w:w="709" w:type="dxa"/>
                  <w:tcBorders>
                    <w:top w:val="single" w:color="000000" w:sz="4" w:space="0"/>
                    <w:left w:val="single" w:color="000000" w:sz="4" w:space="0"/>
                    <w:bottom w:val="single" w:color="000000" w:sz="4" w:space="0"/>
                    <w:right w:val="single" w:color="000000" w:sz="4" w:space="0"/>
                  </w:tcBorders>
                  <w:vAlign w:val="center"/>
                </w:tcPr>
                <w:p>
                  <w:pPr>
                    <w:tabs>
                      <w:tab w:val="left" w:pos="417"/>
                    </w:tabs>
                    <w:adjustRightInd w:val="0"/>
                    <w:snapToGrid w:val="0"/>
                    <w:jc w:val="center"/>
                    <w:rPr>
                      <w:rFonts w:ascii="Times New Roman" w:hAnsi="Times New Roman" w:eastAsia="宋体"/>
                      <w:color w:val="000000" w:themeColor="text1"/>
                      <w:szCs w:val="21"/>
                    </w:rPr>
                  </w:pPr>
                  <w:r>
                    <w:rPr>
                      <w:rFonts w:hint="eastAsia" w:ascii="Times New Roman" w:eastAsia="宋体"/>
                      <w:color w:val="000000" w:themeColor="text1"/>
                      <w:szCs w:val="21"/>
                    </w:rPr>
                    <w:t>一级</w:t>
                  </w:r>
                </w:p>
              </w:tc>
              <w:tc>
                <w:tcPr>
                  <w:tcW w:w="708" w:type="dxa"/>
                  <w:tcBorders>
                    <w:top w:val="single" w:color="000000" w:sz="4" w:space="0"/>
                    <w:left w:val="single" w:color="000000" w:sz="4" w:space="0"/>
                    <w:bottom w:val="single" w:color="000000" w:sz="4" w:space="0"/>
                    <w:right w:val="single" w:color="000000" w:sz="4" w:space="0"/>
                  </w:tcBorders>
                  <w:vAlign w:val="center"/>
                </w:tcPr>
                <w:p>
                  <w:pPr>
                    <w:tabs>
                      <w:tab w:val="left" w:pos="417"/>
                    </w:tabs>
                    <w:adjustRightInd w:val="0"/>
                    <w:snapToGrid w:val="0"/>
                    <w:jc w:val="center"/>
                    <w:rPr>
                      <w:rFonts w:ascii="Times New Roman" w:hAnsi="Times New Roman" w:eastAsia="宋体"/>
                      <w:color w:val="000000" w:themeColor="text1"/>
                      <w:szCs w:val="21"/>
                    </w:rPr>
                  </w:pPr>
                  <w:r>
                    <w:rPr>
                      <w:rFonts w:hint="eastAsia" w:ascii="Times New Roman" w:eastAsia="宋体"/>
                      <w:color w:val="000000" w:themeColor="text1"/>
                      <w:szCs w:val="21"/>
                    </w:rPr>
                    <w:t>二级</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olor w:val="000000" w:themeColor="text1"/>
                      <w:sz w:val="28"/>
                    </w:rPr>
                  </w:pPr>
                  <w:r>
                    <w:rPr>
                      <w:rFonts w:hint="eastAsia" w:ascii="Times New Roman" w:eastAsia="宋体"/>
                      <w:color w:val="000000" w:themeColor="text1"/>
                      <w:szCs w:val="21"/>
                    </w:rPr>
                    <w:t>二级</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olor w:val="000000" w:themeColor="text1"/>
                      <w:sz w:val="28"/>
                    </w:rPr>
                  </w:pPr>
                  <w:r>
                    <w:rPr>
                      <w:rFonts w:hint="eastAsia" w:ascii="Times New Roman" w:eastAsia="宋体"/>
                      <w:color w:val="000000" w:themeColor="text1"/>
                      <w:szCs w:val="21"/>
                    </w:rPr>
                    <w:t>二级</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olor w:val="000000" w:themeColor="text1"/>
                      <w:sz w:val="28"/>
                    </w:rPr>
                  </w:pPr>
                  <w:r>
                    <w:rPr>
                      <w:rFonts w:hint="eastAsia" w:ascii="Times New Roman" w:eastAsia="宋体"/>
                      <w:color w:val="000000" w:themeColor="text1"/>
                      <w:szCs w:val="21"/>
                    </w:rPr>
                    <w:t>三级</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olor w:val="000000" w:themeColor="text1"/>
                      <w:sz w:val="28"/>
                    </w:rPr>
                  </w:pPr>
                  <w:r>
                    <w:rPr>
                      <w:rFonts w:hint="eastAsia" w:ascii="Times New Roman" w:eastAsia="宋体"/>
                      <w:color w:val="000000" w:themeColor="text1"/>
                      <w:szCs w:val="21"/>
                    </w:rPr>
                    <w:t>三级</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olor w:val="000000" w:themeColor="text1"/>
                      <w:sz w:val="28"/>
                    </w:rPr>
                  </w:pPr>
                  <w:r>
                    <w:rPr>
                      <w:rFonts w:hint="eastAsia" w:ascii="Times New Roman" w:eastAsia="宋体"/>
                      <w:color w:val="000000" w:themeColor="text1"/>
                      <w:szCs w:val="21"/>
                    </w:rPr>
                    <w:t>三级</w:t>
                  </w:r>
                </w:p>
              </w:tc>
              <w:tc>
                <w:tcPr>
                  <w:tcW w:w="687" w:type="dxa"/>
                  <w:tcBorders>
                    <w:top w:val="single" w:color="000000" w:sz="4" w:space="0"/>
                    <w:left w:val="single" w:color="000000" w:sz="4" w:space="0"/>
                    <w:bottom w:val="single" w:color="000000" w:sz="4" w:space="0"/>
                    <w:right w:val="nil"/>
                  </w:tcBorders>
                  <w:vAlign w:val="center"/>
                </w:tcPr>
                <w:p>
                  <w:pPr>
                    <w:jc w:val="center"/>
                    <w:rPr>
                      <w:rFonts w:ascii="Times New Roman" w:hAnsi="Times New Roman" w:eastAsia="宋体"/>
                      <w:color w:val="000000" w:themeColor="text1"/>
                      <w:sz w:val="28"/>
                    </w:rPr>
                  </w:pPr>
                  <w:r>
                    <w:rPr>
                      <w:rFonts w:hint="eastAsia" w:ascii="Times New Roman" w:hAnsi="Times New Roman" w:eastAsia="宋体"/>
                      <w:color w:val="000000" w:themeColor="text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448" w:type="dxa"/>
                  <w:tcBorders>
                    <w:top w:val="single" w:color="000000" w:sz="4" w:space="0"/>
                    <w:left w:val="nil"/>
                    <w:bottom w:val="single" w:color="000000" w:sz="4" w:space="0"/>
                    <w:right w:val="single" w:color="000000" w:sz="4" w:space="0"/>
                  </w:tcBorders>
                  <w:vAlign w:val="center"/>
                </w:tcPr>
                <w:p>
                  <w:pPr>
                    <w:tabs>
                      <w:tab w:val="left" w:pos="417"/>
                    </w:tabs>
                    <w:adjustRightInd w:val="0"/>
                    <w:snapToGrid w:val="0"/>
                    <w:jc w:val="center"/>
                    <w:rPr>
                      <w:rFonts w:ascii="Times New Roman" w:hAnsi="Times New Roman" w:eastAsia="宋体"/>
                      <w:color w:val="000000" w:themeColor="text1"/>
                      <w:szCs w:val="21"/>
                    </w:rPr>
                  </w:pPr>
                  <w:r>
                    <w:rPr>
                      <w:rFonts w:hint="eastAsia" w:ascii="Times New Roman" w:eastAsia="宋体"/>
                      <w:color w:val="000000" w:themeColor="text1"/>
                      <w:szCs w:val="21"/>
                    </w:rPr>
                    <w:t>不敏感</w:t>
                  </w:r>
                </w:p>
              </w:tc>
              <w:tc>
                <w:tcPr>
                  <w:tcW w:w="709" w:type="dxa"/>
                  <w:tcBorders>
                    <w:top w:val="single" w:color="000000" w:sz="4" w:space="0"/>
                    <w:left w:val="single" w:color="000000" w:sz="4" w:space="0"/>
                    <w:bottom w:val="single" w:color="000000" w:sz="4" w:space="0"/>
                    <w:right w:val="single" w:color="000000" w:sz="4" w:space="0"/>
                  </w:tcBorders>
                  <w:vAlign w:val="center"/>
                </w:tcPr>
                <w:p>
                  <w:pPr>
                    <w:tabs>
                      <w:tab w:val="left" w:pos="417"/>
                    </w:tabs>
                    <w:adjustRightInd w:val="0"/>
                    <w:snapToGrid w:val="0"/>
                    <w:jc w:val="center"/>
                    <w:rPr>
                      <w:rFonts w:ascii="Times New Roman" w:hAnsi="Times New Roman" w:eastAsia="宋体"/>
                      <w:color w:val="000000" w:themeColor="text1"/>
                      <w:szCs w:val="21"/>
                    </w:rPr>
                  </w:pPr>
                  <w:r>
                    <w:rPr>
                      <w:rFonts w:hint="eastAsia" w:ascii="Times New Roman" w:eastAsia="宋体"/>
                      <w:color w:val="000000" w:themeColor="text1"/>
                      <w:szCs w:val="21"/>
                    </w:rPr>
                    <w:t>一级</w:t>
                  </w:r>
                </w:p>
              </w:tc>
              <w:tc>
                <w:tcPr>
                  <w:tcW w:w="709" w:type="dxa"/>
                  <w:tcBorders>
                    <w:top w:val="single" w:color="000000" w:sz="4" w:space="0"/>
                    <w:left w:val="single" w:color="000000" w:sz="4" w:space="0"/>
                    <w:bottom w:val="single" w:color="000000" w:sz="4" w:space="0"/>
                    <w:right w:val="single" w:color="000000" w:sz="4" w:space="0"/>
                  </w:tcBorders>
                  <w:vAlign w:val="center"/>
                </w:tcPr>
                <w:p>
                  <w:pPr>
                    <w:tabs>
                      <w:tab w:val="left" w:pos="417"/>
                    </w:tabs>
                    <w:adjustRightInd w:val="0"/>
                    <w:snapToGrid w:val="0"/>
                    <w:jc w:val="center"/>
                    <w:rPr>
                      <w:rFonts w:ascii="Times New Roman" w:hAnsi="Times New Roman" w:eastAsia="宋体"/>
                      <w:color w:val="000000" w:themeColor="text1"/>
                      <w:szCs w:val="21"/>
                    </w:rPr>
                  </w:pPr>
                  <w:r>
                    <w:rPr>
                      <w:rFonts w:hint="eastAsia" w:ascii="Times New Roman" w:eastAsia="宋体"/>
                      <w:color w:val="000000" w:themeColor="text1"/>
                      <w:szCs w:val="21"/>
                    </w:rPr>
                    <w:t>二级</w:t>
                  </w:r>
                </w:p>
              </w:tc>
              <w:tc>
                <w:tcPr>
                  <w:tcW w:w="708" w:type="dxa"/>
                  <w:tcBorders>
                    <w:top w:val="single" w:color="000000" w:sz="4" w:space="0"/>
                    <w:left w:val="single" w:color="000000" w:sz="4" w:space="0"/>
                    <w:bottom w:val="single" w:color="000000" w:sz="4" w:space="0"/>
                    <w:right w:val="single" w:color="000000" w:sz="4" w:space="0"/>
                  </w:tcBorders>
                  <w:vAlign w:val="center"/>
                </w:tcPr>
                <w:p>
                  <w:pPr>
                    <w:tabs>
                      <w:tab w:val="left" w:pos="417"/>
                    </w:tabs>
                    <w:adjustRightInd w:val="0"/>
                    <w:snapToGrid w:val="0"/>
                    <w:jc w:val="center"/>
                    <w:rPr>
                      <w:rFonts w:ascii="Times New Roman" w:hAnsi="Times New Roman" w:eastAsia="宋体"/>
                      <w:color w:val="000000" w:themeColor="text1"/>
                      <w:szCs w:val="21"/>
                    </w:rPr>
                  </w:pPr>
                  <w:r>
                    <w:rPr>
                      <w:rFonts w:hint="eastAsia" w:ascii="Times New Roman" w:eastAsia="宋体"/>
                      <w:color w:val="000000" w:themeColor="text1"/>
                      <w:szCs w:val="21"/>
                    </w:rPr>
                    <w:t>二级</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olor w:val="000000" w:themeColor="text1"/>
                      <w:sz w:val="28"/>
                    </w:rPr>
                  </w:pPr>
                  <w:r>
                    <w:rPr>
                      <w:rFonts w:hint="eastAsia" w:ascii="Times New Roman" w:eastAsia="宋体"/>
                      <w:color w:val="000000" w:themeColor="text1"/>
                      <w:szCs w:val="21"/>
                    </w:rPr>
                    <w:t>二级</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olor w:val="000000" w:themeColor="text1"/>
                      <w:sz w:val="28"/>
                    </w:rPr>
                  </w:pPr>
                  <w:r>
                    <w:rPr>
                      <w:rFonts w:hint="eastAsia" w:ascii="Times New Roman" w:eastAsia="宋体"/>
                      <w:color w:val="000000" w:themeColor="text1"/>
                      <w:szCs w:val="21"/>
                    </w:rPr>
                    <w:t>三级</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olor w:val="000000" w:themeColor="text1"/>
                      <w:sz w:val="28"/>
                    </w:rPr>
                  </w:pPr>
                  <w:r>
                    <w:rPr>
                      <w:rFonts w:hint="eastAsia" w:ascii="Times New Roman" w:eastAsia="宋体"/>
                      <w:color w:val="000000" w:themeColor="text1"/>
                      <w:szCs w:val="21"/>
                    </w:rPr>
                    <w:t>三级</w:t>
                  </w: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olor w:val="000000" w:themeColor="text1"/>
                      <w:sz w:val="28"/>
                    </w:rPr>
                  </w:pPr>
                  <w:r>
                    <w:rPr>
                      <w:rFonts w:hint="eastAsia" w:ascii="Times New Roman" w:eastAsia="宋体"/>
                      <w:color w:val="000000" w:themeColor="text1"/>
                      <w:szCs w:val="21"/>
                    </w:rPr>
                    <w:t>三级</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宋体"/>
                      <w:color w:val="000000" w:themeColor="text1"/>
                      <w:sz w:val="28"/>
                    </w:rPr>
                  </w:pPr>
                  <w:r>
                    <w:rPr>
                      <w:rFonts w:hint="eastAsia" w:ascii="Times New Roman" w:hAnsi="Times New Roman" w:eastAsia="宋体"/>
                      <w:color w:val="000000" w:themeColor="text1"/>
                      <w:szCs w:val="21"/>
                    </w:rPr>
                    <w:t>—</w:t>
                  </w:r>
                </w:p>
              </w:tc>
              <w:tc>
                <w:tcPr>
                  <w:tcW w:w="687" w:type="dxa"/>
                  <w:tcBorders>
                    <w:top w:val="single" w:color="000000" w:sz="4" w:space="0"/>
                    <w:left w:val="single" w:color="000000" w:sz="4" w:space="0"/>
                    <w:bottom w:val="single" w:color="000000" w:sz="4" w:space="0"/>
                    <w:right w:val="nil"/>
                  </w:tcBorders>
                  <w:vAlign w:val="center"/>
                </w:tcPr>
                <w:p>
                  <w:pPr>
                    <w:jc w:val="center"/>
                    <w:rPr>
                      <w:rFonts w:ascii="Times New Roman" w:hAnsi="Times New Roman" w:eastAsia="宋体"/>
                      <w:color w:val="000000" w:themeColor="text1"/>
                      <w:sz w:val="28"/>
                    </w:rPr>
                  </w:pPr>
                  <w:r>
                    <w:rPr>
                      <w:rFonts w:hint="eastAsia" w:ascii="Times New Roman" w:hAnsi="Times New Roman" w:eastAsia="宋体"/>
                      <w:color w:val="000000" w:themeColor="text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805" w:type="dxa"/>
                  <w:gridSpan w:val="10"/>
                  <w:tcBorders>
                    <w:top w:val="single" w:color="000000" w:sz="4" w:space="0"/>
                    <w:left w:val="nil"/>
                    <w:bottom w:val="single" w:color="000000" w:sz="8" w:space="0"/>
                    <w:right w:val="nil"/>
                  </w:tcBorders>
                  <w:vAlign w:val="center"/>
                </w:tcPr>
                <w:p>
                  <w:pPr>
                    <w:tabs>
                      <w:tab w:val="left" w:pos="417"/>
                    </w:tabs>
                    <w:adjustRightInd w:val="0"/>
                    <w:snapToGrid w:val="0"/>
                    <w:jc w:val="left"/>
                    <w:rPr>
                      <w:rFonts w:ascii="Times New Roman" w:hAnsi="Times New Roman" w:eastAsia="宋体"/>
                      <w:color w:val="000000" w:themeColor="text1"/>
                      <w:szCs w:val="21"/>
                    </w:rPr>
                  </w:pPr>
                  <w:r>
                    <w:rPr>
                      <w:rFonts w:hint="eastAsia" w:ascii="Times New Roman" w:eastAsia="宋体"/>
                      <w:color w:val="000000" w:themeColor="text1"/>
                      <w:szCs w:val="21"/>
                    </w:rPr>
                    <w:t>注：</w:t>
                  </w:r>
                  <w:r>
                    <w:rPr>
                      <w:rFonts w:hint="eastAsia" w:ascii="Times New Roman" w:hAnsi="Times New Roman" w:eastAsia="宋体"/>
                      <w:color w:val="000000" w:themeColor="text1"/>
                      <w:szCs w:val="21"/>
                    </w:rPr>
                    <w:t>“—”</w:t>
                  </w:r>
                  <w:r>
                    <w:rPr>
                      <w:rFonts w:hint="eastAsia" w:ascii="Times New Roman" w:eastAsia="宋体"/>
                      <w:color w:val="000000" w:themeColor="text1"/>
                      <w:szCs w:val="21"/>
                    </w:rPr>
                    <w:t>表示可不开展土壤环境影响评价工作</w:t>
                  </w:r>
                </w:p>
              </w:tc>
            </w:tr>
          </w:tbl>
          <w:p>
            <w:pPr>
              <w:spacing w:line="440" w:lineRule="exact"/>
              <w:ind w:firstLine="480" w:firstLineChars="200"/>
              <w:rPr>
                <w:rFonts w:ascii="Times New Roman" w:hAnsi="Times New Roman" w:eastAsia="宋体" w:cs="宋体"/>
                <w:color w:val="000000" w:themeColor="text1"/>
                <w:sz w:val="24"/>
              </w:rPr>
            </w:pPr>
            <w:r>
              <w:rPr>
                <w:rFonts w:hint="eastAsia" w:ascii="Times New Roman" w:eastAsia="宋体"/>
                <w:color w:val="000000" w:themeColor="text1"/>
                <w:sz w:val="24"/>
              </w:rPr>
              <w:t>根据《环境影响评价技术导则土壤环境（试行）》（</w:t>
            </w:r>
            <w:r>
              <w:rPr>
                <w:rFonts w:ascii="Times New Roman" w:hAnsi="Times New Roman" w:eastAsia="宋体"/>
                <w:color w:val="000000" w:themeColor="text1"/>
                <w:sz w:val="24"/>
              </w:rPr>
              <w:t>HJ964-2018</w:t>
            </w:r>
            <w:r>
              <w:rPr>
                <w:rFonts w:hint="eastAsia" w:ascii="Times New Roman" w:eastAsia="宋体"/>
                <w:color w:val="000000" w:themeColor="text1"/>
                <w:sz w:val="24"/>
              </w:rPr>
              <w:t>）附录</w:t>
            </w:r>
            <w:r>
              <w:rPr>
                <w:rFonts w:ascii="Times New Roman" w:hAnsi="Times New Roman" w:eastAsia="宋体"/>
                <w:color w:val="000000" w:themeColor="text1"/>
                <w:sz w:val="24"/>
              </w:rPr>
              <w:t>A</w:t>
            </w:r>
            <w:r>
              <w:rPr>
                <w:rFonts w:hint="eastAsia" w:ascii="Times New Roman" w:eastAsia="宋体"/>
                <w:color w:val="000000" w:themeColor="text1"/>
                <w:sz w:val="24"/>
              </w:rPr>
              <w:t>土壤环境影响评价项目类别表</w:t>
            </w:r>
            <w:r>
              <w:rPr>
                <w:rFonts w:ascii="Times New Roman" w:hAnsi="Times New Roman" w:eastAsia="宋体"/>
                <w:color w:val="000000" w:themeColor="text1"/>
                <w:sz w:val="24"/>
              </w:rPr>
              <w:t>A.1</w:t>
            </w:r>
            <w:r>
              <w:rPr>
                <w:rFonts w:hint="eastAsia" w:ascii="Times New Roman" w:eastAsia="宋体"/>
                <w:color w:val="000000" w:themeColor="text1"/>
                <w:sz w:val="24"/>
              </w:rPr>
              <w:t>土壤环境影响评价项目类别可知，本项目属于制造业</w:t>
            </w:r>
            <w:r>
              <w:rPr>
                <w:rFonts w:hint="eastAsia" w:ascii="Times New Roman" w:hAnsi="Times New Roman" w:eastAsia="宋体"/>
                <w:color w:val="000000" w:themeColor="text1"/>
                <w:sz w:val="24"/>
              </w:rPr>
              <w:t>——</w:t>
            </w:r>
            <w:r>
              <w:rPr>
                <w:rFonts w:hint="eastAsia" w:ascii="Times New Roman" w:eastAsia="宋体"/>
                <w:color w:val="000000" w:themeColor="text1"/>
                <w:sz w:val="24"/>
              </w:rPr>
              <w:t>石油、化工中的其他项目类别，属于</w:t>
            </w:r>
            <w:r>
              <w:rPr>
                <w:rFonts w:ascii="Times New Roman" w:hAnsi="Times New Roman" w:eastAsia="宋体"/>
                <w:color w:val="000000" w:themeColor="text1"/>
                <w:sz w:val="24"/>
              </w:rPr>
              <w:t>III</w:t>
            </w:r>
            <w:r>
              <w:rPr>
                <w:rFonts w:hint="eastAsia" w:ascii="Times New Roman" w:eastAsia="宋体"/>
                <w:color w:val="000000" w:themeColor="text1"/>
                <w:sz w:val="24"/>
              </w:rPr>
              <w:t>类项目。本项目占地面积为</w:t>
            </w:r>
            <w:r>
              <w:rPr>
                <w:rFonts w:hint="eastAsia" w:ascii="Times New Roman" w:hAnsi="Times New Roman" w:eastAsia="宋体"/>
                <w:color w:val="000000" w:themeColor="text1"/>
                <w:sz w:val="24"/>
              </w:rPr>
              <w:t>2025</w:t>
            </w:r>
            <w:r>
              <w:rPr>
                <w:rFonts w:hint="eastAsia" w:ascii="Times New Roman" w:eastAsia="宋体"/>
                <w:color w:val="000000" w:themeColor="text1"/>
                <w:sz w:val="24"/>
              </w:rPr>
              <w:t>平方米，属于小型规模，项目位于</w:t>
            </w:r>
            <w:r>
              <w:rPr>
                <w:rFonts w:ascii="Times New Roman" w:hAnsi="Times New Roman" w:eastAsia="宋体"/>
                <w:bCs/>
                <w:color w:val="000000" w:themeColor="text1"/>
                <w:sz w:val="24"/>
              </w:rPr>
              <w:t>新乡市新乡县七里营镇</w:t>
            </w:r>
            <w:r>
              <w:rPr>
                <w:rFonts w:hint="eastAsia" w:ascii="Times New Roman" w:hAnsi="Times New Roman" w:eastAsia="宋体"/>
                <w:bCs/>
                <w:color w:val="000000" w:themeColor="text1"/>
                <w:sz w:val="24"/>
              </w:rPr>
              <w:t>107国道与胡韦线交叉口中原兴业产业园</w:t>
            </w:r>
            <w:r>
              <w:rPr>
                <w:rFonts w:hint="eastAsia" w:ascii="Times New Roman" w:eastAsia="宋体"/>
                <w:color w:val="000000" w:themeColor="text1"/>
                <w:sz w:val="24"/>
              </w:rPr>
              <w:t>，属于</w:t>
            </w:r>
            <w:r>
              <w:rPr>
                <w:rFonts w:hint="eastAsia" w:ascii="Times New Roman" w:hAnsi="Times New Roman" w:eastAsia="宋体"/>
                <w:color w:val="000000" w:themeColor="text1"/>
                <w:sz w:val="24"/>
              </w:rPr>
              <w:t>新乡经济技术产业集聚区，项目周围全部为工业用地，故</w:t>
            </w:r>
            <w:r>
              <w:rPr>
                <w:rFonts w:hint="eastAsia" w:ascii="Times New Roman" w:eastAsia="宋体"/>
                <w:color w:val="000000" w:themeColor="text1"/>
                <w:sz w:val="24"/>
              </w:rPr>
              <w:t>属于不敏感区。</w:t>
            </w:r>
          </w:p>
          <w:p>
            <w:pPr>
              <w:adjustRightInd w:val="0"/>
              <w:snapToGrid w:val="0"/>
              <w:spacing w:line="440" w:lineRule="exact"/>
              <w:ind w:firstLine="480" w:firstLineChars="200"/>
              <w:rPr>
                <w:rFonts w:ascii="Times New Roman" w:hAnsi="Times New Roman" w:eastAsia="宋体"/>
                <w:color w:val="000000" w:themeColor="text1"/>
                <w:kern w:val="24"/>
                <w:sz w:val="24"/>
              </w:rPr>
            </w:pPr>
            <w:r>
              <w:rPr>
                <w:rFonts w:hint="eastAsia" w:ascii="Times New Roman" w:eastAsia="宋体"/>
                <w:color w:val="000000" w:themeColor="text1"/>
                <w:sz w:val="24"/>
              </w:rPr>
              <w:t>由表</w:t>
            </w:r>
            <w:r>
              <w:rPr>
                <w:rFonts w:hint="eastAsia" w:ascii="Times New Roman" w:hAnsi="Times New Roman" w:eastAsia="宋体"/>
                <w:color w:val="000000" w:themeColor="text1"/>
                <w:sz w:val="24"/>
              </w:rPr>
              <w:t>51</w:t>
            </w:r>
            <w:r>
              <w:rPr>
                <w:rFonts w:hint="eastAsia" w:ascii="Times New Roman" w:eastAsia="宋体"/>
                <w:color w:val="000000" w:themeColor="text1"/>
                <w:sz w:val="24"/>
              </w:rPr>
              <w:t>可知：本项目可不开展土壤环境影响评价工作；故本项目不再对土壤环境进行影响评价。</w:t>
            </w:r>
          </w:p>
          <w:p>
            <w:pPr>
              <w:adjustRightInd w:val="0"/>
              <w:snapToGrid w:val="0"/>
              <w:spacing w:line="440" w:lineRule="exact"/>
              <w:ind w:firstLine="472" w:firstLineChars="196"/>
              <w:rPr>
                <w:rFonts w:ascii="Times New Roman" w:hAnsi="Times New Roman" w:eastAsia="宋体"/>
                <w:b/>
                <w:color w:val="000000" w:themeColor="text1"/>
                <w:sz w:val="24"/>
              </w:rPr>
            </w:pPr>
            <w:r>
              <w:rPr>
                <w:rFonts w:hint="eastAsia" w:ascii="Times New Roman" w:eastAsia="宋体"/>
                <w:b/>
                <w:color w:val="000000" w:themeColor="text1"/>
                <w:sz w:val="24"/>
              </w:rPr>
              <w:t>六、项目完成后全厂污染物产排情况</w:t>
            </w:r>
          </w:p>
          <w:p>
            <w:pPr>
              <w:adjustRightInd w:val="0"/>
              <w:snapToGrid w:val="0"/>
              <w:spacing w:line="440" w:lineRule="exact"/>
              <w:ind w:firstLine="470" w:firstLineChars="196"/>
              <w:rPr>
                <w:rFonts w:ascii="Times New Roman" w:hAnsi="Times New Roman" w:eastAsia="宋体"/>
                <w:color w:val="000000" w:themeColor="text1"/>
                <w:sz w:val="24"/>
              </w:rPr>
            </w:pPr>
            <w:r>
              <w:rPr>
                <w:rFonts w:hint="eastAsia" w:ascii="Times New Roman" w:eastAsia="宋体"/>
                <w:color w:val="000000" w:themeColor="text1"/>
                <w:sz w:val="24"/>
              </w:rPr>
              <w:t>本项目完成后全厂污染物产排情况详见表</w:t>
            </w:r>
            <w:r>
              <w:rPr>
                <w:rFonts w:hint="eastAsia" w:ascii="Times New Roman" w:hAnsi="Times New Roman" w:eastAsia="宋体"/>
                <w:color w:val="000000" w:themeColor="text1"/>
                <w:sz w:val="24"/>
              </w:rPr>
              <w:t>52</w:t>
            </w:r>
            <w:r>
              <w:rPr>
                <w:rFonts w:hint="eastAsia" w:ascii="Times New Roman" w:eastAsia="宋体"/>
                <w:color w:val="000000" w:themeColor="text1"/>
                <w:sz w:val="24"/>
              </w:rPr>
              <w:t>：</w:t>
            </w:r>
          </w:p>
          <w:p>
            <w:pPr>
              <w:spacing w:line="440" w:lineRule="exact"/>
              <w:jc w:val="center"/>
              <w:rPr>
                <w:rFonts w:ascii="Times New Roman" w:hAnsi="Times New Roman" w:eastAsia="宋体"/>
                <w:b/>
                <w:color w:val="000000" w:themeColor="text1"/>
                <w:sz w:val="24"/>
              </w:rPr>
            </w:pPr>
            <w:r>
              <w:rPr>
                <w:rFonts w:hint="eastAsia" w:ascii="Times New Roman" w:eastAsia="宋体"/>
                <w:b/>
                <w:color w:val="000000" w:themeColor="text1"/>
                <w:sz w:val="24"/>
              </w:rPr>
              <w:t>表</w:t>
            </w:r>
            <w:r>
              <w:rPr>
                <w:rFonts w:hint="eastAsia" w:ascii="Times New Roman" w:hAnsi="Times New Roman" w:eastAsia="宋体"/>
                <w:b/>
                <w:color w:val="000000" w:themeColor="text1"/>
                <w:sz w:val="24"/>
              </w:rPr>
              <w:t xml:space="preserve">52    </w:t>
            </w:r>
            <w:r>
              <w:rPr>
                <w:rFonts w:hint="eastAsia" w:ascii="Times New Roman" w:eastAsia="宋体"/>
                <w:b/>
                <w:color w:val="000000" w:themeColor="text1"/>
                <w:sz w:val="24"/>
              </w:rPr>
              <w:t>项目完成后全厂污染物产排一览表</w:t>
            </w:r>
          </w:p>
          <w:tbl>
            <w:tblPr>
              <w:tblStyle w:val="24"/>
              <w:tblpPr w:leftFromText="180" w:rightFromText="180" w:vertAnchor="text" w:horzAnchor="margin" w:tblpXSpec="center" w:tblpY="32"/>
              <w:tblOverlap w:val="never"/>
              <w:tblW w:w="9072"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3"/>
              <w:gridCol w:w="831"/>
              <w:gridCol w:w="1134"/>
              <w:gridCol w:w="1047"/>
              <w:gridCol w:w="934"/>
              <w:gridCol w:w="1159"/>
              <w:gridCol w:w="1167"/>
              <w:gridCol w:w="1181"/>
              <w:gridCol w:w="117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tcBorders>
                    <w:top w:val="single" w:color="auto" w:sz="8" w:space="0"/>
                    <w:bottom w:val="single" w:color="auto" w:sz="8" w:space="0"/>
                  </w:tcBorders>
                  <w:vAlign w:val="center"/>
                </w:tcPr>
                <w:p>
                  <w:pPr>
                    <w:pStyle w:val="10"/>
                    <w:adjustRightInd w:val="0"/>
                    <w:snapToGrid w:val="0"/>
                    <w:spacing w:line="240" w:lineRule="auto"/>
                    <w:ind w:firstLine="0" w:firstLineChars="0"/>
                    <w:jc w:val="center"/>
                    <w:rPr>
                      <w:rFonts w:ascii="Times New Roman" w:hAnsi="Times New Roman" w:eastAsia="宋体"/>
                      <w:b/>
                      <w:color w:val="000000" w:themeColor="text1"/>
                      <w:sz w:val="21"/>
                      <w:szCs w:val="21"/>
                    </w:rPr>
                  </w:pPr>
                  <w:r>
                    <w:rPr>
                      <w:rFonts w:hint="eastAsia" w:ascii="Times New Roman" w:eastAsia="宋体"/>
                      <w:b/>
                      <w:color w:val="000000" w:themeColor="text1"/>
                      <w:sz w:val="21"/>
                      <w:szCs w:val="21"/>
                    </w:rPr>
                    <w:t>污染物</w:t>
                  </w:r>
                </w:p>
              </w:tc>
              <w:tc>
                <w:tcPr>
                  <w:tcW w:w="458" w:type="pct"/>
                  <w:tcBorders>
                    <w:top w:val="single" w:color="auto" w:sz="8" w:space="0"/>
                    <w:bottom w:val="single" w:color="auto" w:sz="8" w:space="0"/>
                  </w:tcBorders>
                  <w:vAlign w:val="center"/>
                </w:tcPr>
                <w:p>
                  <w:pPr>
                    <w:pStyle w:val="10"/>
                    <w:adjustRightInd w:val="0"/>
                    <w:snapToGrid w:val="0"/>
                    <w:spacing w:line="240" w:lineRule="auto"/>
                    <w:ind w:firstLine="0" w:firstLineChars="0"/>
                    <w:jc w:val="center"/>
                    <w:rPr>
                      <w:rFonts w:ascii="Times New Roman" w:hAnsi="Times New Roman" w:eastAsia="宋体"/>
                      <w:b/>
                      <w:color w:val="000000" w:themeColor="text1"/>
                      <w:sz w:val="21"/>
                      <w:szCs w:val="21"/>
                    </w:rPr>
                  </w:pPr>
                  <w:r>
                    <w:rPr>
                      <w:rFonts w:hint="eastAsia" w:ascii="Times New Roman" w:eastAsia="宋体"/>
                      <w:b/>
                      <w:color w:val="000000" w:themeColor="text1"/>
                      <w:sz w:val="21"/>
                      <w:szCs w:val="21"/>
                    </w:rPr>
                    <w:t>产污环节</w:t>
                  </w:r>
                </w:p>
              </w:tc>
              <w:tc>
                <w:tcPr>
                  <w:tcW w:w="625" w:type="pct"/>
                  <w:tcBorders>
                    <w:top w:val="single" w:color="auto" w:sz="8" w:space="0"/>
                    <w:bottom w:val="single" w:color="auto" w:sz="8" w:space="0"/>
                  </w:tcBorders>
                  <w:vAlign w:val="center"/>
                </w:tcPr>
                <w:p>
                  <w:pPr>
                    <w:pStyle w:val="10"/>
                    <w:adjustRightInd w:val="0"/>
                    <w:snapToGrid w:val="0"/>
                    <w:spacing w:line="240" w:lineRule="auto"/>
                    <w:ind w:firstLine="0" w:firstLineChars="0"/>
                    <w:jc w:val="center"/>
                    <w:rPr>
                      <w:rFonts w:ascii="Times New Roman" w:hAnsi="Times New Roman" w:eastAsia="宋体"/>
                      <w:b/>
                      <w:color w:val="000000" w:themeColor="text1"/>
                      <w:sz w:val="21"/>
                      <w:szCs w:val="21"/>
                    </w:rPr>
                  </w:pPr>
                  <w:r>
                    <w:rPr>
                      <w:rFonts w:hint="eastAsia" w:ascii="Times New Roman" w:eastAsia="宋体"/>
                      <w:b/>
                      <w:color w:val="000000" w:themeColor="text1"/>
                      <w:sz w:val="21"/>
                      <w:szCs w:val="21"/>
                    </w:rPr>
                    <w:t>污染因子</w:t>
                  </w:r>
                </w:p>
              </w:tc>
              <w:tc>
                <w:tcPr>
                  <w:tcW w:w="577" w:type="pct"/>
                  <w:tcBorders>
                    <w:top w:val="single" w:color="auto" w:sz="8" w:space="0"/>
                    <w:bottom w:val="single" w:color="auto" w:sz="8" w:space="0"/>
                  </w:tcBorders>
                  <w:vAlign w:val="center"/>
                </w:tcPr>
                <w:p>
                  <w:pPr>
                    <w:pStyle w:val="10"/>
                    <w:adjustRightInd w:val="0"/>
                    <w:snapToGrid w:val="0"/>
                    <w:spacing w:line="240" w:lineRule="auto"/>
                    <w:ind w:firstLine="0" w:firstLineChars="0"/>
                    <w:jc w:val="center"/>
                    <w:rPr>
                      <w:rFonts w:ascii="Times New Roman" w:hAnsi="Times New Roman" w:eastAsia="宋体"/>
                      <w:b/>
                      <w:color w:val="000000" w:themeColor="text1"/>
                      <w:sz w:val="21"/>
                      <w:szCs w:val="21"/>
                    </w:rPr>
                  </w:pPr>
                  <w:r>
                    <w:rPr>
                      <w:rFonts w:hint="eastAsia" w:ascii="Times New Roman" w:eastAsia="宋体"/>
                      <w:b/>
                      <w:color w:val="000000" w:themeColor="text1"/>
                      <w:sz w:val="21"/>
                      <w:szCs w:val="21"/>
                    </w:rPr>
                    <w:t>原有工程排放量（</w:t>
                  </w:r>
                  <w:r>
                    <w:rPr>
                      <w:rFonts w:ascii="Times New Roman" w:hAnsi="Times New Roman" w:eastAsia="宋体"/>
                      <w:b/>
                      <w:color w:val="000000" w:themeColor="text1"/>
                      <w:sz w:val="21"/>
                      <w:szCs w:val="21"/>
                    </w:rPr>
                    <w:t>t/a</w:t>
                  </w:r>
                  <w:r>
                    <w:rPr>
                      <w:rFonts w:hint="eastAsia" w:ascii="Times New Roman" w:eastAsia="宋体"/>
                      <w:b/>
                      <w:color w:val="000000" w:themeColor="text1"/>
                      <w:sz w:val="21"/>
                      <w:szCs w:val="21"/>
                    </w:rPr>
                    <w:t>）</w:t>
                  </w:r>
                </w:p>
              </w:tc>
              <w:tc>
                <w:tcPr>
                  <w:tcW w:w="515" w:type="pct"/>
                  <w:tcBorders>
                    <w:top w:val="single" w:color="auto" w:sz="8" w:space="0"/>
                    <w:bottom w:val="single" w:color="auto" w:sz="8" w:space="0"/>
                  </w:tcBorders>
                  <w:vAlign w:val="center"/>
                </w:tcPr>
                <w:p>
                  <w:pPr>
                    <w:pStyle w:val="10"/>
                    <w:adjustRightInd w:val="0"/>
                    <w:snapToGrid w:val="0"/>
                    <w:spacing w:line="240" w:lineRule="auto"/>
                    <w:ind w:firstLine="0" w:firstLineChars="0"/>
                    <w:jc w:val="center"/>
                    <w:rPr>
                      <w:rFonts w:ascii="Times New Roman" w:hAnsi="Times New Roman" w:eastAsia="宋体"/>
                      <w:b/>
                      <w:color w:val="000000" w:themeColor="text1"/>
                      <w:sz w:val="21"/>
                      <w:szCs w:val="21"/>
                    </w:rPr>
                  </w:pPr>
                  <w:r>
                    <w:rPr>
                      <w:rFonts w:hint="eastAsia" w:ascii="Times New Roman" w:eastAsia="宋体"/>
                      <w:b/>
                      <w:color w:val="000000" w:themeColor="text1"/>
                      <w:sz w:val="21"/>
                      <w:szCs w:val="21"/>
                    </w:rPr>
                    <w:t>本项目排放量（</w:t>
                  </w:r>
                  <w:r>
                    <w:rPr>
                      <w:rFonts w:ascii="Times New Roman" w:hAnsi="Times New Roman" w:eastAsia="宋体"/>
                      <w:b/>
                      <w:color w:val="000000" w:themeColor="text1"/>
                      <w:sz w:val="21"/>
                      <w:szCs w:val="21"/>
                    </w:rPr>
                    <w:t>t/a</w:t>
                  </w:r>
                  <w:r>
                    <w:rPr>
                      <w:rFonts w:hint="eastAsia" w:ascii="Times New Roman" w:eastAsia="宋体"/>
                      <w:b/>
                      <w:color w:val="000000" w:themeColor="text1"/>
                      <w:sz w:val="21"/>
                      <w:szCs w:val="21"/>
                    </w:rPr>
                    <w:t>）</w:t>
                  </w:r>
                </w:p>
              </w:tc>
              <w:tc>
                <w:tcPr>
                  <w:tcW w:w="639" w:type="pct"/>
                  <w:tcBorders>
                    <w:top w:val="single" w:color="auto" w:sz="8" w:space="0"/>
                    <w:bottom w:val="single" w:color="auto" w:sz="8" w:space="0"/>
                  </w:tcBorders>
                  <w:vAlign w:val="center"/>
                </w:tcPr>
                <w:p>
                  <w:pPr>
                    <w:jc w:val="center"/>
                    <w:rPr>
                      <w:rFonts w:ascii="Times New Roman" w:hAnsi="Times New Roman" w:eastAsia="宋体"/>
                      <w:b/>
                      <w:color w:val="000000" w:themeColor="text1"/>
                    </w:rPr>
                  </w:pPr>
                  <w:r>
                    <w:rPr>
                      <w:rFonts w:hint="eastAsia" w:ascii="Times New Roman" w:eastAsia="宋体"/>
                      <w:b/>
                      <w:color w:val="000000" w:themeColor="text1"/>
                    </w:rPr>
                    <w:t>区域平衡替代量（</w:t>
                  </w:r>
                  <w:r>
                    <w:rPr>
                      <w:rFonts w:ascii="Times New Roman" w:hAnsi="Times New Roman" w:eastAsia="宋体"/>
                      <w:b/>
                      <w:color w:val="000000" w:themeColor="text1"/>
                    </w:rPr>
                    <w:t>t/a</w:t>
                  </w:r>
                  <w:r>
                    <w:rPr>
                      <w:rFonts w:hint="eastAsia" w:ascii="Times New Roman" w:eastAsia="宋体"/>
                      <w:b/>
                      <w:color w:val="000000" w:themeColor="text1"/>
                    </w:rPr>
                    <w:t>）</w:t>
                  </w:r>
                </w:p>
              </w:tc>
              <w:tc>
                <w:tcPr>
                  <w:tcW w:w="643" w:type="pct"/>
                  <w:tcBorders>
                    <w:top w:val="single" w:color="auto" w:sz="8" w:space="0"/>
                    <w:bottom w:val="single" w:color="auto" w:sz="8" w:space="0"/>
                  </w:tcBorders>
                  <w:vAlign w:val="center"/>
                </w:tcPr>
                <w:p>
                  <w:pPr>
                    <w:pStyle w:val="10"/>
                    <w:adjustRightInd w:val="0"/>
                    <w:snapToGrid w:val="0"/>
                    <w:spacing w:line="240" w:lineRule="auto"/>
                    <w:ind w:firstLine="0" w:firstLineChars="0"/>
                    <w:jc w:val="center"/>
                    <w:rPr>
                      <w:rFonts w:ascii="Times New Roman" w:hAnsi="Times New Roman" w:eastAsia="宋体"/>
                      <w:b/>
                      <w:color w:val="000000" w:themeColor="text1"/>
                      <w:sz w:val="21"/>
                      <w:szCs w:val="21"/>
                    </w:rPr>
                  </w:pPr>
                  <w:r>
                    <w:rPr>
                      <w:rFonts w:hint="eastAsia" w:ascii="Times New Roman" w:eastAsia="宋体"/>
                      <w:b/>
                      <w:color w:val="000000" w:themeColor="text1"/>
                      <w:sz w:val="21"/>
                      <w:szCs w:val="21"/>
                    </w:rPr>
                    <w:t>以新带老削减量（</w:t>
                  </w:r>
                  <w:r>
                    <w:rPr>
                      <w:rFonts w:ascii="Times New Roman" w:hAnsi="Times New Roman" w:eastAsia="宋体"/>
                      <w:b/>
                      <w:color w:val="000000" w:themeColor="text1"/>
                      <w:sz w:val="21"/>
                      <w:szCs w:val="21"/>
                    </w:rPr>
                    <w:t>t/a</w:t>
                  </w:r>
                  <w:r>
                    <w:rPr>
                      <w:rFonts w:hint="eastAsia" w:ascii="Times New Roman" w:eastAsia="宋体"/>
                      <w:b/>
                      <w:color w:val="000000" w:themeColor="text1"/>
                      <w:sz w:val="21"/>
                      <w:szCs w:val="21"/>
                    </w:rPr>
                    <w:t>）</w:t>
                  </w:r>
                </w:p>
              </w:tc>
              <w:tc>
                <w:tcPr>
                  <w:tcW w:w="651" w:type="pct"/>
                  <w:tcBorders>
                    <w:top w:val="single" w:color="auto" w:sz="8" w:space="0"/>
                    <w:bottom w:val="single" w:color="auto" w:sz="8" w:space="0"/>
                  </w:tcBorders>
                  <w:vAlign w:val="center"/>
                </w:tcPr>
                <w:p>
                  <w:pPr>
                    <w:pStyle w:val="10"/>
                    <w:adjustRightInd w:val="0"/>
                    <w:snapToGrid w:val="0"/>
                    <w:spacing w:line="240" w:lineRule="auto"/>
                    <w:ind w:firstLine="0" w:firstLineChars="0"/>
                    <w:jc w:val="center"/>
                    <w:rPr>
                      <w:rFonts w:ascii="Times New Roman" w:hAnsi="Times New Roman" w:eastAsia="宋体"/>
                      <w:b/>
                      <w:color w:val="000000" w:themeColor="text1"/>
                      <w:sz w:val="21"/>
                      <w:szCs w:val="21"/>
                    </w:rPr>
                  </w:pPr>
                  <w:r>
                    <w:rPr>
                      <w:rFonts w:hint="eastAsia" w:ascii="Times New Roman" w:eastAsia="宋体"/>
                      <w:b/>
                      <w:color w:val="000000" w:themeColor="text1"/>
                      <w:sz w:val="21"/>
                      <w:szCs w:val="21"/>
                    </w:rPr>
                    <w:t>本项目完成后全厂排放量（</w:t>
                  </w:r>
                  <w:r>
                    <w:rPr>
                      <w:rFonts w:ascii="Times New Roman" w:hAnsi="Times New Roman" w:eastAsia="宋体"/>
                      <w:b/>
                      <w:color w:val="000000" w:themeColor="text1"/>
                      <w:sz w:val="21"/>
                      <w:szCs w:val="21"/>
                    </w:rPr>
                    <w:t>t/a</w:t>
                  </w:r>
                  <w:r>
                    <w:rPr>
                      <w:rFonts w:hint="eastAsia" w:ascii="Times New Roman" w:eastAsia="宋体"/>
                      <w:b/>
                      <w:color w:val="000000" w:themeColor="text1"/>
                      <w:sz w:val="21"/>
                      <w:szCs w:val="21"/>
                    </w:rPr>
                    <w:t>）</w:t>
                  </w:r>
                </w:p>
              </w:tc>
              <w:tc>
                <w:tcPr>
                  <w:tcW w:w="648" w:type="pct"/>
                  <w:tcBorders>
                    <w:top w:val="single" w:color="auto" w:sz="8" w:space="0"/>
                    <w:bottom w:val="single" w:color="auto" w:sz="8" w:space="0"/>
                  </w:tcBorders>
                  <w:vAlign w:val="center"/>
                </w:tcPr>
                <w:p>
                  <w:pPr>
                    <w:pStyle w:val="10"/>
                    <w:adjustRightInd w:val="0"/>
                    <w:snapToGrid w:val="0"/>
                    <w:spacing w:line="240" w:lineRule="auto"/>
                    <w:ind w:firstLine="0" w:firstLineChars="0"/>
                    <w:jc w:val="center"/>
                    <w:rPr>
                      <w:rFonts w:ascii="Times New Roman" w:hAnsi="Times New Roman" w:eastAsia="宋体"/>
                      <w:b/>
                      <w:color w:val="000000" w:themeColor="text1"/>
                      <w:sz w:val="21"/>
                      <w:szCs w:val="21"/>
                    </w:rPr>
                  </w:pPr>
                  <w:r>
                    <w:rPr>
                      <w:rFonts w:hint="eastAsia" w:ascii="Times New Roman" w:eastAsia="宋体"/>
                      <w:b/>
                      <w:color w:val="000000" w:themeColor="text1"/>
                      <w:sz w:val="21"/>
                      <w:szCs w:val="21"/>
                    </w:rPr>
                    <w:t>排放增减量（</w:t>
                  </w:r>
                  <w:r>
                    <w:rPr>
                      <w:rFonts w:hint="eastAsia" w:ascii="Times New Roman" w:hAnsi="Times New Roman" w:eastAsia="宋体"/>
                      <w:b/>
                      <w:color w:val="000000" w:themeColor="text1"/>
                      <w:sz w:val="21"/>
                      <w:szCs w:val="21"/>
                    </w:rPr>
                    <w:t>t/a</w:t>
                  </w:r>
                  <w:r>
                    <w:rPr>
                      <w:rFonts w:hint="eastAsia" w:ascii="Times New Roman" w:eastAsia="宋体"/>
                      <w:b/>
                      <w:color w:val="000000" w:themeColor="text1"/>
                      <w:sz w:val="21"/>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vMerge w:val="restart"/>
                  <w:tcBorders>
                    <w:top w:val="single" w:color="auto" w:sz="8" w:space="0"/>
                  </w:tcBorders>
                  <w:vAlign w:val="center"/>
                </w:tcPr>
                <w:p>
                  <w:pPr>
                    <w:pStyle w:val="10"/>
                    <w:adjustRightInd w:val="0"/>
                    <w:snapToGrid w:val="0"/>
                    <w:spacing w:line="240" w:lineRule="auto"/>
                    <w:ind w:firstLine="0" w:firstLineChars="0"/>
                    <w:jc w:val="center"/>
                    <w:rPr>
                      <w:rFonts w:ascii="Times New Roman" w:hAnsi="Times New Roman" w:eastAsia="宋体"/>
                      <w:color w:val="000000" w:themeColor="text1"/>
                      <w:sz w:val="21"/>
                      <w:szCs w:val="21"/>
                    </w:rPr>
                  </w:pPr>
                  <w:r>
                    <w:rPr>
                      <w:rFonts w:hint="eastAsia" w:ascii="Times New Roman" w:eastAsia="宋体"/>
                      <w:color w:val="000000" w:themeColor="text1"/>
                      <w:sz w:val="21"/>
                      <w:szCs w:val="21"/>
                    </w:rPr>
                    <w:t>废水</w:t>
                  </w:r>
                </w:p>
              </w:tc>
              <w:tc>
                <w:tcPr>
                  <w:tcW w:w="458" w:type="pct"/>
                  <w:vMerge w:val="restart"/>
                  <w:tcBorders>
                    <w:top w:val="single" w:color="auto" w:sz="8" w:space="0"/>
                  </w:tcBorders>
                  <w:vAlign w:val="center"/>
                </w:tcPr>
                <w:p>
                  <w:pPr>
                    <w:pStyle w:val="10"/>
                    <w:adjustRightInd w:val="0"/>
                    <w:snapToGrid w:val="0"/>
                    <w:spacing w:line="240" w:lineRule="auto"/>
                    <w:ind w:firstLine="0" w:firstLineChars="0"/>
                    <w:jc w:val="center"/>
                    <w:rPr>
                      <w:rFonts w:ascii="Times New Roman" w:hAnsi="Times New Roman" w:eastAsia="宋体"/>
                      <w:color w:val="000000" w:themeColor="text1"/>
                      <w:sz w:val="21"/>
                      <w:szCs w:val="21"/>
                    </w:rPr>
                  </w:pPr>
                  <w:r>
                    <w:rPr>
                      <w:rFonts w:hint="eastAsia" w:ascii="Times New Roman" w:eastAsia="宋体"/>
                      <w:color w:val="000000" w:themeColor="text1"/>
                      <w:sz w:val="21"/>
                      <w:szCs w:val="21"/>
                    </w:rPr>
                    <w:t>生活污水</w:t>
                  </w:r>
                </w:p>
              </w:tc>
              <w:tc>
                <w:tcPr>
                  <w:tcW w:w="625" w:type="pct"/>
                  <w:tcBorders>
                    <w:top w:val="single" w:color="auto" w:sz="8" w:space="0"/>
                  </w:tcBorders>
                  <w:vAlign w:val="center"/>
                </w:tcPr>
                <w:p>
                  <w:pPr>
                    <w:pStyle w:val="10"/>
                    <w:adjustRightInd w:val="0"/>
                    <w:snapToGrid w:val="0"/>
                    <w:spacing w:line="240" w:lineRule="auto"/>
                    <w:ind w:firstLine="0" w:firstLineChars="0"/>
                    <w:jc w:val="center"/>
                    <w:rPr>
                      <w:rFonts w:ascii="Times New Roman" w:hAnsi="Times New Roman" w:eastAsia="宋体"/>
                      <w:color w:val="000000" w:themeColor="text1"/>
                      <w:sz w:val="21"/>
                      <w:szCs w:val="21"/>
                    </w:rPr>
                  </w:pPr>
                  <w:r>
                    <w:rPr>
                      <w:rFonts w:hint="eastAsia" w:ascii="Times New Roman" w:eastAsia="宋体"/>
                      <w:color w:val="000000" w:themeColor="text1"/>
                      <w:sz w:val="21"/>
                      <w:szCs w:val="21"/>
                    </w:rPr>
                    <w:t>废水量</w:t>
                  </w:r>
                </w:p>
              </w:tc>
              <w:tc>
                <w:tcPr>
                  <w:tcW w:w="577" w:type="pct"/>
                  <w:tcBorders>
                    <w:top w:val="single" w:color="auto" w:sz="8" w:space="0"/>
                  </w:tcBorders>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504</w:t>
                  </w:r>
                </w:p>
              </w:tc>
              <w:tc>
                <w:tcPr>
                  <w:tcW w:w="515" w:type="pct"/>
                  <w:tcBorders>
                    <w:top w:val="single" w:color="auto" w:sz="8" w:space="0"/>
                  </w:tcBorders>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c>
                <w:tcPr>
                  <w:tcW w:w="639" w:type="pct"/>
                  <w:tcBorders>
                    <w:top w:val="single" w:color="auto" w:sz="8" w:space="0"/>
                  </w:tcBorders>
                  <w:vAlign w:val="center"/>
                </w:tcPr>
                <w:p>
                  <w:pPr>
                    <w:jc w:val="center"/>
                    <w:rPr>
                      <w:rFonts w:ascii="Times New Roman" w:hAnsi="Times New Roman" w:eastAsia="宋体"/>
                      <w:color w:val="000000" w:themeColor="text1"/>
                    </w:rPr>
                  </w:pPr>
                  <w:r>
                    <w:rPr>
                      <w:rFonts w:ascii="Times New Roman" w:hAnsi="Times New Roman" w:eastAsia="宋体"/>
                      <w:color w:val="000000" w:themeColor="text1"/>
                    </w:rPr>
                    <w:t>0</w:t>
                  </w:r>
                </w:p>
              </w:tc>
              <w:tc>
                <w:tcPr>
                  <w:tcW w:w="643" w:type="pct"/>
                  <w:tcBorders>
                    <w:top w:val="single" w:color="auto" w:sz="8" w:space="0"/>
                  </w:tcBorders>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c>
                <w:tcPr>
                  <w:tcW w:w="651" w:type="pct"/>
                  <w:tcBorders>
                    <w:top w:val="single" w:color="auto" w:sz="8" w:space="0"/>
                  </w:tcBorders>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504</w:t>
                  </w:r>
                </w:p>
              </w:tc>
              <w:tc>
                <w:tcPr>
                  <w:tcW w:w="648" w:type="pct"/>
                  <w:tcBorders>
                    <w:top w:val="single" w:color="auto" w:sz="8" w:space="0"/>
                  </w:tcBorders>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vMerge w:val="continue"/>
                  <w:vAlign w:val="center"/>
                </w:tcPr>
                <w:p>
                  <w:pPr>
                    <w:widowControl/>
                    <w:jc w:val="center"/>
                    <w:rPr>
                      <w:rFonts w:ascii="Times New Roman" w:hAnsi="Times New Roman" w:eastAsia="宋体"/>
                      <w:color w:val="000000" w:themeColor="text1"/>
                      <w:szCs w:val="21"/>
                    </w:rPr>
                  </w:pPr>
                </w:p>
              </w:tc>
              <w:tc>
                <w:tcPr>
                  <w:tcW w:w="458" w:type="pct"/>
                  <w:vMerge w:val="continue"/>
                  <w:vAlign w:val="center"/>
                </w:tcPr>
                <w:p>
                  <w:pPr>
                    <w:jc w:val="center"/>
                    <w:rPr>
                      <w:rFonts w:ascii="Times New Roman" w:hAnsi="Times New Roman" w:eastAsia="宋体"/>
                      <w:color w:val="000000" w:themeColor="text1"/>
                      <w:szCs w:val="21"/>
                    </w:rPr>
                  </w:pPr>
                </w:p>
              </w:tc>
              <w:tc>
                <w:tcPr>
                  <w:tcW w:w="625"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COD</w:t>
                  </w:r>
                </w:p>
              </w:tc>
              <w:tc>
                <w:tcPr>
                  <w:tcW w:w="577"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0.0252</w:t>
                  </w:r>
                </w:p>
              </w:tc>
              <w:tc>
                <w:tcPr>
                  <w:tcW w:w="515"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c>
                <w:tcPr>
                  <w:tcW w:w="639" w:type="pct"/>
                  <w:vAlign w:val="center"/>
                </w:tcPr>
                <w:p>
                  <w:pPr>
                    <w:jc w:val="center"/>
                    <w:rPr>
                      <w:rFonts w:ascii="Times New Roman" w:hAnsi="Times New Roman" w:eastAsia="宋体"/>
                      <w:color w:val="000000" w:themeColor="text1"/>
                    </w:rPr>
                  </w:pPr>
                  <w:r>
                    <w:rPr>
                      <w:rFonts w:ascii="Times New Roman" w:hAnsi="Times New Roman" w:eastAsia="宋体"/>
                      <w:color w:val="000000" w:themeColor="text1"/>
                    </w:rPr>
                    <w:t>0</w:t>
                  </w:r>
                </w:p>
              </w:tc>
              <w:tc>
                <w:tcPr>
                  <w:tcW w:w="643"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c>
                <w:tcPr>
                  <w:tcW w:w="651"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0.0252</w:t>
                  </w:r>
                </w:p>
              </w:tc>
              <w:tc>
                <w:tcPr>
                  <w:tcW w:w="648"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vMerge w:val="continue"/>
                  <w:vAlign w:val="center"/>
                </w:tcPr>
                <w:p>
                  <w:pPr>
                    <w:widowControl/>
                    <w:jc w:val="center"/>
                    <w:rPr>
                      <w:rFonts w:ascii="Times New Roman" w:hAnsi="Times New Roman" w:eastAsia="宋体"/>
                      <w:color w:val="000000" w:themeColor="text1"/>
                      <w:szCs w:val="21"/>
                    </w:rPr>
                  </w:pPr>
                </w:p>
              </w:tc>
              <w:tc>
                <w:tcPr>
                  <w:tcW w:w="458" w:type="pct"/>
                  <w:vMerge w:val="continue"/>
                  <w:vAlign w:val="center"/>
                </w:tcPr>
                <w:p>
                  <w:pPr>
                    <w:jc w:val="center"/>
                    <w:rPr>
                      <w:rFonts w:ascii="Times New Roman" w:hAnsi="Times New Roman" w:eastAsia="宋体"/>
                      <w:color w:val="000000" w:themeColor="text1"/>
                      <w:szCs w:val="21"/>
                    </w:rPr>
                  </w:pPr>
                </w:p>
              </w:tc>
              <w:tc>
                <w:tcPr>
                  <w:tcW w:w="625"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NH</w:t>
                  </w:r>
                  <w:r>
                    <w:rPr>
                      <w:rFonts w:ascii="Times New Roman" w:hAnsi="Times New Roman" w:eastAsia="宋体"/>
                      <w:color w:val="000000" w:themeColor="text1"/>
                      <w:szCs w:val="21"/>
                      <w:vertAlign w:val="subscript"/>
                    </w:rPr>
                    <w:t>3</w:t>
                  </w:r>
                  <w:r>
                    <w:rPr>
                      <w:rFonts w:ascii="Times New Roman" w:hAnsi="Times New Roman" w:eastAsia="宋体"/>
                      <w:color w:val="000000" w:themeColor="text1"/>
                      <w:szCs w:val="21"/>
                    </w:rPr>
                    <w:t>-N</w:t>
                  </w:r>
                </w:p>
              </w:tc>
              <w:tc>
                <w:tcPr>
                  <w:tcW w:w="577"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0.0026</w:t>
                  </w:r>
                </w:p>
              </w:tc>
              <w:tc>
                <w:tcPr>
                  <w:tcW w:w="515"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c>
                <w:tcPr>
                  <w:tcW w:w="639" w:type="pct"/>
                  <w:vAlign w:val="center"/>
                </w:tcPr>
                <w:p>
                  <w:pPr>
                    <w:jc w:val="center"/>
                    <w:rPr>
                      <w:rFonts w:ascii="Times New Roman" w:hAnsi="Times New Roman" w:eastAsia="宋体"/>
                      <w:color w:val="000000" w:themeColor="text1"/>
                    </w:rPr>
                  </w:pPr>
                  <w:r>
                    <w:rPr>
                      <w:rFonts w:ascii="Times New Roman" w:hAnsi="Times New Roman" w:eastAsia="宋体"/>
                      <w:color w:val="000000" w:themeColor="text1"/>
                    </w:rPr>
                    <w:t>0</w:t>
                  </w:r>
                </w:p>
              </w:tc>
              <w:tc>
                <w:tcPr>
                  <w:tcW w:w="643"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c>
                <w:tcPr>
                  <w:tcW w:w="651"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0.0026</w:t>
                  </w:r>
                </w:p>
              </w:tc>
              <w:tc>
                <w:tcPr>
                  <w:tcW w:w="648"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vMerge w:val="continue"/>
                  <w:vAlign w:val="center"/>
                </w:tcPr>
                <w:p>
                  <w:pPr>
                    <w:widowControl/>
                    <w:jc w:val="center"/>
                    <w:rPr>
                      <w:rFonts w:ascii="Times New Roman" w:hAnsi="Times New Roman" w:eastAsia="宋体"/>
                      <w:color w:val="000000" w:themeColor="text1"/>
                      <w:szCs w:val="21"/>
                    </w:rPr>
                  </w:pPr>
                </w:p>
              </w:tc>
              <w:tc>
                <w:tcPr>
                  <w:tcW w:w="458" w:type="pct"/>
                  <w:vMerge w:val="continue"/>
                  <w:vAlign w:val="center"/>
                </w:tcPr>
                <w:p>
                  <w:pPr>
                    <w:jc w:val="center"/>
                    <w:rPr>
                      <w:rFonts w:ascii="Times New Roman" w:hAnsi="Times New Roman" w:eastAsia="宋体"/>
                      <w:color w:val="000000" w:themeColor="text1"/>
                      <w:szCs w:val="21"/>
                    </w:rPr>
                  </w:pPr>
                </w:p>
              </w:tc>
              <w:tc>
                <w:tcPr>
                  <w:tcW w:w="625"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TP</w:t>
                  </w:r>
                </w:p>
              </w:tc>
              <w:tc>
                <w:tcPr>
                  <w:tcW w:w="577"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0.0002</w:t>
                  </w:r>
                </w:p>
              </w:tc>
              <w:tc>
                <w:tcPr>
                  <w:tcW w:w="515"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c>
                <w:tcPr>
                  <w:tcW w:w="639" w:type="pct"/>
                  <w:vAlign w:val="center"/>
                </w:tcPr>
                <w:p>
                  <w:pPr>
                    <w:jc w:val="center"/>
                    <w:rPr>
                      <w:rFonts w:ascii="Times New Roman" w:hAnsi="Times New Roman" w:eastAsia="宋体"/>
                      <w:color w:val="000000" w:themeColor="text1"/>
                    </w:rPr>
                  </w:pPr>
                  <w:r>
                    <w:rPr>
                      <w:rFonts w:hint="eastAsia" w:ascii="Times New Roman" w:hAnsi="Times New Roman" w:eastAsia="宋体"/>
                      <w:color w:val="000000" w:themeColor="text1"/>
                    </w:rPr>
                    <w:t>0</w:t>
                  </w:r>
                </w:p>
              </w:tc>
              <w:tc>
                <w:tcPr>
                  <w:tcW w:w="643"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c>
                <w:tcPr>
                  <w:tcW w:w="651"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0.0002</w:t>
                  </w:r>
                </w:p>
              </w:tc>
              <w:tc>
                <w:tcPr>
                  <w:tcW w:w="648"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vMerge w:val="restart"/>
                  <w:vAlign w:val="center"/>
                </w:tcPr>
                <w:p>
                  <w:pPr>
                    <w:pStyle w:val="10"/>
                    <w:adjustRightInd w:val="0"/>
                    <w:snapToGrid w:val="0"/>
                    <w:spacing w:line="240" w:lineRule="auto"/>
                    <w:ind w:firstLine="0" w:firstLineChars="0"/>
                    <w:jc w:val="center"/>
                    <w:rPr>
                      <w:rFonts w:ascii="Times New Roman" w:hAnsi="Times New Roman" w:eastAsia="宋体"/>
                      <w:color w:val="000000" w:themeColor="text1"/>
                      <w:sz w:val="21"/>
                      <w:szCs w:val="21"/>
                    </w:rPr>
                  </w:pPr>
                  <w:r>
                    <w:rPr>
                      <w:rFonts w:hint="eastAsia" w:ascii="Times New Roman" w:eastAsia="宋体"/>
                      <w:color w:val="000000" w:themeColor="text1"/>
                      <w:sz w:val="21"/>
                      <w:szCs w:val="21"/>
                    </w:rPr>
                    <w:t>废气</w:t>
                  </w:r>
                </w:p>
              </w:tc>
              <w:tc>
                <w:tcPr>
                  <w:tcW w:w="458" w:type="pct"/>
                  <w:vMerge w:val="restart"/>
                  <w:vAlign w:val="center"/>
                </w:tcPr>
                <w:p>
                  <w:pPr>
                    <w:pStyle w:val="10"/>
                    <w:adjustRightInd w:val="0"/>
                    <w:snapToGrid w:val="0"/>
                    <w:spacing w:line="240" w:lineRule="auto"/>
                    <w:ind w:firstLine="0" w:firstLineChars="0"/>
                    <w:jc w:val="center"/>
                    <w:rPr>
                      <w:rFonts w:ascii="Times New Roman" w:hAnsi="Times New Roman" w:eastAsia="宋体"/>
                      <w:color w:val="000000" w:themeColor="text1"/>
                      <w:sz w:val="21"/>
                      <w:szCs w:val="21"/>
                    </w:rPr>
                  </w:pPr>
                  <w:r>
                    <w:rPr>
                      <w:rFonts w:hint="eastAsia" w:ascii="Times New Roman" w:eastAsia="宋体"/>
                      <w:color w:val="000000" w:themeColor="text1"/>
                      <w:sz w:val="21"/>
                      <w:szCs w:val="21"/>
                    </w:rPr>
                    <w:t>投料混合工序粉尘</w:t>
                  </w:r>
                </w:p>
              </w:tc>
              <w:tc>
                <w:tcPr>
                  <w:tcW w:w="625" w:type="pct"/>
                  <w:vAlign w:val="center"/>
                </w:tcPr>
                <w:p>
                  <w:pPr>
                    <w:pStyle w:val="10"/>
                    <w:adjustRightInd w:val="0"/>
                    <w:snapToGrid w:val="0"/>
                    <w:spacing w:line="240" w:lineRule="auto"/>
                    <w:ind w:firstLine="0" w:firstLineChars="0"/>
                    <w:jc w:val="center"/>
                    <w:rPr>
                      <w:rFonts w:ascii="Times New Roman" w:hAnsi="Times New Roman" w:eastAsia="宋体"/>
                      <w:color w:val="000000" w:themeColor="text1"/>
                      <w:sz w:val="21"/>
                      <w:szCs w:val="21"/>
                    </w:rPr>
                  </w:pPr>
                  <w:r>
                    <w:rPr>
                      <w:rFonts w:hint="eastAsia" w:ascii="Times New Roman" w:eastAsia="宋体"/>
                      <w:color w:val="000000" w:themeColor="text1"/>
                      <w:sz w:val="21"/>
                      <w:szCs w:val="21"/>
                    </w:rPr>
                    <w:t>有组织颗粒物</w:t>
                  </w:r>
                </w:p>
              </w:tc>
              <w:tc>
                <w:tcPr>
                  <w:tcW w:w="577"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0.0</w:t>
                  </w:r>
                  <w:r>
                    <w:rPr>
                      <w:rFonts w:hint="eastAsia" w:ascii="Times New Roman" w:hAnsi="Times New Roman" w:eastAsia="宋体"/>
                      <w:color w:val="000000" w:themeColor="text1"/>
                      <w:szCs w:val="21"/>
                    </w:rPr>
                    <w:t>087</w:t>
                  </w:r>
                </w:p>
              </w:tc>
              <w:tc>
                <w:tcPr>
                  <w:tcW w:w="515"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c>
                <w:tcPr>
                  <w:tcW w:w="639" w:type="pct"/>
                  <w:vAlign w:val="center"/>
                </w:tcPr>
                <w:p>
                  <w:pPr>
                    <w:jc w:val="center"/>
                    <w:rPr>
                      <w:rFonts w:ascii="Times New Roman" w:hAnsi="Times New Roman" w:eastAsia="宋体"/>
                      <w:color w:val="000000" w:themeColor="text1"/>
                    </w:rPr>
                  </w:pPr>
                  <w:r>
                    <w:rPr>
                      <w:rFonts w:ascii="Times New Roman" w:hAnsi="Times New Roman" w:eastAsia="宋体"/>
                      <w:color w:val="000000" w:themeColor="text1"/>
                    </w:rPr>
                    <w:t>0</w:t>
                  </w:r>
                </w:p>
              </w:tc>
              <w:tc>
                <w:tcPr>
                  <w:tcW w:w="643" w:type="pct"/>
                  <w:vAlign w:val="center"/>
                </w:tcPr>
                <w:p>
                  <w:pPr>
                    <w:pStyle w:val="10"/>
                    <w:adjustRightInd w:val="0"/>
                    <w:snapToGrid w:val="0"/>
                    <w:spacing w:line="240" w:lineRule="auto"/>
                    <w:ind w:firstLine="0" w:firstLineChars="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0</w:t>
                  </w:r>
                </w:p>
              </w:tc>
              <w:tc>
                <w:tcPr>
                  <w:tcW w:w="651"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0.0</w:t>
                  </w:r>
                  <w:r>
                    <w:rPr>
                      <w:rFonts w:hint="eastAsia" w:ascii="Times New Roman" w:hAnsi="Times New Roman" w:eastAsia="宋体"/>
                      <w:color w:val="000000" w:themeColor="text1"/>
                      <w:szCs w:val="21"/>
                    </w:rPr>
                    <w:t>087</w:t>
                  </w:r>
                </w:p>
              </w:tc>
              <w:tc>
                <w:tcPr>
                  <w:tcW w:w="648" w:type="pct"/>
                  <w:vAlign w:val="center"/>
                </w:tcPr>
                <w:p>
                  <w:pPr>
                    <w:pStyle w:val="10"/>
                    <w:adjustRightInd w:val="0"/>
                    <w:snapToGrid w:val="0"/>
                    <w:spacing w:line="240" w:lineRule="auto"/>
                    <w:ind w:firstLine="0" w:firstLineChars="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vMerge w:val="continue"/>
                  <w:vAlign w:val="center"/>
                </w:tcPr>
                <w:p>
                  <w:pPr>
                    <w:pStyle w:val="10"/>
                    <w:adjustRightInd w:val="0"/>
                    <w:snapToGrid w:val="0"/>
                    <w:spacing w:line="240" w:lineRule="auto"/>
                    <w:ind w:firstLine="0" w:firstLineChars="0"/>
                    <w:jc w:val="center"/>
                    <w:rPr>
                      <w:rFonts w:ascii="Times New Roman" w:eastAsia="宋体"/>
                      <w:color w:val="000000" w:themeColor="text1"/>
                      <w:sz w:val="21"/>
                      <w:szCs w:val="21"/>
                    </w:rPr>
                  </w:pPr>
                </w:p>
              </w:tc>
              <w:tc>
                <w:tcPr>
                  <w:tcW w:w="458" w:type="pct"/>
                  <w:vMerge w:val="continue"/>
                  <w:vAlign w:val="center"/>
                </w:tcPr>
                <w:p>
                  <w:pPr>
                    <w:pStyle w:val="10"/>
                    <w:adjustRightInd w:val="0"/>
                    <w:snapToGrid w:val="0"/>
                    <w:spacing w:line="240" w:lineRule="auto"/>
                    <w:ind w:firstLine="0" w:firstLineChars="0"/>
                    <w:jc w:val="center"/>
                    <w:rPr>
                      <w:rFonts w:ascii="Times New Roman" w:eastAsia="宋体"/>
                      <w:color w:val="000000" w:themeColor="text1"/>
                      <w:sz w:val="21"/>
                      <w:szCs w:val="21"/>
                    </w:rPr>
                  </w:pPr>
                </w:p>
              </w:tc>
              <w:tc>
                <w:tcPr>
                  <w:tcW w:w="625" w:type="pct"/>
                  <w:vAlign w:val="center"/>
                </w:tcPr>
                <w:p>
                  <w:pPr>
                    <w:pStyle w:val="10"/>
                    <w:adjustRightInd w:val="0"/>
                    <w:snapToGrid w:val="0"/>
                    <w:spacing w:line="240" w:lineRule="auto"/>
                    <w:ind w:firstLine="0" w:firstLineChars="0"/>
                    <w:jc w:val="center"/>
                    <w:rPr>
                      <w:rFonts w:ascii="Times New Roman" w:eastAsia="宋体"/>
                      <w:color w:val="000000" w:themeColor="text1"/>
                      <w:sz w:val="21"/>
                      <w:szCs w:val="21"/>
                    </w:rPr>
                  </w:pPr>
                  <w:r>
                    <w:rPr>
                      <w:rFonts w:hint="eastAsia" w:ascii="Times New Roman" w:eastAsia="宋体"/>
                      <w:color w:val="000000" w:themeColor="text1"/>
                      <w:sz w:val="21"/>
                      <w:szCs w:val="21"/>
                    </w:rPr>
                    <w:t>无组织颗粒物</w:t>
                  </w:r>
                </w:p>
              </w:tc>
              <w:tc>
                <w:tcPr>
                  <w:tcW w:w="577"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0.0</w:t>
                  </w:r>
                  <w:r>
                    <w:rPr>
                      <w:rFonts w:hint="eastAsia" w:ascii="Times New Roman" w:hAnsi="Times New Roman" w:eastAsia="宋体"/>
                      <w:color w:val="000000" w:themeColor="text1"/>
                      <w:szCs w:val="21"/>
                    </w:rPr>
                    <w:t>965</w:t>
                  </w:r>
                </w:p>
              </w:tc>
              <w:tc>
                <w:tcPr>
                  <w:tcW w:w="515"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c>
                <w:tcPr>
                  <w:tcW w:w="639" w:type="pct"/>
                  <w:vAlign w:val="center"/>
                </w:tcPr>
                <w:p>
                  <w:pPr>
                    <w:jc w:val="center"/>
                    <w:rPr>
                      <w:rFonts w:ascii="Times New Roman" w:hAnsi="Times New Roman" w:eastAsia="宋体"/>
                      <w:color w:val="000000" w:themeColor="text1"/>
                    </w:rPr>
                  </w:pPr>
                  <w:r>
                    <w:rPr>
                      <w:rFonts w:hint="eastAsia" w:ascii="Times New Roman" w:hAnsi="Times New Roman" w:eastAsia="宋体"/>
                      <w:color w:val="000000" w:themeColor="text1"/>
                    </w:rPr>
                    <w:t>0</w:t>
                  </w:r>
                </w:p>
              </w:tc>
              <w:tc>
                <w:tcPr>
                  <w:tcW w:w="643" w:type="pct"/>
                  <w:vAlign w:val="center"/>
                </w:tcPr>
                <w:p>
                  <w:pPr>
                    <w:pStyle w:val="10"/>
                    <w:adjustRightInd w:val="0"/>
                    <w:snapToGrid w:val="0"/>
                    <w:spacing w:line="240" w:lineRule="auto"/>
                    <w:ind w:firstLine="0" w:firstLineChars="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0</w:t>
                  </w:r>
                </w:p>
              </w:tc>
              <w:tc>
                <w:tcPr>
                  <w:tcW w:w="651"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0.0</w:t>
                  </w:r>
                  <w:r>
                    <w:rPr>
                      <w:rFonts w:hint="eastAsia" w:ascii="Times New Roman" w:hAnsi="Times New Roman" w:eastAsia="宋体"/>
                      <w:color w:val="000000" w:themeColor="text1"/>
                      <w:szCs w:val="21"/>
                    </w:rPr>
                    <w:t>965</w:t>
                  </w:r>
                </w:p>
              </w:tc>
              <w:tc>
                <w:tcPr>
                  <w:tcW w:w="648" w:type="pct"/>
                  <w:vAlign w:val="center"/>
                </w:tcPr>
                <w:p>
                  <w:pPr>
                    <w:pStyle w:val="10"/>
                    <w:adjustRightInd w:val="0"/>
                    <w:snapToGrid w:val="0"/>
                    <w:spacing w:line="240" w:lineRule="auto"/>
                    <w:ind w:firstLine="0" w:firstLineChars="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vMerge w:val="continue"/>
                  <w:vAlign w:val="center"/>
                </w:tcPr>
                <w:p>
                  <w:pPr>
                    <w:pStyle w:val="10"/>
                    <w:adjustRightInd w:val="0"/>
                    <w:snapToGrid w:val="0"/>
                    <w:spacing w:line="240" w:lineRule="auto"/>
                    <w:ind w:firstLine="0" w:firstLineChars="0"/>
                    <w:jc w:val="center"/>
                    <w:rPr>
                      <w:rFonts w:ascii="Times New Roman" w:eastAsia="宋体"/>
                      <w:color w:val="000000" w:themeColor="text1"/>
                      <w:sz w:val="21"/>
                      <w:szCs w:val="21"/>
                    </w:rPr>
                  </w:pPr>
                </w:p>
              </w:tc>
              <w:tc>
                <w:tcPr>
                  <w:tcW w:w="458" w:type="pct"/>
                  <w:vMerge w:val="restart"/>
                  <w:vAlign w:val="center"/>
                </w:tcPr>
                <w:p>
                  <w:pPr>
                    <w:pStyle w:val="10"/>
                    <w:adjustRightInd w:val="0"/>
                    <w:snapToGrid w:val="0"/>
                    <w:spacing w:line="240" w:lineRule="auto"/>
                    <w:ind w:firstLine="0" w:firstLineChars="0"/>
                    <w:jc w:val="center"/>
                    <w:rPr>
                      <w:rFonts w:ascii="Times New Roman" w:eastAsia="宋体"/>
                      <w:color w:val="000000" w:themeColor="text1"/>
                      <w:sz w:val="21"/>
                      <w:szCs w:val="21"/>
                    </w:rPr>
                  </w:pPr>
                  <w:r>
                    <w:rPr>
                      <w:rFonts w:ascii="Times New Roman" w:eastAsia="宋体"/>
                      <w:color w:val="000000" w:themeColor="text1"/>
                      <w:sz w:val="21"/>
                      <w:szCs w:val="21"/>
                    </w:rPr>
                    <w:t>捏合工序粉尘</w:t>
                  </w:r>
                </w:p>
              </w:tc>
              <w:tc>
                <w:tcPr>
                  <w:tcW w:w="625" w:type="pct"/>
                  <w:vAlign w:val="center"/>
                </w:tcPr>
                <w:p>
                  <w:pPr>
                    <w:pStyle w:val="10"/>
                    <w:adjustRightInd w:val="0"/>
                    <w:snapToGrid w:val="0"/>
                    <w:spacing w:line="240" w:lineRule="auto"/>
                    <w:ind w:firstLine="0" w:firstLineChars="0"/>
                    <w:jc w:val="center"/>
                    <w:rPr>
                      <w:rFonts w:ascii="Times New Roman" w:eastAsia="宋体"/>
                      <w:color w:val="000000" w:themeColor="text1"/>
                      <w:sz w:val="21"/>
                      <w:szCs w:val="21"/>
                    </w:rPr>
                  </w:pPr>
                  <w:r>
                    <w:rPr>
                      <w:rFonts w:hint="eastAsia" w:ascii="Times New Roman" w:eastAsia="宋体"/>
                      <w:color w:val="000000" w:themeColor="text1"/>
                      <w:sz w:val="21"/>
                      <w:szCs w:val="21"/>
                    </w:rPr>
                    <w:t>有组织颗粒物</w:t>
                  </w:r>
                </w:p>
              </w:tc>
              <w:tc>
                <w:tcPr>
                  <w:tcW w:w="577"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0.0069</w:t>
                  </w:r>
                </w:p>
              </w:tc>
              <w:tc>
                <w:tcPr>
                  <w:tcW w:w="515"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c>
                <w:tcPr>
                  <w:tcW w:w="639" w:type="pct"/>
                  <w:vAlign w:val="center"/>
                </w:tcPr>
                <w:p>
                  <w:pPr>
                    <w:jc w:val="center"/>
                    <w:rPr>
                      <w:rFonts w:ascii="Times New Roman" w:hAnsi="Times New Roman" w:eastAsia="宋体"/>
                      <w:color w:val="000000" w:themeColor="text1"/>
                    </w:rPr>
                  </w:pPr>
                  <w:r>
                    <w:rPr>
                      <w:rFonts w:hint="eastAsia" w:ascii="Times New Roman" w:hAnsi="Times New Roman" w:eastAsia="宋体"/>
                      <w:color w:val="000000" w:themeColor="text1"/>
                    </w:rPr>
                    <w:t>0</w:t>
                  </w:r>
                </w:p>
              </w:tc>
              <w:tc>
                <w:tcPr>
                  <w:tcW w:w="643" w:type="pct"/>
                  <w:vAlign w:val="center"/>
                </w:tcPr>
                <w:p>
                  <w:pPr>
                    <w:pStyle w:val="10"/>
                    <w:adjustRightInd w:val="0"/>
                    <w:snapToGrid w:val="0"/>
                    <w:spacing w:line="240" w:lineRule="auto"/>
                    <w:ind w:firstLine="0" w:firstLineChars="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0</w:t>
                  </w:r>
                </w:p>
              </w:tc>
              <w:tc>
                <w:tcPr>
                  <w:tcW w:w="651"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0.0069</w:t>
                  </w:r>
                </w:p>
              </w:tc>
              <w:tc>
                <w:tcPr>
                  <w:tcW w:w="648"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vMerge w:val="continue"/>
                  <w:vAlign w:val="center"/>
                </w:tcPr>
                <w:p>
                  <w:pPr>
                    <w:pStyle w:val="10"/>
                    <w:adjustRightInd w:val="0"/>
                    <w:snapToGrid w:val="0"/>
                    <w:spacing w:line="240" w:lineRule="auto"/>
                    <w:ind w:firstLine="0" w:firstLineChars="0"/>
                    <w:jc w:val="center"/>
                    <w:rPr>
                      <w:rFonts w:ascii="Times New Roman" w:eastAsia="宋体"/>
                      <w:color w:val="000000" w:themeColor="text1"/>
                      <w:sz w:val="21"/>
                      <w:szCs w:val="21"/>
                    </w:rPr>
                  </w:pPr>
                </w:p>
              </w:tc>
              <w:tc>
                <w:tcPr>
                  <w:tcW w:w="458" w:type="pct"/>
                  <w:vMerge w:val="continue"/>
                  <w:vAlign w:val="center"/>
                </w:tcPr>
                <w:p>
                  <w:pPr>
                    <w:pStyle w:val="10"/>
                    <w:adjustRightInd w:val="0"/>
                    <w:snapToGrid w:val="0"/>
                    <w:spacing w:line="240" w:lineRule="auto"/>
                    <w:ind w:firstLine="0" w:firstLineChars="0"/>
                    <w:jc w:val="center"/>
                    <w:rPr>
                      <w:rFonts w:ascii="Times New Roman" w:eastAsia="宋体"/>
                      <w:color w:val="000000" w:themeColor="text1"/>
                      <w:sz w:val="21"/>
                      <w:szCs w:val="21"/>
                    </w:rPr>
                  </w:pPr>
                </w:p>
              </w:tc>
              <w:tc>
                <w:tcPr>
                  <w:tcW w:w="625" w:type="pct"/>
                  <w:vAlign w:val="center"/>
                </w:tcPr>
                <w:p>
                  <w:pPr>
                    <w:pStyle w:val="10"/>
                    <w:adjustRightInd w:val="0"/>
                    <w:snapToGrid w:val="0"/>
                    <w:spacing w:line="240" w:lineRule="auto"/>
                    <w:ind w:firstLine="0" w:firstLineChars="0"/>
                    <w:jc w:val="center"/>
                    <w:rPr>
                      <w:rFonts w:ascii="Times New Roman" w:eastAsia="宋体"/>
                      <w:color w:val="000000" w:themeColor="text1"/>
                      <w:sz w:val="21"/>
                      <w:szCs w:val="21"/>
                    </w:rPr>
                  </w:pPr>
                  <w:r>
                    <w:rPr>
                      <w:rFonts w:hint="eastAsia" w:ascii="Times New Roman" w:eastAsia="宋体"/>
                      <w:color w:val="000000" w:themeColor="text1"/>
                      <w:sz w:val="21"/>
                      <w:szCs w:val="21"/>
                    </w:rPr>
                    <w:t>无组织颗粒物</w:t>
                  </w:r>
                </w:p>
              </w:tc>
              <w:tc>
                <w:tcPr>
                  <w:tcW w:w="577"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0.0</w:t>
                  </w:r>
                  <w:r>
                    <w:rPr>
                      <w:rFonts w:hint="eastAsia" w:ascii="Times New Roman" w:hAnsi="Times New Roman" w:eastAsia="宋体"/>
                      <w:color w:val="000000" w:themeColor="text1"/>
                      <w:szCs w:val="21"/>
                    </w:rPr>
                    <w:t>14</w:t>
                  </w:r>
                </w:p>
              </w:tc>
              <w:tc>
                <w:tcPr>
                  <w:tcW w:w="515"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c>
                <w:tcPr>
                  <w:tcW w:w="639" w:type="pct"/>
                  <w:vAlign w:val="center"/>
                </w:tcPr>
                <w:p>
                  <w:pPr>
                    <w:jc w:val="center"/>
                    <w:rPr>
                      <w:rFonts w:ascii="Times New Roman" w:hAnsi="Times New Roman" w:eastAsia="宋体"/>
                      <w:color w:val="000000" w:themeColor="text1"/>
                    </w:rPr>
                  </w:pPr>
                  <w:r>
                    <w:rPr>
                      <w:rFonts w:hint="eastAsia" w:ascii="Times New Roman" w:hAnsi="Times New Roman" w:eastAsia="宋体"/>
                      <w:color w:val="000000" w:themeColor="text1"/>
                    </w:rPr>
                    <w:t>0</w:t>
                  </w:r>
                </w:p>
              </w:tc>
              <w:tc>
                <w:tcPr>
                  <w:tcW w:w="643" w:type="pct"/>
                  <w:vAlign w:val="center"/>
                </w:tcPr>
                <w:p>
                  <w:pPr>
                    <w:pStyle w:val="10"/>
                    <w:adjustRightInd w:val="0"/>
                    <w:snapToGrid w:val="0"/>
                    <w:spacing w:line="240" w:lineRule="auto"/>
                    <w:ind w:firstLine="0" w:firstLineChars="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0</w:t>
                  </w:r>
                </w:p>
              </w:tc>
              <w:tc>
                <w:tcPr>
                  <w:tcW w:w="651"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0.0</w:t>
                  </w:r>
                  <w:r>
                    <w:rPr>
                      <w:rFonts w:hint="eastAsia" w:ascii="Times New Roman" w:hAnsi="Times New Roman" w:eastAsia="宋体"/>
                      <w:color w:val="000000" w:themeColor="text1"/>
                      <w:szCs w:val="21"/>
                    </w:rPr>
                    <w:t>14</w:t>
                  </w:r>
                </w:p>
              </w:tc>
              <w:tc>
                <w:tcPr>
                  <w:tcW w:w="648"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vMerge w:val="continue"/>
                  <w:vAlign w:val="center"/>
                </w:tcPr>
                <w:p>
                  <w:pPr>
                    <w:pStyle w:val="10"/>
                    <w:adjustRightInd w:val="0"/>
                    <w:snapToGrid w:val="0"/>
                    <w:spacing w:line="240" w:lineRule="auto"/>
                    <w:ind w:firstLine="0" w:firstLineChars="0"/>
                    <w:jc w:val="center"/>
                    <w:rPr>
                      <w:rFonts w:ascii="Times New Roman" w:eastAsia="宋体"/>
                      <w:color w:val="000000" w:themeColor="text1"/>
                      <w:sz w:val="21"/>
                      <w:szCs w:val="21"/>
                    </w:rPr>
                  </w:pPr>
                </w:p>
              </w:tc>
              <w:tc>
                <w:tcPr>
                  <w:tcW w:w="458" w:type="pct"/>
                  <w:vMerge w:val="restart"/>
                  <w:vAlign w:val="center"/>
                </w:tcPr>
                <w:p>
                  <w:pPr>
                    <w:pStyle w:val="10"/>
                    <w:adjustRightInd w:val="0"/>
                    <w:snapToGrid w:val="0"/>
                    <w:spacing w:line="240" w:lineRule="auto"/>
                    <w:ind w:firstLine="0" w:firstLineChars="0"/>
                    <w:jc w:val="center"/>
                    <w:rPr>
                      <w:rFonts w:ascii="Times New Roman" w:eastAsia="宋体"/>
                      <w:color w:val="000000" w:themeColor="text1"/>
                      <w:sz w:val="21"/>
                      <w:szCs w:val="21"/>
                    </w:rPr>
                  </w:pPr>
                  <w:r>
                    <w:rPr>
                      <w:rFonts w:ascii="Times New Roman" w:eastAsia="宋体"/>
                      <w:color w:val="000000" w:themeColor="text1"/>
                      <w:sz w:val="21"/>
                      <w:szCs w:val="21"/>
                    </w:rPr>
                    <w:t>挤出工序有机废气</w:t>
                  </w:r>
                </w:p>
              </w:tc>
              <w:tc>
                <w:tcPr>
                  <w:tcW w:w="625" w:type="pct"/>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有组织非甲烷总烃</w:t>
                  </w:r>
                </w:p>
              </w:tc>
              <w:tc>
                <w:tcPr>
                  <w:tcW w:w="577"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0.34</w:t>
                  </w:r>
                </w:p>
              </w:tc>
              <w:tc>
                <w:tcPr>
                  <w:tcW w:w="515"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c>
                <w:tcPr>
                  <w:tcW w:w="639" w:type="pct"/>
                  <w:vAlign w:val="center"/>
                </w:tcPr>
                <w:p>
                  <w:pPr>
                    <w:jc w:val="center"/>
                    <w:rPr>
                      <w:rFonts w:ascii="Times New Roman" w:hAnsi="Times New Roman" w:eastAsia="宋体"/>
                      <w:color w:val="000000" w:themeColor="text1"/>
                    </w:rPr>
                  </w:pPr>
                  <w:r>
                    <w:rPr>
                      <w:rFonts w:hint="eastAsia" w:ascii="Times New Roman" w:hAnsi="Times New Roman" w:eastAsia="宋体"/>
                      <w:color w:val="000000" w:themeColor="text1"/>
                    </w:rPr>
                    <w:t>0</w:t>
                  </w:r>
                </w:p>
              </w:tc>
              <w:tc>
                <w:tcPr>
                  <w:tcW w:w="643" w:type="pct"/>
                  <w:vAlign w:val="center"/>
                </w:tcPr>
                <w:p>
                  <w:pPr>
                    <w:pStyle w:val="10"/>
                    <w:adjustRightInd w:val="0"/>
                    <w:snapToGrid w:val="0"/>
                    <w:spacing w:line="240" w:lineRule="auto"/>
                    <w:ind w:firstLine="0" w:firstLineChars="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0</w:t>
                  </w:r>
                </w:p>
              </w:tc>
              <w:tc>
                <w:tcPr>
                  <w:tcW w:w="651"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0.34</w:t>
                  </w:r>
                </w:p>
              </w:tc>
              <w:tc>
                <w:tcPr>
                  <w:tcW w:w="648"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vMerge w:val="continue"/>
                  <w:vAlign w:val="center"/>
                </w:tcPr>
                <w:p>
                  <w:pPr>
                    <w:pStyle w:val="10"/>
                    <w:adjustRightInd w:val="0"/>
                    <w:snapToGrid w:val="0"/>
                    <w:spacing w:line="240" w:lineRule="auto"/>
                    <w:ind w:firstLine="0" w:firstLineChars="0"/>
                    <w:jc w:val="center"/>
                    <w:rPr>
                      <w:rFonts w:ascii="Times New Roman" w:eastAsia="宋体"/>
                      <w:color w:val="000000" w:themeColor="text1"/>
                      <w:sz w:val="21"/>
                      <w:szCs w:val="21"/>
                    </w:rPr>
                  </w:pPr>
                </w:p>
              </w:tc>
              <w:tc>
                <w:tcPr>
                  <w:tcW w:w="458" w:type="pct"/>
                  <w:vMerge w:val="continue"/>
                  <w:vAlign w:val="center"/>
                </w:tcPr>
                <w:p>
                  <w:pPr>
                    <w:pStyle w:val="10"/>
                    <w:adjustRightInd w:val="0"/>
                    <w:snapToGrid w:val="0"/>
                    <w:spacing w:line="240" w:lineRule="auto"/>
                    <w:ind w:firstLine="0" w:firstLineChars="0"/>
                    <w:jc w:val="center"/>
                    <w:rPr>
                      <w:rFonts w:ascii="Times New Roman" w:eastAsia="宋体"/>
                      <w:color w:val="000000" w:themeColor="text1"/>
                      <w:sz w:val="21"/>
                      <w:szCs w:val="21"/>
                      <w:highlight w:val="yellow"/>
                    </w:rPr>
                  </w:pPr>
                </w:p>
              </w:tc>
              <w:tc>
                <w:tcPr>
                  <w:tcW w:w="625" w:type="pct"/>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有组织氯乙烯</w:t>
                  </w:r>
                </w:p>
              </w:tc>
              <w:tc>
                <w:tcPr>
                  <w:tcW w:w="577"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0.0072</w:t>
                  </w:r>
                </w:p>
              </w:tc>
              <w:tc>
                <w:tcPr>
                  <w:tcW w:w="515"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c>
                <w:tcPr>
                  <w:tcW w:w="639" w:type="pct"/>
                  <w:vAlign w:val="center"/>
                </w:tcPr>
                <w:p>
                  <w:pPr>
                    <w:jc w:val="center"/>
                    <w:rPr>
                      <w:rFonts w:ascii="Times New Roman" w:hAnsi="Times New Roman" w:eastAsia="宋体"/>
                      <w:color w:val="000000" w:themeColor="text1"/>
                    </w:rPr>
                  </w:pPr>
                  <w:r>
                    <w:rPr>
                      <w:rFonts w:hint="eastAsia" w:ascii="Times New Roman" w:hAnsi="Times New Roman" w:eastAsia="宋体"/>
                      <w:color w:val="000000" w:themeColor="text1"/>
                    </w:rPr>
                    <w:t>0</w:t>
                  </w:r>
                </w:p>
              </w:tc>
              <w:tc>
                <w:tcPr>
                  <w:tcW w:w="643" w:type="pct"/>
                  <w:vAlign w:val="center"/>
                </w:tcPr>
                <w:p>
                  <w:pPr>
                    <w:pStyle w:val="10"/>
                    <w:adjustRightInd w:val="0"/>
                    <w:snapToGrid w:val="0"/>
                    <w:spacing w:line="240" w:lineRule="auto"/>
                    <w:ind w:firstLine="0" w:firstLineChars="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0</w:t>
                  </w:r>
                </w:p>
              </w:tc>
              <w:tc>
                <w:tcPr>
                  <w:tcW w:w="651"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0.0072</w:t>
                  </w:r>
                </w:p>
              </w:tc>
              <w:tc>
                <w:tcPr>
                  <w:tcW w:w="648"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vMerge w:val="continue"/>
                  <w:vAlign w:val="center"/>
                </w:tcPr>
                <w:p>
                  <w:pPr>
                    <w:pStyle w:val="10"/>
                    <w:adjustRightInd w:val="0"/>
                    <w:snapToGrid w:val="0"/>
                    <w:spacing w:line="240" w:lineRule="auto"/>
                    <w:ind w:firstLine="0" w:firstLineChars="0"/>
                    <w:jc w:val="center"/>
                    <w:rPr>
                      <w:rFonts w:ascii="Times New Roman" w:eastAsia="宋体"/>
                      <w:color w:val="000000" w:themeColor="text1"/>
                      <w:sz w:val="21"/>
                      <w:szCs w:val="21"/>
                    </w:rPr>
                  </w:pPr>
                </w:p>
              </w:tc>
              <w:tc>
                <w:tcPr>
                  <w:tcW w:w="458" w:type="pct"/>
                  <w:vMerge w:val="continue"/>
                  <w:vAlign w:val="center"/>
                </w:tcPr>
                <w:p>
                  <w:pPr>
                    <w:pStyle w:val="10"/>
                    <w:adjustRightInd w:val="0"/>
                    <w:snapToGrid w:val="0"/>
                    <w:spacing w:line="240" w:lineRule="auto"/>
                    <w:ind w:firstLine="0" w:firstLineChars="0"/>
                    <w:jc w:val="center"/>
                    <w:rPr>
                      <w:rFonts w:ascii="Times New Roman" w:eastAsia="宋体"/>
                      <w:color w:val="000000" w:themeColor="text1"/>
                      <w:sz w:val="21"/>
                      <w:szCs w:val="21"/>
                      <w:highlight w:val="yellow"/>
                    </w:rPr>
                  </w:pPr>
                </w:p>
              </w:tc>
              <w:tc>
                <w:tcPr>
                  <w:tcW w:w="625" w:type="pct"/>
                  <w:vAlign w:val="center"/>
                </w:tcPr>
                <w:p>
                  <w:pPr>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有组织氯化氢</w:t>
                  </w:r>
                </w:p>
              </w:tc>
              <w:tc>
                <w:tcPr>
                  <w:tcW w:w="577"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0.0912</w:t>
                  </w:r>
                </w:p>
              </w:tc>
              <w:tc>
                <w:tcPr>
                  <w:tcW w:w="515"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c>
                <w:tcPr>
                  <w:tcW w:w="639" w:type="pct"/>
                  <w:vAlign w:val="center"/>
                </w:tcPr>
                <w:p>
                  <w:pPr>
                    <w:jc w:val="center"/>
                    <w:rPr>
                      <w:rFonts w:ascii="Times New Roman" w:hAnsi="Times New Roman" w:eastAsia="宋体"/>
                      <w:color w:val="000000" w:themeColor="text1"/>
                    </w:rPr>
                  </w:pPr>
                  <w:r>
                    <w:rPr>
                      <w:rFonts w:hint="eastAsia" w:ascii="Times New Roman" w:hAnsi="Times New Roman" w:eastAsia="宋体"/>
                      <w:color w:val="000000" w:themeColor="text1"/>
                    </w:rPr>
                    <w:t>0</w:t>
                  </w:r>
                </w:p>
              </w:tc>
              <w:tc>
                <w:tcPr>
                  <w:tcW w:w="643" w:type="pct"/>
                  <w:vAlign w:val="center"/>
                </w:tcPr>
                <w:p>
                  <w:pPr>
                    <w:pStyle w:val="10"/>
                    <w:adjustRightInd w:val="0"/>
                    <w:snapToGrid w:val="0"/>
                    <w:spacing w:line="240" w:lineRule="auto"/>
                    <w:ind w:firstLine="0" w:firstLineChars="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0</w:t>
                  </w:r>
                </w:p>
              </w:tc>
              <w:tc>
                <w:tcPr>
                  <w:tcW w:w="651"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0.0912</w:t>
                  </w:r>
                </w:p>
              </w:tc>
              <w:tc>
                <w:tcPr>
                  <w:tcW w:w="648"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vMerge w:val="continue"/>
                  <w:vAlign w:val="center"/>
                </w:tcPr>
                <w:p>
                  <w:pPr>
                    <w:pStyle w:val="10"/>
                    <w:adjustRightInd w:val="0"/>
                    <w:snapToGrid w:val="0"/>
                    <w:spacing w:line="240" w:lineRule="auto"/>
                    <w:ind w:firstLine="0" w:firstLineChars="0"/>
                    <w:jc w:val="center"/>
                    <w:rPr>
                      <w:rFonts w:ascii="Times New Roman" w:eastAsia="宋体"/>
                      <w:color w:val="000000" w:themeColor="text1"/>
                      <w:sz w:val="21"/>
                      <w:szCs w:val="21"/>
                    </w:rPr>
                  </w:pPr>
                </w:p>
              </w:tc>
              <w:tc>
                <w:tcPr>
                  <w:tcW w:w="458" w:type="pct"/>
                  <w:vMerge w:val="restart"/>
                  <w:vAlign w:val="center"/>
                </w:tcPr>
                <w:p>
                  <w:pPr>
                    <w:pStyle w:val="10"/>
                    <w:adjustRightInd w:val="0"/>
                    <w:snapToGrid w:val="0"/>
                    <w:spacing w:line="240" w:lineRule="auto"/>
                    <w:ind w:firstLine="0" w:firstLineChars="0"/>
                    <w:jc w:val="center"/>
                    <w:rPr>
                      <w:rFonts w:ascii="Times New Roman" w:eastAsia="宋体"/>
                      <w:color w:val="000000" w:themeColor="text1"/>
                      <w:sz w:val="21"/>
                      <w:szCs w:val="21"/>
                    </w:rPr>
                  </w:pPr>
                  <w:r>
                    <w:rPr>
                      <w:rFonts w:ascii="Times New Roman" w:eastAsia="宋体"/>
                      <w:color w:val="000000" w:themeColor="text1"/>
                      <w:sz w:val="21"/>
                      <w:szCs w:val="21"/>
                    </w:rPr>
                    <w:t>压合工序</w:t>
                  </w:r>
                </w:p>
              </w:tc>
              <w:tc>
                <w:tcPr>
                  <w:tcW w:w="625" w:type="pct"/>
                  <w:vAlign w:val="center"/>
                </w:tcPr>
                <w:p>
                  <w:pPr>
                    <w:pStyle w:val="10"/>
                    <w:adjustRightInd w:val="0"/>
                    <w:snapToGrid w:val="0"/>
                    <w:spacing w:line="240" w:lineRule="auto"/>
                    <w:ind w:firstLine="0" w:firstLineChars="0"/>
                    <w:jc w:val="center"/>
                    <w:rPr>
                      <w:rFonts w:ascii="Times New Roman" w:eastAsia="宋体"/>
                      <w:color w:val="000000" w:themeColor="text1"/>
                      <w:sz w:val="21"/>
                      <w:szCs w:val="21"/>
                    </w:rPr>
                  </w:pPr>
                  <w:r>
                    <w:rPr>
                      <w:rFonts w:hint="eastAsia" w:ascii="Times New Roman" w:eastAsia="宋体"/>
                      <w:color w:val="000000" w:themeColor="text1"/>
                      <w:sz w:val="21"/>
                      <w:szCs w:val="21"/>
                    </w:rPr>
                    <w:t>有组织非甲烷总烃</w:t>
                  </w:r>
                </w:p>
              </w:tc>
              <w:tc>
                <w:tcPr>
                  <w:tcW w:w="577"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c>
                <w:tcPr>
                  <w:tcW w:w="515"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0.0543</w:t>
                  </w:r>
                </w:p>
              </w:tc>
              <w:tc>
                <w:tcPr>
                  <w:tcW w:w="639" w:type="pct"/>
                  <w:vAlign w:val="center"/>
                </w:tcPr>
                <w:p>
                  <w:pPr>
                    <w:jc w:val="center"/>
                    <w:rPr>
                      <w:rFonts w:ascii="Times New Roman" w:hAnsi="Times New Roman" w:eastAsia="宋体"/>
                      <w:color w:val="000000" w:themeColor="text1"/>
                    </w:rPr>
                  </w:pPr>
                  <w:r>
                    <w:rPr>
                      <w:rFonts w:hint="eastAsia" w:ascii="Times New Roman" w:hAnsi="Times New Roman" w:eastAsia="宋体"/>
                      <w:color w:val="000000" w:themeColor="text1"/>
                    </w:rPr>
                    <w:t>0</w:t>
                  </w:r>
                </w:p>
              </w:tc>
              <w:tc>
                <w:tcPr>
                  <w:tcW w:w="643" w:type="pct"/>
                  <w:vAlign w:val="center"/>
                </w:tcPr>
                <w:p>
                  <w:pPr>
                    <w:pStyle w:val="10"/>
                    <w:adjustRightInd w:val="0"/>
                    <w:snapToGrid w:val="0"/>
                    <w:spacing w:line="240" w:lineRule="auto"/>
                    <w:ind w:firstLine="0" w:firstLineChars="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0</w:t>
                  </w:r>
                </w:p>
              </w:tc>
              <w:tc>
                <w:tcPr>
                  <w:tcW w:w="651"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0.0543</w:t>
                  </w:r>
                </w:p>
              </w:tc>
              <w:tc>
                <w:tcPr>
                  <w:tcW w:w="648"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+0.0543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vMerge w:val="continue"/>
                  <w:vAlign w:val="center"/>
                </w:tcPr>
                <w:p>
                  <w:pPr>
                    <w:pStyle w:val="10"/>
                    <w:adjustRightInd w:val="0"/>
                    <w:snapToGrid w:val="0"/>
                    <w:spacing w:line="240" w:lineRule="auto"/>
                    <w:ind w:firstLine="0" w:firstLineChars="0"/>
                    <w:jc w:val="center"/>
                    <w:rPr>
                      <w:rFonts w:ascii="Times New Roman" w:eastAsia="宋体"/>
                      <w:color w:val="000000" w:themeColor="text1"/>
                      <w:sz w:val="21"/>
                      <w:szCs w:val="21"/>
                    </w:rPr>
                  </w:pPr>
                </w:p>
              </w:tc>
              <w:tc>
                <w:tcPr>
                  <w:tcW w:w="458" w:type="pct"/>
                  <w:vMerge w:val="continue"/>
                  <w:vAlign w:val="center"/>
                </w:tcPr>
                <w:p>
                  <w:pPr>
                    <w:pStyle w:val="10"/>
                    <w:adjustRightInd w:val="0"/>
                    <w:snapToGrid w:val="0"/>
                    <w:spacing w:line="240" w:lineRule="auto"/>
                    <w:ind w:firstLine="0" w:firstLineChars="0"/>
                    <w:jc w:val="center"/>
                    <w:rPr>
                      <w:rFonts w:ascii="Times New Roman" w:eastAsia="宋体"/>
                      <w:color w:val="000000" w:themeColor="text1"/>
                      <w:sz w:val="21"/>
                      <w:szCs w:val="21"/>
                    </w:rPr>
                  </w:pPr>
                </w:p>
              </w:tc>
              <w:tc>
                <w:tcPr>
                  <w:tcW w:w="625" w:type="pct"/>
                  <w:vAlign w:val="center"/>
                </w:tcPr>
                <w:p>
                  <w:pPr>
                    <w:pStyle w:val="10"/>
                    <w:adjustRightInd w:val="0"/>
                    <w:snapToGrid w:val="0"/>
                    <w:spacing w:line="240" w:lineRule="auto"/>
                    <w:ind w:firstLine="0" w:firstLineChars="0"/>
                    <w:jc w:val="center"/>
                    <w:rPr>
                      <w:rFonts w:ascii="Times New Roman" w:eastAsia="宋体"/>
                      <w:color w:val="000000" w:themeColor="text1"/>
                      <w:sz w:val="21"/>
                      <w:szCs w:val="21"/>
                    </w:rPr>
                  </w:pPr>
                  <w:r>
                    <w:rPr>
                      <w:rFonts w:hint="eastAsia" w:ascii="Times New Roman" w:eastAsia="宋体"/>
                      <w:color w:val="000000" w:themeColor="text1"/>
                      <w:sz w:val="21"/>
                      <w:szCs w:val="21"/>
                    </w:rPr>
                    <w:t>无组织非甲烷总烃</w:t>
                  </w:r>
                </w:p>
              </w:tc>
              <w:tc>
                <w:tcPr>
                  <w:tcW w:w="577"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c>
                <w:tcPr>
                  <w:tcW w:w="515"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0.0143</w:t>
                  </w:r>
                </w:p>
              </w:tc>
              <w:tc>
                <w:tcPr>
                  <w:tcW w:w="639" w:type="pct"/>
                  <w:vAlign w:val="center"/>
                </w:tcPr>
                <w:p>
                  <w:pPr>
                    <w:jc w:val="center"/>
                    <w:rPr>
                      <w:rFonts w:ascii="Times New Roman" w:hAnsi="Times New Roman" w:eastAsia="宋体"/>
                      <w:color w:val="000000" w:themeColor="text1"/>
                    </w:rPr>
                  </w:pPr>
                  <w:r>
                    <w:rPr>
                      <w:rFonts w:hint="eastAsia" w:ascii="Times New Roman" w:hAnsi="Times New Roman" w:eastAsia="宋体"/>
                      <w:color w:val="000000" w:themeColor="text1"/>
                    </w:rPr>
                    <w:t>0</w:t>
                  </w:r>
                </w:p>
              </w:tc>
              <w:tc>
                <w:tcPr>
                  <w:tcW w:w="643" w:type="pct"/>
                  <w:vAlign w:val="center"/>
                </w:tcPr>
                <w:p>
                  <w:pPr>
                    <w:pStyle w:val="10"/>
                    <w:adjustRightInd w:val="0"/>
                    <w:snapToGrid w:val="0"/>
                    <w:spacing w:line="240" w:lineRule="auto"/>
                    <w:ind w:firstLine="0" w:firstLineChars="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0</w:t>
                  </w:r>
                </w:p>
              </w:tc>
              <w:tc>
                <w:tcPr>
                  <w:tcW w:w="651"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0.0143</w:t>
                  </w:r>
                </w:p>
              </w:tc>
              <w:tc>
                <w:tcPr>
                  <w:tcW w:w="648"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+0.0143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vMerge w:val="restart"/>
                  <w:vAlign w:val="center"/>
                </w:tcPr>
                <w:p>
                  <w:pPr>
                    <w:pStyle w:val="10"/>
                    <w:adjustRightInd w:val="0"/>
                    <w:snapToGrid w:val="0"/>
                    <w:spacing w:line="240" w:lineRule="auto"/>
                    <w:ind w:firstLine="0" w:firstLineChars="0"/>
                    <w:jc w:val="center"/>
                    <w:rPr>
                      <w:rFonts w:ascii="Times New Roman" w:hAnsi="Times New Roman" w:eastAsia="宋体"/>
                      <w:color w:val="000000" w:themeColor="text1"/>
                      <w:sz w:val="21"/>
                      <w:szCs w:val="21"/>
                    </w:rPr>
                  </w:pPr>
                  <w:r>
                    <w:rPr>
                      <w:rFonts w:hint="eastAsia" w:ascii="Times New Roman" w:eastAsia="宋体"/>
                      <w:color w:val="000000" w:themeColor="text1"/>
                      <w:sz w:val="21"/>
                      <w:szCs w:val="21"/>
                    </w:rPr>
                    <w:t>固废</w:t>
                  </w:r>
                </w:p>
                <w:p>
                  <w:pPr>
                    <w:pStyle w:val="10"/>
                    <w:adjustRightInd w:val="0"/>
                    <w:snapToGrid w:val="0"/>
                    <w:spacing w:line="240" w:lineRule="auto"/>
                    <w:jc w:val="center"/>
                    <w:rPr>
                      <w:rFonts w:ascii="Times New Roman" w:hAnsi="Times New Roman" w:eastAsia="宋体"/>
                      <w:color w:val="000000" w:themeColor="text1"/>
                    </w:rPr>
                  </w:pPr>
                </w:p>
              </w:tc>
              <w:tc>
                <w:tcPr>
                  <w:tcW w:w="458" w:type="pct"/>
                  <w:vMerge w:val="restart"/>
                  <w:vAlign w:val="center"/>
                </w:tcPr>
                <w:p>
                  <w:pPr>
                    <w:jc w:val="center"/>
                    <w:rPr>
                      <w:rFonts w:ascii="Times New Roman" w:hAnsi="Times New Roman" w:eastAsia="宋体"/>
                      <w:color w:val="000000" w:themeColor="text1"/>
                      <w:szCs w:val="21"/>
                    </w:rPr>
                  </w:pPr>
                  <w:r>
                    <w:rPr>
                      <w:rFonts w:hint="eastAsia" w:ascii="Times New Roman" w:eastAsia="宋体"/>
                      <w:color w:val="000000" w:themeColor="text1"/>
                      <w:szCs w:val="21"/>
                    </w:rPr>
                    <w:t>生产过程</w:t>
                  </w:r>
                </w:p>
              </w:tc>
              <w:tc>
                <w:tcPr>
                  <w:tcW w:w="625" w:type="pct"/>
                  <w:vAlign w:val="center"/>
                </w:tcPr>
                <w:p>
                  <w:pPr>
                    <w:jc w:val="center"/>
                    <w:rPr>
                      <w:rFonts w:ascii="Times New Roman" w:hAnsi="Times New Roman" w:eastAsia="宋体"/>
                      <w:color w:val="000000" w:themeColor="text1"/>
                      <w:szCs w:val="21"/>
                    </w:rPr>
                  </w:pPr>
                  <w:r>
                    <w:rPr>
                      <w:rFonts w:hint="eastAsia" w:ascii="Times New Roman" w:eastAsia="宋体"/>
                      <w:color w:val="000000" w:themeColor="text1"/>
                      <w:szCs w:val="21"/>
                    </w:rPr>
                    <w:t>废包装材料</w:t>
                  </w:r>
                </w:p>
              </w:tc>
              <w:tc>
                <w:tcPr>
                  <w:tcW w:w="577"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c>
                <w:tcPr>
                  <w:tcW w:w="515"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c>
                <w:tcPr>
                  <w:tcW w:w="639" w:type="pct"/>
                  <w:vAlign w:val="center"/>
                </w:tcPr>
                <w:p>
                  <w:pPr>
                    <w:jc w:val="center"/>
                    <w:rPr>
                      <w:rFonts w:ascii="Times New Roman" w:hAnsi="Times New Roman" w:eastAsia="宋体"/>
                      <w:color w:val="000000" w:themeColor="text1"/>
                    </w:rPr>
                  </w:pPr>
                  <w:r>
                    <w:rPr>
                      <w:rFonts w:ascii="Times New Roman" w:hAnsi="Times New Roman" w:eastAsia="宋体"/>
                      <w:color w:val="000000" w:themeColor="text1"/>
                    </w:rPr>
                    <w:t>0</w:t>
                  </w:r>
                </w:p>
              </w:tc>
              <w:tc>
                <w:tcPr>
                  <w:tcW w:w="643"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c>
                <w:tcPr>
                  <w:tcW w:w="651"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c>
                <w:tcPr>
                  <w:tcW w:w="648"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vMerge w:val="continue"/>
                  <w:vAlign w:val="center"/>
                </w:tcPr>
                <w:p>
                  <w:pPr>
                    <w:widowControl/>
                    <w:jc w:val="center"/>
                    <w:rPr>
                      <w:rFonts w:ascii="Times New Roman" w:hAnsi="Times New Roman" w:eastAsia="宋体"/>
                      <w:color w:val="000000" w:themeColor="text1"/>
                      <w:sz w:val="28"/>
                    </w:rPr>
                  </w:pPr>
                </w:p>
              </w:tc>
              <w:tc>
                <w:tcPr>
                  <w:tcW w:w="458" w:type="pct"/>
                  <w:vMerge w:val="continue"/>
                  <w:vAlign w:val="center"/>
                </w:tcPr>
                <w:p>
                  <w:pPr>
                    <w:jc w:val="center"/>
                    <w:rPr>
                      <w:rFonts w:ascii="Times New Roman" w:hAnsi="Times New Roman" w:eastAsia="宋体"/>
                      <w:color w:val="000000" w:themeColor="text1"/>
                      <w:szCs w:val="21"/>
                    </w:rPr>
                  </w:pPr>
                </w:p>
              </w:tc>
              <w:tc>
                <w:tcPr>
                  <w:tcW w:w="625" w:type="pct"/>
                  <w:vAlign w:val="center"/>
                </w:tcPr>
                <w:p>
                  <w:pPr>
                    <w:jc w:val="center"/>
                    <w:rPr>
                      <w:rFonts w:ascii="Times New Roman" w:hAnsi="Times New Roman" w:eastAsia="宋体"/>
                      <w:color w:val="000000" w:themeColor="text1"/>
                      <w:szCs w:val="21"/>
                    </w:rPr>
                  </w:pPr>
                  <w:r>
                    <w:rPr>
                      <w:rFonts w:hint="eastAsia" w:ascii="Times New Roman" w:eastAsia="宋体"/>
                      <w:color w:val="000000" w:themeColor="text1"/>
                      <w:szCs w:val="21"/>
                    </w:rPr>
                    <w:t>边角料</w:t>
                  </w:r>
                </w:p>
              </w:tc>
              <w:tc>
                <w:tcPr>
                  <w:tcW w:w="577"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c>
                <w:tcPr>
                  <w:tcW w:w="515"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c>
                <w:tcPr>
                  <w:tcW w:w="639" w:type="pct"/>
                  <w:vAlign w:val="center"/>
                </w:tcPr>
                <w:p>
                  <w:pPr>
                    <w:jc w:val="center"/>
                    <w:rPr>
                      <w:rFonts w:ascii="Times New Roman" w:hAnsi="Times New Roman" w:eastAsia="宋体"/>
                      <w:color w:val="000000" w:themeColor="text1"/>
                    </w:rPr>
                  </w:pPr>
                  <w:r>
                    <w:rPr>
                      <w:rFonts w:ascii="Times New Roman" w:hAnsi="Times New Roman" w:eastAsia="宋体"/>
                      <w:color w:val="000000" w:themeColor="text1"/>
                    </w:rPr>
                    <w:t>0</w:t>
                  </w:r>
                </w:p>
              </w:tc>
              <w:tc>
                <w:tcPr>
                  <w:tcW w:w="643"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c>
                <w:tcPr>
                  <w:tcW w:w="651"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c>
                <w:tcPr>
                  <w:tcW w:w="648"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vMerge w:val="continue"/>
                  <w:vAlign w:val="center"/>
                </w:tcPr>
                <w:p>
                  <w:pPr>
                    <w:widowControl/>
                    <w:jc w:val="center"/>
                    <w:rPr>
                      <w:rFonts w:ascii="Times New Roman" w:hAnsi="Times New Roman" w:eastAsia="宋体"/>
                      <w:color w:val="000000" w:themeColor="text1"/>
                      <w:sz w:val="28"/>
                    </w:rPr>
                  </w:pPr>
                </w:p>
              </w:tc>
              <w:tc>
                <w:tcPr>
                  <w:tcW w:w="458" w:type="pct"/>
                  <w:vMerge w:val="continue"/>
                  <w:vAlign w:val="center"/>
                </w:tcPr>
                <w:p>
                  <w:pPr>
                    <w:jc w:val="center"/>
                    <w:rPr>
                      <w:rFonts w:ascii="Times New Roman" w:eastAsia="宋体"/>
                      <w:color w:val="000000" w:themeColor="text1"/>
                      <w:szCs w:val="21"/>
                    </w:rPr>
                  </w:pPr>
                </w:p>
              </w:tc>
              <w:tc>
                <w:tcPr>
                  <w:tcW w:w="625" w:type="pct"/>
                  <w:vAlign w:val="center"/>
                </w:tcPr>
                <w:p>
                  <w:pPr>
                    <w:jc w:val="center"/>
                    <w:rPr>
                      <w:rFonts w:ascii="Times New Roman" w:eastAsia="宋体"/>
                      <w:color w:val="000000" w:themeColor="text1"/>
                      <w:szCs w:val="21"/>
                    </w:rPr>
                  </w:pPr>
                  <w:r>
                    <w:rPr>
                      <w:rFonts w:ascii="Times New Roman" w:hAnsi="Times New Roman" w:eastAsia="宋体"/>
                      <w:color w:val="000000" w:themeColor="text1"/>
                      <w:szCs w:val="21"/>
                    </w:rPr>
                    <w:t>不合格产品</w:t>
                  </w:r>
                </w:p>
              </w:tc>
              <w:tc>
                <w:tcPr>
                  <w:tcW w:w="577"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c>
                <w:tcPr>
                  <w:tcW w:w="515"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c>
                <w:tcPr>
                  <w:tcW w:w="639" w:type="pct"/>
                  <w:vAlign w:val="center"/>
                </w:tcPr>
                <w:p>
                  <w:pPr>
                    <w:jc w:val="center"/>
                    <w:rPr>
                      <w:rFonts w:ascii="Times New Roman" w:hAnsi="Times New Roman" w:eastAsia="宋体"/>
                      <w:color w:val="000000" w:themeColor="text1"/>
                    </w:rPr>
                  </w:pPr>
                  <w:r>
                    <w:rPr>
                      <w:rFonts w:ascii="Times New Roman" w:hAnsi="Times New Roman" w:eastAsia="宋体"/>
                      <w:color w:val="000000" w:themeColor="text1"/>
                    </w:rPr>
                    <w:t>0</w:t>
                  </w:r>
                </w:p>
              </w:tc>
              <w:tc>
                <w:tcPr>
                  <w:tcW w:w="643"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c>
                <w:tcPr>
                  <w:tcW w:w="651"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c>
                <w:tcPr>
                  <w:tcW w:w="648"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vMerge w:val="continue"/>
                  <w:vAlign w:val="center"/>
                </w:tcPr>
                <w:p>
                  <w:pPr>
                    <w:widowControl/>
                    <w:jc w:val="center"/>
                    <w:rPr>
                      <w:rFonts w:ascii="Times New Roman" w:hAnsi="Times New Roman" w:eastAsia="宋体"/>
                      <w:color w:val="000000" w:themeColor="text1"/>
                      <w:sz w:val="28"/>
                    </w:rPr>
                  </w:pPr>
                </w:p>
              </w:tc>
              <w:tc>
                <w:tcPr>
                  <w:tcW w:w="458"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员工生活</w:t>
                  </w:r>
                </w:p>
              </w:tc>
              <w:tc>
                <w:tcPr>
                  <w:tcW w:w="625"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生活垃圾</w:t>
                  </w:r>
                </w:p>
              </w:tc>
              <w:tc>
                <w:tcPr>
                  <w:tcW w:w="577"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c>
                <w:tcPr>
                  <w:tcW w:w="515"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c>
                <w:tcPr>
                  <w:tcW w:w="639" w:type="pct"/>
                  <w:vAlign w:val="center"/>
                </w:tcPr>
                <w:p>
                  <w:pPr>
                    <w:jc w:val="center"/>
                    <w:rPr>
                      <w:rFonts w:ascii="Times New Roman" w:hAnsi="Times New Roman" w:eastAsia="宋体"/>
                      <w:color w:val="000000" w:themeColor="text1"/>
                    </w:rPr>
                  </w:pPr>
                  <w:r>
                    <w:rPr>
                      <w:rFonts w:hint="eastAsia" w:ascii="Times New Roman" w:hAnsi="Times New Roman" w:eastAsia="宋体"/>
                      <w:color w:val="000000" w:themeColor="text1"/>
                    </w:rPr>
                    <w:t>0</w:t>
                  </w:r>
                </w:p>
              </w:tc>
              <w:tc>
                <w:tcPr>
                  <w:tcW w:w="643"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c>
                <w:tcPr>
                  <w:tcW w:w="651"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c>
                <w:tcPr>
                  <w:tcW w:w="648"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vMerge w:val="continue"/>
                  <w:vAlign w:val="center"/>
                </w:tcPr>
                <w:p>
                  <w:pPr>
                    <w:widowControl/>
                    <w:jc w:val="center"/>
                    <w:rPr>
                      <w:rFonts w:ascii="Times New Roman" w:hAnsi="Times New Roman" w:eastAsia="宋体"/>
                      <w:color w:val="000000" w:themeColor="text1"/>
                      <w:sz w:val="28"/>
                    </w:rPr>
                  </w:pPr>
                </w:p>
              </w:tc>
              <w:tc>
                <w:tcPr>
                  <w:tcW w:w="458" w:type="pct"/>
                  <w:vMerge w:val="restart"/>
                  <w:vAlign w:val="center"/>
                </w:tcPr>
                <w:p>
                  <w:pPr>
                    <w:jc w:val="center"/>
                    <w:rPr>
                      <w:rFonts w:ascii="Times New Roman" w:hAnsi="Times New Roman" w:eastAsia="宋体"/>
                      <w:color w:val="000000" w:themeColor="text1"/>
                      <w:szCs w:val="21"/>
                    </w:rPr>
                  </w:pPr>
                  <w:r>
                    <w:rPr>
                      <w:rFonts w:ascii="Times New Roman" w:hAnsi="Times New Roman" w:eastAsia="宋体"/>
                      <w:bCs/>
                      <w:color w:val="000000" w:themeColor="text1"/>
                      <w:szCs w:val="21"/>
                    </w:rPr>
                    <w:t>有机废气处理</w:t>
                  </w:r>
                </w:p>
              </w:tc>
              <w:tc>
                <w:tcPr>
                  <w:tcW w:w="625" w:type="pct"/>
                  <w:vAlign w:val="center"/>
                </w:tcPr>
                <w:p>
                  <w:pPr>
                    <w:jc w:val="center"/>
                    <w:rPr>
                      <w:rFonts w:ascii="Times New Roman" w:hAnsi="Times New Roman" w:eastAsia="宋体"/>
                      <w:color w:val="000000" w:themeColor="text1"/>
                      <w:szCs w:val="21"/>
                    </w:rPr>
                  </w:pPr>
                  <w:r>
                    <w:rPr>
                      <w:rFonts w:ascii="Times New Roman" w:hAnsi="Times New Roman" w:eastAsia="宋体"/>
                      <w:color w:val="000000" w:themeColor="text1"/>
                      <w:szCs w:val="21"/>
                    </w:rPr>
                    <w:t>废催化剂</w:t>
                  </w:r>
                </w:p>
              </w:tc>
              <w:tc>
                <w:tcPr>
                  <w:tcW w:w="577"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c>
                <w:tcPr>
                  <w:tcW w:w="515"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c>
                <w:tcPr>
                  <w:tcW w:w="639" w:type="pct"/>
                  <w:vAlign w:val="center"/>
                </w:tcPr>
                <w:p>
                  <w:pPr>
                    <w:jc w:val="center"/>
                    <w:rPr>
                      <w:rFonts w:ascii="Times New Roman" w:hAnsi="Times New Roman" w:eastAsia="宋体"/>
                      <w:color w:val="000000" w:themeColor="text1"/>
                    </w:rPr>
                  </w:pPr>
                  <w:r>
                    <w:rPr>
                      <w:rFonts w:hint="eastAsia" w:ascii="Times New Roman" w:hAnsi="Times New Roman" w:eastAsia="宋体"/>
                      <w:color w:val="000000" w:themeColor="text1"/>
                    </w:rPr>
                    <w:t>0</w:t>
                  </w:r>
                </w:p>
              </w:tc>
              <w:tc>
                <w:tcPr>
                  <w:tcW w:w="643"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c>
                <w:tcPr>
                  <w:tcW w:w="651"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c>
                <w:tcPr>
                  <w:tcW w:w="648"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vMerge w:val="continue"/>
                  <w:vAlign w:val="center"/>
                </w:tcPr>
                <w:p>
                  <w:pPr>
                    <w:widowControl/>
                    <w:jc w:val="center"/>
                    <w:rPr>
                      <w:rFonts w:ascii="Times New Roman" w:hAnsi="Times New Roman" w:eastAsia="宋体"/>
                      <w:color w:val="000000" w:themeColor="text1"/>
                      <w:sz w:val="28"/>
                    </w:rPr>
                  </w:pPr>
                </w:p>
              </w:tc>
              <w:tc>
                <w:tcPr>
                  <w:tcW w:w="458" w:type="pct"/>
                  <w:vMerge w:val="continue"/>
                  <w:vAlign w:val="center"/>
                </w:tcPr>
                <w:p>
                  <w:pPr>
                    <w:jc w:val="center"/>
                    <w:rPr>
                      <w:rFonts w:ascii="Times New Roman" w:hAnsi="Times New Roman" w:eastAsia="宋体"/>
                      <w:color w:val="000000" w:themeColor="text1"/>
                      <w:szCs w:val="21"/>
                    </w:rPr>
                  </w:pPr>
                </w:p>
              </w:tc>
              <w:tc>
                <w:tcPr>
                  <w:tcW w:w="625" w:type="pct"/>
                  <w:vAlign w:val="center"/>
                </w:tcPr>
                <w:p>
                  <w:pPr>
                    <w:jc w:val="center"/>
                    <w:rPr>
                      <w:rFonts w:ascii="Times New Roman" w:hAnsi="Times New Roman" w:eastAsia="宋体"/>
                      <w:bCs/>
                      <w:color w:val="000000" w:themeColor="text1"/>
                      <w:szCs w:val="21"/>
                    </w:rPr>
                  </w:pPr>
                  <w:r>
                    <w:rPr>
                      <w:rFonts w:hint="eastAsia" w:ascii="Times New Roman" w:hAnsi="Times New Roman" w:eastAsia="宋体"/>
                      <w:color w:val="000000" w:themeColor="text1"/>
                      <w:szCs w:val="21"/>
                    </w:rPr>
                    <w:t>废紫外灯管</w:t>
                  </w:r>
                </w:p>
              </w:tc>
              <w:tc>
                <w:tcPr>
                  <w:tcW w:w="577"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c>
                <w:tcPr>
                  <w:tcW w:w="515"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c>
                <w:tcPr>
                  <w:tcW w:w="639" w:type="pct"/>
                  <w:vAlign w:val="center"/>
                </w:tcPr>
                <w:p>
                  <w:pPr>
                    <w:jc w:val="center"/>
                    <w:rPr>
                      <w:rFonts w:ascii="Times New Roman" w:hAnsi="Times New Roman" w:eastAsia="宋体"/>
                      <w:color w:val="000000" w:themeColor="text1"/>
                    </w:rPr>
                  </w:pPr>
                  <w:r>
                    <w:rPr>
                      <w:rFonts w:hint="eastAsia" w:ascii="Times New Roman" w:hAnsi="Times New Roman" w:eastAsia="宋体"/>
                      <w:color w:val="000000" w:themeColor="text1"/>
                    </w:rPr>
                    <w:t>0</w:t>
                  </w:r>
                </w:p>
              </w:tc>
              <w:tc>
                <w:tcPr>
                  <w:tcW w:w="643"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c>
                <w:tcPr>
                  <w:tcW w:w="651"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c>
                <w:tcPr>
                  <w:tcW w:w="648"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vMerge w:val="continue"/>
                  <w:vAlign w:val="center"/>
                </w:tcPr>
                <w:p>
                  <w:pPr>
                    <w:widowControl/>
                    <w:jc w:val="center"/>
                    <w:rPr>
                      <w:rFonts w:ascii="Times New Roman" w:hAnsi="Times New Roman" w:eastAsia="宋体"/>
                      <w:color w:val="000000" w:themeColor="text1"/>
                      <w:sz w:val="28"/>
                    </w:rPr>
                  </w:pPr>
                </w:p>
              </w:tc>
              <w:tc>
                <w:tcPr>
                  <w:tcW w:w="458" w:type="pct"/>
                  <w:vMerge w:val="continue"/>
                  <w:vAlign w:val="center"/>
                </w:tcPr>
                <w:p>
                  <w:pPr>
                    <w:jc w:val="center"/>
                    <w:rPr>
                      <w:rFonts w:ascii="Times New Roman" w:eastAsia="宋体"/>
                      <w:color w:val="000000" w:themeColor="text1"/>
                      <w:szCs w:val="21"/>
                    </w:rPr>
                  </w:pPr>
                </w:p>
              </w:tc>
              <w:tc>
                <w:tcPr>
                  <w:tcW w:w="625"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废活性炭</w:t>
                  </w:r>
                </w:p>
              </w:tc>
              <w:tc>
                <w:tcPr>
                  <w:tcW w:w="577"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c>
                <w:tcPr>
                  <w:tcW w:w="515"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c>
                <w:tcPr>
                  <w:tcW w:w="639" w:type="pct"/>
                  <w:vAlign w:val="center"/>
                </w:tcPr>
                <w:p>
                  <w:pPr>
                    <w:jc w:val="center"/>
                    <w:rPr>
                      <w:rFonts w:ascii="Times New Roman" w:hAnsi="Times New Roman" w:eastAsia="宋体"/>
                      <w:color w:val="000000" w:themeColor="text1"/>
                    </w:rPr>
                  </w:pPr>
                  <w:r>
                    <w:rPr>
                      <w:rFonts w:hint="eastAsia" w:ascii="Times New Roman" w:hAnsi="Times New Roman" w:eastAsia="宋体"/>
                      <w:color w:val="000000" w:themeColor="text1"/>
                    </w:rPr>
                    <w:t>0</w:t>
                  </w:r>
                </w:p>
              </w:tc>
              <w:tc>
                <w:tcPr>
                  <w:tcW w:w="643"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c>
                <w:tcPr>
                  <w:tcW w:w="651"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c>
                <w:tcPr>
                  <w:tcW w:w="648" w:type="pc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w:t>
                  </w:r>
                </w:p>
              </w:tc>
            </w:tr>
          </w:tbl>
          <w:p>
            <w:pPr>
              <w:spacing w:line="440" w:lineRule="exact"/>
              <w:ind w:firstLine="482" w:firstLineChars="200"/>
              <w:rPr>
                <w:rFonts w:ascii="Times New Roman" w:hAnsi="Times New Roman" w:eastAsia="宋体"/>
                <w:b/>
                <w:color w:val="000000" w:themeColor="text1"/>
                <w:sz w:val="24"/>
              </w:rPr>
            </w:pPr>
            <w:r>
              <w:rPr>
                <w:rFonts w:ascii="Times New Roman" w:hAnsi="Times New Roman" w:eastAsia="宋体"/>
                <w:b/>
                <w:color w:val="000000" w:themeColor="text1"/>
                <w:sz w:val="24"/>
              </w:rPr>
              <w:t>七、总量控制指标</w:t>
            </w:r>
          </w:p>
          <w:p>
            <w:pPr>
              <w:spacing w:line="440" w:lineRule="exact"/>
              <w:ind w:firstLine="480" w:firstLineChars="200"/>
              <w:rPr>
                <w:rFonts w:ascii="Times New Roman" w:hAnsi="Times New Roman" w:eastAsia="宋体"/>
                <w:color w:val="000000" w:themeColor="text1"/>
              </w:rPr>
            </w:pPr>
            <w:r>
              <w:rPr>
                <w:rFonts w:ascii="Times New Roman" w:hAnsi="Times New Roman" w:eastAsia="宋体"/>
                <w:color w:val="000000" w:themeColor="text1"/>
                <w:sz w:val="24"/>
              </w:rPr>
              <w:t>本项目污染物总量控制指标：非甲烷总烃</w:t>
            </w:r>
            <w:r>
              <w:rPr>
                <w:rFonts w:hint="eastAsia" w:ascii="Times New Roman" w:hAnsi="Times New Roman" w:eastAsia="宋体"/>
                <w:color w:val="000000" w:themeColor="text1"/>
                <w:sz w:val="24"/>
              </w:rPr>
              <w:t>0.0686t/a（</w:t>
            </w:r>
            <w:r>
              <w:rPr>
                <w:rFonts w:ascii="Times New Roman" w:hAnsi="Times New Roman" w:eastAsia="宋体"/>
                <w:color w:val="000000" w:themeColor="text1"/>
                <w:sz w:val="24"/>
              </w:rPr>
              <w:t>有组织</w:t>
            </w:r>
            <w:r>
              <w:rPr>
                <w:rFonts w:hint="eastAsia" w:ascii="Times New Roman" w:hAnsi="Times New Roman" w:eastAsia="宋体"/>
                <w:color w:val="000000" w:themeColor="text1"/>
                <w:sz w:val="24"/>
              </w:rPr>
              <w:t>0.0543t/a，无组织0.0143t/a）</w:t>
            </w:r>
            <w:r>
              <w:rPr>
                <w:rFonts w:ascii="Times New Roman" w:hAnsi="Times New Roman" w:eastAsia="宋体"/>
                <w:color w:val="000000" w:themeColor="text1"/>
                <w:sz w:val="24"/>
              </w:rPr>
              <w:t>。</w:t>
            </w:r>
          </w:p>
          <w:p>
            <w:pPr>
              <w:adjustRightInd w:val="0"/>
              <w:snapToGrid w:val="0"/>
              <w:spacing w:line="440" w:lineRule="exact"/>
              <w:ind w:firstLine="480" w:firstLineChars="200"/>
              <w:rPr>
                <w:rFonts w:ascii="Times New Roman" w:hAnsi="Times New Roman" w:eastAsia="宋体"/>
                <w:color w:val="000000" w:themeColor="text1"/>
                <w:sz w:val="24"/>
              </w:rPr>
            </w:pPr>
            <w:r>
              <w:rPr>
                <w:rFonts w:ascii="Times New Roman" w:hAnsi="Times New Roman" w:eastAsia="宋体"/>
                <w:color w:val="000000" w:themeColor="text1"/>
                <w:sz w:val="24"/>
              </w:rPr>
              <w:t>根据《河南省生态环境厅关于印发建设项目主要污染物排放总量指标管理工作内部规程通知》规定，建设项目环境影响文件中应明确建设项目主要污染物总量排放指标及替代削减方案。本项目属于扩建项目，本项目建设完成后新增污染物排放量为COD0t/a，NH</w:t>
            </w:r>
            <w:r>
              <w:rPr>
                <w:rFonts w:ascii="Times New Roman" w:hAnsi="Times New Roman" w:eastAsia="宋体"/>
                <w:color w:val="000000" w:themeColor="text1"/>
                <w:sz w:val="24"/>
                <w:vertAlign w:val="subscript"/>
              </w:rPr>
              <w:t>3</w:t>
            </w:r>
            <w:r>
              <w:rPr>
                <w:rFonts w:ascii="Times New Roman" w:hAnsi="Times New Roman" w:eastAsia="宋体"/>
                <w:color w:val="000000" w:themeColor="text1"/>
                <w:sz w:val="24"/>
              </w:rPr>
              <w:t>-N0t/a，SO</w:t>
            </w:r>
            <w:r>
              <w:rPr>
                <w:rFonts w:ascii="Times New Roman" w:hAnsi="Times New Roman" w:eastAsia="宋体"/>
                <w:color w:val="000000" w:themeColor="text1"/>
                <w:sz w:val="24"/>
                <w:vertAlign w:val="subscript"/>
              </w:rPr>
              <w:t>2</w:t>
            </w:r>
            <w:r>
              <w:rPr>
                <w:rFonts w:ascii="Times New Roman" w:hAnsi="Times New Roman" w:eastAsia="宋体"/>
                <w:color w:val="000000" w:themeColor="text1"/>
                <w:sz w:val="24"/>
              </w:rPr>
              <w:t>0t/a，NO</w:t>
            </w:r>
            <w:r>
              <w:rPr>
                <w:rFonts w:ascii="Times New Roman" w:hAnsi="Times New Roman" w:eastAsia="宋体"/>
                <w:color w:val="000000" w:themeColor="text1"/>
                <w:sz w:val="24"/>
                <w:vertAlign w:val="subscript"/>
              </w:rPr>
              <w:t>X</w:t>
            </w:r>
            <w:r>
              <w:rPr>
                <w:rFonts w:ascii="Times New Roman" w:hAnsi="Times New Roman" w:eastAsia="宋体"/>
                <w:color w:val="000000" w:themeColor="text1"/>
                <w:sz w:val="24"/>
              </w:rPr>
              <w:t>0t/a，VOCs0</w:t>
            </w:r>
            <w:r>
              <w:rPr>
                <w:rFonts w:hint="eastAsia" w:ascii="Times New Roman" w:hAnsi="Times New Roman" w:eastAsia="宋体"/>
                <w:color w:val="000000" w:themeColor="text1"/>
                <w:sz w:val="24"/>
              </w:rPr>
              <w:t>.0686</w:t>
            </w:r>
            <w:r>
              <w:rPr>
                <w:rFonts w:ascii="Times New Roman" w:hAnsi="Times New Roman" w:eastAsia="宋体"/>
                <w:color w:val="000000" w:themeColor="text1"/>
                <w:sz w:val="24"/>
              </w:rPr>
              <w:t>t/a</w:t>
            </w:r>
            <w:r>
              <w:rPr>
                <w:rFonts w:hint="eastAsia" w:ascii="Times New Roman" w:hAnsi="Times New Roman" w:eastAsia="宋体"/>
                <w:color w:val="000000" w:themeColor="text1"/>
                <w:sz w:val="24"/>
              </w:rPr>
              <w:t>（</w:t>
            </w:r>
            <w:r>
              <w:rPr>
                <w:rFonts w:ascii="Times New Roman" w:hAnsi="Times New Roman" w:eastAsia="宋体"/>
                <w:color w:val="000000" w:themeColor="text1"/>
                <w:sz w:val="24"/>
              </w:rPr>
              <w:t>有组织</w:t>
            </w:r>
            <w:r>
              <w:rPr>
                <w:rFonts w:hint="eastAsia" w:ascii="Times New Roman" w:hAnsi="Times New Roman" w:eastAsia="宋体"/>
                <w:color w:val="000000" w:themeColor="text1"/>
                <w:sz w:val="24"/>
              </w:rPr>
              <w:t>0.0543t/a，无组织0.0143t/a）</w:t>
            </w:r>
            <w:r>
              <w:rPr>
                <w:rFonts w:ascii="Times New Roman" w:hAnsi="Times New Roman" w:eastAsia="宋体"/>
                <w:color w:val="000000" w:themeColor="text1"/>
                <w:sz w:val="24"/>
              </w:rPr>
              <w:t>。</w:t>
            </w:r>
          </w:p>
          <w:p>
            <w:pPr>
              <w:pStyle w:val="2"/>
              <w:spacing w:line="440" w:lineRule="exact"/>
              <w:ind w:firstLine="480" w:firstLineChars="200"/>
              <w:jc w:val="both"/>
              <w:rPr>
                <w:rFonts w:ascii="Times New Roman" w:hAnsi="Times New Roman" w:eastAsia="宋体"/>
                <w:color w:val="000000" w:themeColor="text1"/>
                <w:sz w:val="24"/>
              </w:rPr>
            </w:pPr>
            <w:r>
              <w:rPr>
                <w:rFonts w:ascii="Times New Roman" w:hAnsi="Times New Roman" w:eastAsia="宋体"/>
                <w:color w:val="000000" w:themeColor="text1"/>
                <w:sz w:val="24"/>
              </w:rPr>
              <w:t>本项目建设完成后</w:t>
            </w:r>
            <w:r>
              <w:rPr>
                <w:rFonts w:hint="eastAsia" w:ascii="Times New Roman" w:hAnsi="Times New Roman" w:eastAsia="宋体"/>
                <w:color w:val="000000" w:themeColor="text1"/>
                <w:sz w:val="24"/>
              </w:rPr>
              <w:t>，全厂污染物总量控制指标为有组织颗粒物</w:t>
            </w:r>
            <w:r>
              <w:rPr>
                <w:rFonts w:ascii="Times New Roman" w:hAnsi="Times New Roman" w:eastAsia="宋体"/>
                <w:color w:val="000000" w:themeColor="text1"/>
                <w:sz w:val="24"/>
              </w:rPr>
              <w:t>0.0</w:t>
            </w:r>
            <w:r>
              <w:rPr>
                <w:rFonts w:hint="eastAsia" w:ascii="Times New Roman" w:hAnsi="Times New Roman" w:eastAsia="宋体"/>
                <w:color w:val="000000" w:themeColor="text1"/>
                <w:sz w:val="24"/>
              </w:rPr>
              <w:t>156</w:t>
            </w:r>
            <w:r>
              <w:rPr>
                <w:rFonts w:ascii="Times New Roman" w:hAnsi="Times New Roman" w:eastAsia="宋体"/>
                <w:color w:val="000000" w:themeColor="text1"/>
                <w:sz w:val="24"/>
              </w:rPr>
              <w:t>t/a</w:t>
            </w:r>
            <w:r>
              <w:rPr>
                <w:rFonts w:hint="eastAsia" w:ascii="Times New Roman" w:hAnsi="Times New Roman" w:eastAsia="宋体"/>
                <w:color w:val="000000" w:themeColor="text1"/>
                <w:sz w:val="24"/>
              </w:rPr>
              <w:t>、VOCs0.4158t/a（</w:t>
            </w:r>
            <w:r>
              <w:rPr>
                <w:rFonts w:ascii="Times New Roman" w:hAnsi="Times New Roman" w:eastAsia="宋体"/>
                <w:color w:val="000000" w:themeColor="text1"/>
                <w:sz w:val="24"/>
              </w:rPr>
              <w:t>有组织</w:t>
            </w:r>
            <w:r>
              <w:rPr>
                <w:rFonts w:hint="eastAsia" w:ascii="Times New Roman" w:hAnsi="Times New Roman" w:eastAsia="宋体"/>
                <w:color w:val="000000" w:themeColor="text1"/>
                <w:sz w:val="24"/>
              </w:rPr>
              <w:t>0.4015t/a，无组织0.0143t/a）、</w:t>
            </w:r>
            <w:r>
              <w:rPr>
                <w:rFonts w:ascii="Times New Roman" w:hAnsi="Times New Roman" w:eastAsia="宋体"/>
                <w:color w:val="000000" w:themeColor="text1"/>
                <w:sz w:val="24"/>
              </w:rPr>
              <w:t>COD0.</w:t>
            </w:r>
            <w:r>
              <w:rPr>
                <w:rFonts w:hint="eastAsia" w:ascii="Times New Roman" w:hAnsi="Times New Roman" w:eastAsia="宋体"/>
                <w:color w:val="000000" w:themeColor="text1"/>
                <w:sz w:val="24"/>
              </w:rPr>
              <w:t>0252</w:t>
            </w:r>
            <w:r>
              <w:rPr>
                <w:rFonts w:ascii="Times New Roman" w:hAnsi="Times New Roman" w:eastAsia="宋体"/>
                <w:color w:val="000000" w:themeColor="text1"/>
                <w:sz w:val="24"/>
              </w:rPr>
              <w:t>t/a</w:t>
            </w:r>
            <w:r>
              <w:rPr>
                <w:rFonts w:hint="eastAsia" w:ascii="Times New Roman" w:hAnsi="Times New Roman" w:eastAsia="宋体"/>
                <w:color w:val="000000" w:themeColor="text1"/>
                <w:sz w:val="24"/>
              </w:rPr>
              <w:t>、</w:t>
            </w:r>
            <w:r>
              <w:rPr>
                <w:rFonts w:ascii="Times New Roman" w:hAnsi="Times New Roman" w:eastAsia="宋体"/>
                <w:color w:val="000000" w:themeColor="text1"/>
                <w:sz w:val="24"/>
              </w:rPr>
              <w:t>NH</w:t>
            </w:r>
            <w:r>
              <w:rPr>
                <w:rFonts w:ascii="Times New Roman" w:hAnsi="Times New Roman" w:eastAsia="宋体"/>
                <w:color w:val="000000" w:themeColor="text1"/>
                <w:sz w:val="24"/>
                <w:vertAlign w:val="subscript"/>
              </w:rPr>
              <w:t>3</w:t>
            </w:r>
            <w:r>
              <w:rPr>
                <w:rFonts w:ascii="Times New Roman" w:hAnsi="Times New Roman" w:eastAsia="宋体"/>
                <w:color w:val="000000" w:themeColor="text1"/>
                <w:sz w:val="24"/>
              </w:rPr>
              <w:t>-N0.0</w:t>
            </w:r>
            <w:r>
              <w:rPr>
                <w:rFonts w:hint="eastAsia" w:ascii="Times New Roman" w:hAnsi="Times New Roman" w:eastAsia="宋体"/>
                <w:color w:val="000000" w:themeColor="text1"/>
                <w:sz w:val="24"/>
              </w:rPr>
              <w:t>026</w:t>
            </w:r>
            <w:r>
              <w:rPr>
                <w:rFonts w:ascii="Times New Roman" w:hAnsi="Times New Roman" w:eastAsia="宋体"/>
                <w:color w:val="000000" w:themeColor="text1"/>
                <w:sz w:val="24"/>
              </w:rPr>
              <w:t>t/a</w:t>
            </w:r>
            <w:r>
              <w:rPr>
                <w:rFonts w:hint="eastAsia" w:ascii="Times New Roman" w:eastAsia="宋体"/>
                <w:color w:val="000000" w:themeColor="text1"/>
                <w:sz w:val="24"/>
              </w:rPr>
              <w:t>、</w:t>
            </w:r>
            <w:r>
              <w:rPr>
                <w:rFonts w:hint="eastAsia" w:ascii="Times New Roman" w:hAnsi="Times New Roman" w:eastAsia="宋体"/>
                <w:color w:val="000000" w:themeColor="text1"/>
                <w:sz w:val="24"/>
              </w:rPr>
              <w:t>TP0.0002t/a。</w:t>
            </w:r>
          </w:p>
          <w:p>
            <w:pPr>
              <w:pStyle w:val="5"/>
              <w:adjustRightInd w:val="0"/>
              <w:snapToGrid w:val="0"/>
              <w:spacing w:line="440" w:lineRule="exact"/>
              <w:ind w:firstLine="482" w:firstLineChars="200"/>
              <w:rPr>
                <w:rFonts w:ascii="Times New Roman" w:hAnsi="Times New Roman"/>
                <w:b/>
                <w:color w:val="000000" w:themeColor="text1"/>
              </w:rPr>
            </w:pPr>
            <w:r>
              <w:rPr>
                <w:rFonts w:ascii="Times New Roman" w:hAnsi="Times New Roman"/>
                <w:b/>
                <w:color w:val="000000" w:themeColor="text1"/>
              </w:rPr>
              <w:t>八、选址可行性分析</w:t>
            </w:r>
          </w:p>
          <w:p>
            <w:pPr>
              <w:adjustRightInd w:val="0"/>
              <w:snapToGrid w:val="0"/>
              <w:spacing w:line="440" w:lineRule="exact"/>
              <w:ind w:firstLine="480" w:firstLineChars="200"/>
              <w:rPr>
                <w:rFonts w:ascii="Times New Roman" w:hAnsi="Times New Roman" w:eastAsia="宋体"/>
                <w:color w:val="000000" w:themeColor="text1"/>
                <w:sz w:val="24"/>
              </w:rPr>
            </w:pPr>
            <w:r>
              <w:rPr>
                <w:rFonts w:hint="eastAsia" w:ascii="Times New Roman" w:hAnsi="Times New Roman" w:eastAsia="宋体"/>
                <w:color w:val="000000" w:themeColor="text1"/>
                <w:sz w:val="24"/>
              </w:rPr>
              <w:t>新乡市顺风船科技有限公司</w:t>
            </w:r>
            <w:r>
              <w:rPr>
                <w:rFonts w:ascii="Times New Roman" w:hAnsi="Times New Roman" w:eastAsia="宋体"/>
                <w:color w:val="000000" w:themeColor="text1"/>
                <w:sz w:val="24"/>
              </w:rPr>
              <w:t>位于</w:t>
            </w:r>
            <w:r>
              <w:rPr>
                <w:rFonts w:ascii="Times New Roman" w:hAnsi="Times New Roman" w:eastAsia="宋体"/>
                <w:bCs/>
                <w:color w:val="000000" w:themeColor="text1"/>
                <w:sz w:val="24"/>
              </w:rPr>
              <w:t>新乡市新乡县七里营镇</w:t>
            </w:r>
            <w:r>
              <w:rPr>
                <w:rFonts w:hint="eastAsia" w:ascii="Times New Roman" w:hAnsi="Times New Roman" w:eastAsia="宋体"/>
                <w:bCs/>
                <w:color w:val="000000" w:themeColor="text1"/>
                <w:sz w:val="24"/>
              </w:rPr>
              <w:t>107国道与胡韦线交叉口中原兴业产业园</w:t>
            </w:r>
            <w:r>
              <w:rPr>
                <w:rFonts w:ascii="Times New Roman" w:hAnsi="Times New Roman" w:eastAsia="宋体"/>
                <w:bCs/>
                <w:color w:val="000000" w:themeColor="text1"/>
                <w:sz w:val="24"/>
              </w:rPr>
              <w:t>，</w:t>
            </w:r>
            <w:r>
              <w:rPr>
                <w:rFonts w:ascii="Times New Roman" w:hAnsi="Times New Roman" w:eastAsia="宋体"/>
                <w:color w:val="000000" w:themeColor="text1"/>
                <w:sz w:val="24"/>
              </w:rPr>
              <w:t>利用现有</w:t>
            </w:r>
            <w:r>
              <w:rPr>
                <w:rFonts w:ascii="Times New Roman" w:hAnsi="Times New Roman" w:eastAsia="宋体"/>
                <w:bCs/>
                <w:color w:val="000000" w:themeColor="text1"/>
                <w:sz w:val="24"/>
              </w:rPr>
              <w:t>厂房</w:t>
            </w:r>
            <w:r>
              <w:rPr>
                <w:rFonts w:ascii="Times New Roman" w:hAnsi="Times New Roman" w:eastAsia="宋体"/>
                <w:color w:val="000000" w:themeColor="text1"/>
                <w:sz w:val="24"/>
              </w:rPr>
              <w:t>进行生产</w:t>
            </w:r>
            <w:r>
              <w:rPr>
                <w:rFonts w:ascii="Times New Roman" w:hAnsi="Times New Roman" w:eastAsia="宋体"/>
                <w:bCs/>
                <w:color w:val="000000" w:themeColor="text1"/>
                <w:sz w:val="24"/>
              </w:rPr>
              <w:t>，不新增占地，不办理土地手续。</w:t>
            </w:r>
            <w:r>
              <w:rPr>
                <w:rFonts w:ascii="Times New Roman" w:hAnsi="Times New Roman" w:eastAsia="宋体"/>
                <w:color w:val="000000" w:themeColor="text1"/>
                <w:sz w:val="24"/>
              </w:rPr>
              <w:t>根据</w:t>
            </w:r>
            <w:r>
              <w:rPr>
                <w:rFonts w:hint="eastAsia" w:ascii="Times New Roman" w:hAnsi="Times New Roman" w:eastAsia="宋体"/>
                <w:color w:val="000000" w:themeColor="text1"/>
                <w:sz w:val="24"/>
              </w:rPr>
              <w:t>新乡经济技术产业集聚区总体发展规划（2015-2025）-用地规划图（见附图2（1））可知，本项目所在地为工业用地；</w:t>
            </w:r>
            <w:r>
              <w:rPr>
                <w:rFonts w:ascii="Times New Roman" w:hAnsi="Times New Roman" w:eastAsia="宋体"/>
                <w:color w:val="000000" w:themeColor="text1"/>
                <w:sz w:val="24"/>
              </w:rPr>
              <w:t>根据</w:t>
            </w:r>
            <w:r>
              <w:rPr>
                <w:rFonts w:hint="eastAsia" w:ascii="Times New Roman" w:hAnsi="Times New Roman" w:eastAsia="宋体"/>
                <w:color w:val="000000" w:themeColor="text1"/>
                <w:sz w:val="24"/>
              </w:rPr>
              <w:t>新乡经济技术产业集聚区总体发展规划（2015-2025）-产业布局规划图（见附图2（2））可知，本项目位于纸制品印刷包装产业园。</w:t>
            </w:r>
          </w:p>
          <w:p>
            <w:pPr>
              <w:spacing w:line="440" w:lineRule="exact"/>
              <w:ind w:firstLine="480" w:firstLineChars="200"/>
              <w:textAlignment w:val="baseline"/>
              <w:rPr>
                <w:rFonts w:ascii="Times New Roman" w:eastAsia="宋体"/>
                <w:color w:val="000000" w:themeColor="text1"/>
                <w:sz w:val="24"/>
              </w:rPr>
            </w:pPr>
            <w:r>
              <w:rPr>
                <w:rFonts w:ascii="Times New Roman" w:hAnsi="Times New Roman" w:eastAsia="宋体"/>
                <w:bCs/>
                <w:color w:val="000000" w:themeColor="text1"/>
                <w:sz w:val="24"/>
              </w:rPr>
              <w:t>项目营运期</w:t>
            </w:r>
            <w:r>
              <w:rPr>
                <w:rFonts w:ascii="Times New Roman" w:hAnsi="Times New Roman" w:eastAsia="宋体"/>
                <w:color w:val="000000" w:themeColor="text1"/>
                <w:sz w:val="24"/>
              </w:rPr>
              <w:t>压合工序产生的非甲烷总烃经</w:t>
            </w:r>
            <w:r>
              <w:rPr>
                <w:rFonts w:hint="eastAsia" w:ascii="Times New Roman" w:hAnsi="Times New Roman" w:eastAsia="宋体"/>
                <w:color w:val="000000" w:themeColor="text1"/>
                <w:sz w:val="24"/>
              </w:rPr>
              <w:t>封闭集气罩（6个，新建）+“UV光催化氧化（原有）+活性炭吸附（原有）+油烟净化器（原有）+水喷淋（整改新建）”装置（1套）</w:t>
            </w:r>
            <w:r>
              <w:rPr>
                <w:rFonts w:ascii="Times New Roman" w:hAnsi="Times New Roman" w:eastAsia="宋体"/>
                <w:color w:val="000000" w:themeColor="text1"/>
                <w:sz w:val="24"/>
              </w:rPr>
              <w:t>+</w:t>
            </w:r>
            <w:r>
              <w:rPr>
                <w:rFonts w:hint="eastAsia" w:ascii="Times New Roman" w:hAnsi="Times New Roman" w:eastAsia="宋体"/>
                <w:color w:val="000000" w:themeColor="text1"/>
                <w:sz w:val="24"/>
              </w:rPr>
              <w:t>15m高</w:t>
            </w:r>
            <w:r>
              <w:rPr>
                <w:rFonts w:ascii="Times New Roman" w:hAnsi="Times New Roman" w:eastAsia="宋体"/>
                <w:color w:val="000000" w:themeColor="text1"/>
                <w:sz w:val="24"/>
              </w:rPr>
              <w:t>排气筒</w:t>
            </w:r>
            <w:r>
              <w:rPr>
                <w:rFonts w:hint="eastAsia" w:ascii="Times New Roman" w:hAnsi="Times New Roman" w:eastAsia="宋体"/>
                <w:color w:val="000000" w:themeColor="text1"/>
                <w:sz w:val="24"/>
              </w:rPr>
              <w:t>；</w:t>
            </w:r>
            <w:r>
              <w:rPr>
                <w:rFonts w:hint="eastAsia" w:ascii="Times New Roman" w:eastAsia="宋体"/>
                <w:color w:val="000000" w:themeColor="text1"/>
                <w:sz w:val="24"/>
              </w:rPr>
              <w:t>本项目利用原有职工，不新增职工人数，不新增废水；压合工序冷却水循环使用，不外排；</w:t>
            </w:r>
            <w:r>
              <w:rPr>
                <w:rFonts w:ascii="Times New Roman" w:hAnsi="Times New Roman" w:eastAsia="宋体"/>
                <w:bCs/>
                <w:color w:val="000000" w:themeColor="text1"/>
                <w:sz w:val="24"/>
              </w:rPr>
              <w:t>噪声经采取</w:t>
            </w:r>
            <w:r>
              <w:rPr>
                <w:rFonts w:hint="eastAsia" w:asciiTheme="minorEastAsia" w:hAnsiTheme="minorEastAsia" w:eastAsiaTheme="minorEastAsia"/>
                <w:color w:val="000000" w:themeColor="text1"/>
                <w:sz w:val="24"/>
              </w:rPr>
              <w:t>基础减振、距离衰减、厂房隔声</w:t>
            </w:r>
            <w:r>
              <w:rPr>
                <w:rFonts w:ascii="Times New Roman" w:hAnsi="Times New Roman" w:eastAsia="宋体"/>
                <w:color w:val="000000" w:themeColor="text1"/>
                <w:kern w:val="0"/>
                <w:sz w:val="24"/>
              </w:rPr>
              <w:t>等</w:t>
            </w:r>
            <w:r>
              <w:rPr>
                <w:rFonts w:ascii="Times New Roman" w:hAnsi="Times New Roman" w:eastAsia="宋体"/>
                <w:bCs/>
                <w:color w:val="000000" w:themeColor="text1"/>
                <w:sz w:val="24"/>
              </w:rPr>
              <w:t>措施后能满足</w:t>
            </w:r>
            <w:r>
              <w:rPr>
                <w:rFonts w:ascii="Times New Roman" w:hAnsi="Times New Roman" w:eastAsia="宋体"/>
                <w:snapToGrid w:val="0"/>
                <w:color w:val="000000" w:themeColor="text1"/>
                <w:kern w:val="0"/>
                <w:sz w:val="24"/>
              </w:rPr>
              <w:t>《工业企业厂界环境噪声排放标准》（GB12348-2008）</w:t>
            </w:r>
            <w:r>
              <w:rPr>
                <w:rFonts w:hint="eastAsia" w:ascii="Times New Roman" w:hAnsi="Times New Roman" w:eastAsia="宋体"/>
                <w:snapToGrid w:val="0"/>
                <w:color w:val="000000" w:themeColor="text1"/>
                <w:kern w:val="0"/>
                <w:sz w:val="24"/>
              </w:rPr>
              <w:t>3</w:t>
            </w:r>
            <w:r>
              <w:rPr>
                <w:rFonts w:ascii="Times New Roman" w:hAnsi="Times New Roman" w:eastAsia="宋体"/>
                <w:snapToGrid w:val="0"/>
                <w:color w:val="000000" w:themeColor="text1"/>
                <w:kern w:val="0"/>
                <w:sz w:val="24"/>
              </w:rPr>
              <w:t>类标准；固体废物得到妥善处置。对周围环境的影响可以接受。</w:t>
            </w:r>
          </w:p>
          <w:p>
            <w:pPr>
              <w:autoSpaceDE w:val="0"/>
              <w:autoSpaceDN w:val="0"/>
              <w:adjustRightInd w:val="0"/>
              <w:snapToGrid w:val="0"/>
              <w:spacing w:line="440" w:lineRule="exact"/>
              <w:ind w:firstLine="480" w:firstLineChars="200"/>
              <w:rPr>
                <w:rFonts w:ascii="Times New Roman" w:hAnsi="Times New Roman" w:eastAsia="宋体"/>
                <w:color w:val="000000" w:themeColor="text1"/>
                <w:sz w:val="24"/>
              </w:rPr>
            </w:pPr>
            <w:r>
              <w:rPr>
                <w:rFonts w:ascii="Times New Roman" w:hAnsi="Times New Roman" w:eastAsia="宋体"/>
                <w:bCs/>
                <w:color w:val="000000" w:themeColor="text1"/>
                <w:sz w:val="24"/>
              </w:rPr>
              <w:t>终上所述，</w:t>
            </w:r>
            <w:r>
              <w:rPr>
                <w:rFonts w:ascii="Times New Roman" w:hAnsi="Times New Roman" w:eastAsia="宋体"/>
                <w:color w:val="000000" w:themeColor="text1"/>
                <w:sz w:val="24"/>
              </w:rPr>
              <w:t>评价认为本项目选址可行。</w:t>
            </w:r>
          </w:p>
          <w:p>
            <w:pPr>
              <w:spacing w:line="440" w:lineRule="exact"/>
              <w:ind w:firstLine="482" w:firstLineChars="200"/>
              <w:rPr>
                <w:rFonts w:ascii="Times New Roman" w:hAnsi="Times New Roman" w:eastAsia="宋体"/>
                <w:b/>
                <w:color w:val="000000" w:themeColor="text1"/>
                <w:sz w:val="24"/>
                <w:szCs w:val="22"/>
              </w:rPr>
            </w:pPr>
            <w:r>
              <w:rPr>
                <w:rFonts w:ascii="Times New Roman" w:hAnsi="Times New Roman" w:eastAsia="宋体"/>
                <w:b/>
                <w:color w:val="000000" w:themeColor="text1"/>
                <w:sz w:val="24"/>
                <w:szCs w:val="22"/>
              </w:rPr>
              <w:t>九、排污许可证申领</w:t>
            </w:r>
          </w:p>
          <w:p>
            <w:pPr>
              <w:spacing w:line="440" w:lineRule="exact"/>
              <w:ind w:firstLine="480" w:firstLineChars="200"/>
              <w:rPr>
                <w:rFonts w:ascii="Times New Roman" w:hAnsi="Times New Roman" w:eastAsia="宋体"/>
                <w:bCs/>
                <w:color w:val="000000" w:themeColor="text1"/>
                <w:sz w:val="24"/>
                <w:szCs w:val="22"/>
              </w:rPr>
            </w:pPr>
            <w:r>
              <w:rPr>
                <w:rFonts w:ascii="Times New Roman" w:hAnsi="Times New Roman" w:eastAsia="宋体"/>
                <w:bCs/>
                <w:color w:val="000000" w:themeColor="text1"/>
                <w:sz w:val="24"/>
                <w:szCs w:val="22"/>
              </w:rPr>
              <w:t>根据《建设项目竣工环境保护验收暂行办法》（国环规环评[2017]4号）第十四条要求：纳入排污许可管理的建设项目，排污单位应当在项目产生实际污染物排放之前，按照国家排污许可有关管理规定要求，申请排污许可证，不得无证排污或不按证排污。同时根据《排污许可管理办法（试行）》（环境保护部部令第48号）第二十四条规定：在名录规定的时限后建成的排污单位，应当在启动生产设施或者在实际排污之前申请排污许可证。根据《固定污染源排污许可分类管理名录》第四条：新建排污单位应当在启动生产设施或者发生实际排污之前申请取得排污许可证或者填报排污登记表。</w:t>
            </w:r>
          </w:p>
          <w:p>
            <w:pPr>
              <w:spacing w:line="440" w:lineRule="exact"/>
              <w:ind w:firstLine="480" w:firstLineChars="200"/>
              <w:rPr>
                <w:rFonts w:ascii="Times New Roman" w:hAnsi="Times New Roman" w:eastAsia="宋体"/>
                <w:bCs/>
                <w:color w:val="000000" w:themeColor="text1"/>
                <w:sz w:val="24"/>
                <w:szCs w:val="22"/>
              </w:rPr>
            </w:pPr>
            <w:r>
              <w:rPr>
                <w:rFonts w:ascii="Times New Roman" w:hAnsi="Times New Roman" w:eastAsia="宋体"/>
                <w:bCs/>
                <w:color w:val="000000" w:themeColor="text1"/>
                <w:sz w:val="24"/>
                <w:szCs w:val="22"/>
              </w:rPr>
              <w:t>经查《固定污染源排污许可分类管理名录（2019年版）》（生态环境部令第11号），本项目属于</w:t>
            </w:r>
            <w:r>
              <w:rPr>
                <w:rFonts w:hint="eastAsia" w:ascii="Times New Roman" w:hAnsi="Times New Roman" w:eastAsia="宋体"/>
                <w:color w:val="000000" w:themeColor="text1"/>
                <w:sz w:val="24"/>
              </w:rPr>
              <w:t>二十四</w:t>
            </w:r>
            <w:r>
              <w:rPr>
                <w:rFonts w:ascii="Times New Roman" w:hAnsi="Times New Roman" w:eastAsia="宋体"/>
                <w:color w:val="000000" w:themeColor="text1"/>
                <w:sz w:val="24"/>
              </w:rPr>
              <w:t>、橡胶和塑料制品业</w:t>
            </w:r>
            <w:r>
              <w:rPr>
                <w:rFonts w:ascii="Times New Roman" w:hAnsi="Times New Roman" w:eastAsia="宋体"/>
                <w:bCs/>
                <w:color w:val="000000" w:themeColor="text1"/>
                <w:sz w:val="24"/>
                <w:szCs w:val="22"/>
              </w:rPr>
              <w:t>，</w:t>
            </w:r>
            <w:r>
              <w:rPr>
                <w:rFonts w:hint="eastAsia" w:ascii="Times New Roman" w:hAnsi="Times New Roman" w:eastAsia="宋体"/>
                <w:bCs/>
                <w:color w:val="000000" w:themeColor="text1"/>
                <w:sz w:val="24"/>
                <w:szCs w:val="22"/>
              </w:rPr>
              <w:t>62</w:t>
            </w:r>
            <w:r>
              <w:rPr>
                <w:rFonts w:ascii="Times New Roman" w:hAnsi="Times New Roman" w:eastAsia="宋体"/>
                <w:bCs/>
                <w:color w:val="000000" w:themeColor="text1"/>
                <w:sz w:val="24"/>
                <w:szCs w:val="22"/>
              </w:rPr>
              <w:t>款中“</w:t>
            </w:r>
            <w:r>
              <w:rPr>
                <w:rFonts w:ascii="Times New Roman" w:hAnsi="Times New Roman" w:eastAsia="宋体"/>
                <w:color w:val="000000" w:themeColor="text1"/>
                <w:sz w:val="24"/>
              </w:rPr>
              <w:t>塑料制品业</w:t>
            </w:r>
            <w:r>
              <w:rPr>
                <w:rFonts w:ascii="Times New Roman" w:hAnsi="Times New Roman" w:eastAsia="宋体"/>
                <w:bCs/>
                <w:color w:val="000000" w:themeColor="text1"/>
                <w:sz w:val="24"/>
                <w:szCs w:val="22"/>
              </w:rPr>
              <w:t>”，本项目属于</w:t>
            </w:r>
            <w:r>
              <w:rPr>
                <w:rFonts w:hint="eastAsia" w:ascii="Times New Roman" w:hAnsi="Times New Roman" w:eastAsia="宋体"/>
                <w:bCs/>
                <w:color w:val="000000" w:themeColor="text1"/>
                <w:sz w:val="24"/>
                <w:szCs w:val="22"/>
              </w:rPr>
              <w:t>“其他”</w:t>
            </w:r>
            <w:r>
              <w:rPr>
                <w:rFonts w:ascii="Times New Roman" w:hAnsi="Times New Roman" w:eastAsia="宋体"/>
                <w:bCs/>
                <w:color w:val="000000" w:themeColor="text1"/>
                <w:sz w:val="24"/>
                <w:szCs w:val="22"/>
              </w:rPr>
              <w:t>，为登记管理项目，应在建成后、启动生产设施或者在实际排污之前申请取得排污许可手续。</w:t>
            </w:r>
          </w:p>
          <w:p>
            <w:pPr>
              <w:adjustRightInd w:val="0"/>
              <w:snapToGrid w:val="0"/>
              <w:spacing w:line="440" w:lineRule="exact"/>
              <w:ind w:firstLine="482" w:firstLineChars="200"/>
              <w:rPr>
                <w:rFonts w:ascii="Times New Roman" w:hAnsi="Times New Roman" w:eastAsia="宋体"/>
                <w:b/>
                <w:bCs/>
                <w:color w:val="000000" w:themeColor="text1"/>
                <w:sz w:val="24"/>
              </w:rPr>
            </w:pPr>
            <w:r>
              <w:rPr>
                <w:rFonts w:hint="eastAsia" w:ascii="Times New Roman" w:hAnsi="Times New Roman" w:eastAsia="宋体"/>
                <w:b/>
                <w:color w:val="000000" w:themeColor="text1"/>
                <w:sz w:val="24"/>
              </w:rPr>
              <w:t>十</w:t>
            </w:r>
            <w:r>
              <w:rPr>
                <w:rFonts w:ascii="Times New Roman" w:hAnsi="Times New Roman" w:eastAsia="宋体"/>
                <w:b/>
                <w:bCs/>
                <w:color w:val="000000" w:themeColor="text1"/>
                <w:sz w:val="24"/>
              </w:rPr>
              <w:t>、环境管理与监测计划</w:t>
            </w:r>
          </w:p>
          <w:p>
            <w:pPr>
              <w:spacing w:line="440" w:lineRule="exact"/>
              <w:ind w:firstLine="480" w:firstLineChars="200"/>
              <w:rPr>
                <w:rFonts w:ascii="Times New Roman" w:hAnsi="Times New Roman" w:eastAsia="宋体"/>
                <w:color w:val="000000" w:themeColor="text1"/>
                <w:sz w:val="24"/>
              </w:rPr>
            </w:pPr>
            <w:r>
              <w:rPr>
                <w:rFonts w:ascii="Times New Roman" w:hAnsi="Times New Roman" w:eastAsia="宋体"/>
                <w:color w:val="000000" w:themeColor="text1"/>
                <w:sz w:val="24"/>
              </w:rPr>
              <w:t>为了执行国家有关环境保护的法律、法规，做好本工程区域的环境保护工作，业主单位应设置环保管理部门，配合相关工作人员，负责组织、协调和监督工程区的环境保护工作，加强与环保部门的联系。</w:t>
            </w:r>
          </w:p>
          <w:p>
            <w:pPr>
              <w:spacing w:line="440" w:lineRule="exact"/>
              <w:ind w:firstLine="480" w:firstLineChars="200"/>
              <w:rPr>
                <w:rFonts w:ascii="Times New Roman" w:hAnsi="Times New Roman" w:eastAsia="宋体"/>
                <w:color w:val="000000" w:themeColor="text1"/>
                <w:sz w:val="24"/>
              </w:rPr>
            </w:pPr>
            <w:r>
              <w:rPr>
                <w:rFonts w:ascii="Times New Roman" w:hAnsi="Times New Roman" w:eastAsia="宋体"/>
                <w:color w:val="000000" w:themeColor="text1"/>
                <w:sz w:val="24"/>
              </w:rPr>
              <w:t>本工程环境管理部门应做好以下工作：</w:t>
            </w:r>
          </w:p>
          <w:p>
            <w:pPr>
              <w:spacing w:line="440" w:lineRule="exact"/>
              <w:ind w:firstLine="480" w:firstLineChars="200"/>
              <w:rPr>
                <w:rFonts w:ascii="Times New Roman" w:hAnsi="Times New Roman" w:eastAsia="宋体"/>
                <w:color w:val="000000" w:themeColor="text1"/>
                <w:sz w:val="24"/>
              </w:rPr>
            </w:pPr>
            <w:r>
              <w:rPr>
                <w:rFonts w:ascii="Times New Roman" w:hAnsi="Times New Roman" w:eastAsia="宋体"/>
                <w:color w:val="000000" w:themeColor="text1"/>
                <w:sz w:val="24"/>
              </w:rPr>
              <w:t>（1）加强对员工环保意识的教育和环保宣传，尽量提高人们的环保意识。</w:t>
            </w:r>
          </w:p>
          <w:p>
            <w:pPr>
              <w:spacing w:line="440" w:lineRule="exact"/>
              <w:ind w:firstLine="480" w:firstLineChars="200"/>
              <w:rPr>
                <w:rFonts w:ascii="Times New Roman" w:hAnsi="Times New Roman" w:eastAsia="宋体"/>
                <w:color w:val="000000" w:themeColor="text1"/>
                <w:sz w:val="24"/>
              </w:rPr>
            </w:pPr>
            <w:r>
              <w:rPr>
                <w:rFonts w:ascii="Times New Roman" w:hAnsi="Times New Roman" w:eastAsia="宋体"/>
                <w:color w:val="000000" w:themeColor="text1"/>
                <w:sz w:val="24"/>
              </w:rPr>
              <w:t>（2）加强环境卫生管理，及时清运厂区内的固体废物和生活垃圾，杜绝破坏周边环境及对环境有不良后果的行为发生。</w:t>
            </w:r>
          </w:p>
          <w:p>
            <w:pPr>
              <w:spacing w:line="440" w:lineRule="exact"/>
              <w:ind w:firstLine="480" w:firstLineChars="200"/>
              <w:rPr>
                <w:rFonts w:ascii="Times New Roman" w:hAnsi="Times New Roman" w:eastAsia="宋体"/>
                <w:color w:val="000000" w:themeColor="text1"/>
                <w:sz w:val="24"/>
              </w:rPr>
            </w:pPr>
            <w:r>
              <w:rPr>
                <w:rFonts w:ascii="Times New Roman" w:hAnsi="Times New Roman" w:eastAsia="宋体"/>
                <w:color w:val="000000" w:themeColor="text1"/>
                <w:sz w:val="24"/>
              </w:rPr>
              <w:t>（3）环保负责人员应加强工程范围内的绿化管理工作和环保工作。定期对环保设施进行检查和维护，保证高效、正常运行。安排专人对各项环保措施进行设施及各污染物的处置情况进行监督管理。</w:t>
            </w:r>
          </w:p>
          <w:p>
            <w:pPr>
              <w:pStyle w:val="131"/>
              <w:adjustRightInd/>
              <w:spacing w:line="440" w:lineRule="exact"/>
              <w:jc w:val="center"/>
              <w:rPr>
                <w:rFonts w:ascii="Times New Roman" w:hAnsi="Times New Roman" w:eastAsia="宋体" w:cs="Times New Roman"/>
                <w:b/>
                <w:bCs/>
                <w:snapToGrid w:val="0"/>
                <w:color w:val="000000" w:themeColor="text1"/>
              </w:rPr>
            </w:pPr>
            <w:r>
              <w:rPr>
                <w:rFonts w:ascii="Times New Roman" w:hAnsi="Times New Roman" w:eastAsia="宋体" w:cs="Times New Roman"/>
                <w:b/>
                <w:bCs/>
                <w:snapToGrid w:val="0"/>
                <w:color w:val="000000" w:themeColor="text1"/>
              </w:rPr>
              <w:t>表5</w:t>
            </w:r>
            <w:r>
              <w:rPr>
                <w:rFonts w:hint="eastAsia" w:ascii="Times New Roman" w:hAnsi="Times New Roman" w:eastAsia="宋体" w:cs="Times New Roman"/>
                <w:b/>
                <w:bCs/>
                <w:snapToGrid w:val="0"/>
                <w:color w:val="000000" w:themeColor="text1"/>
              </w:rPr>
              <w:t xml:space="preserve">3    </w:t>
            </w:r>
            <w:r>
              <w:rPr>
                <w:rFonts w:ascii="Times New Roman" w:hAnsi="Times New Roman" w:eastAsia="宋体" w:cs="Times New Roman"/>
                <w:b/>
                <w:bCs/>
                <w:snapToGrid w:val="0"/>
                <w:color w:val="000000" w:themeColor="text1"/>
              </w:rPr>
              <w:t>监测计划一览表</w:t>
            </w:r>
          </w:p>
          <w:tbl>
            <w:tblPr>
              <w:tblStyle w:val="24"/>
              <w:tblW w:w="9072"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6"/>
              <w:gridCol w:w="992"/>
              <w:gridCol w:w="1417"/>
              <w:gridCol w:w="4251"/>
              <w:gridCol w:w="141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9" w:type="pct"/>
                  <w:tcBorders>
                    <w:top w:val="single" w:color="auto" w:sz="8" w:space="0"/>
                    <w:bottom w:val="single" w:color="auto" w:sz="8" w:space="0"/>
                  </w:tcBorders>
                  <w:vAlign w:val="center"/>
                </w:tcPr>
                <w:p>
                  <w:pPr>
                    <w:jc w:val="center"/>
                    <w:textAlignment w:val="baseline"/>
                    <w:rPr>
                      <w:rFonts w:ascii="Times New Roman" w:hAnsi="Times New Roman" w:eastAsia="宋体"/>
                      <w:b/>
                      <w:bCs/>
                      <w:color w:val="000000" w:themeColor="text1"/>
                    </w:rPr>
                  </w:pPr>
                  <w:r>
                    <w:rPr>
                      <w:rFonts w:ascii="Times New Roman" w:hAnsi="Times New Roman" w:eastAsia="宋体"/>
                      <w:b/>
                      <w:bCs/>
                      <w:color w:val="000000" w:themeColor="text1"/>
                    </w:rPr>
                    <w:t>序号</w:t>
                  </w:r>
                </w:p>
              </w:tc>
              <w:tc>
                <w:tcPr>
                  <w:tcW w:w="547" w:type="pct"/>
                  <w:tcBorders>
                    <w:top w:val="single" w:color="auto" w:sz="8" w:space="0"/>
                    <w:bottom w:val="single" w:color="auto" w:sz="8" w:space="0"/>
                  </w:tcBorders>
                  <w:vAlign w:val="center"/>
                </w:tcPr>
                <w:p>
                  <w:pPr>
                    <w:jc w:val="center"/>
                    <w:textAlignment w:val="baseline"/>
                    <w:rPr>
                      <w:rFonts w:ascii="Times New Roman" w:hAnsi="Times New Roman" w:eastAsia="宋体"/>
                      <w:b/>
                      <w:bCs/>
                      <w:color w:val="000000" w:themeColor="text1"/>
                    </w:rPr>
                  </w:pPr>
                  <w:r>
                    <w:rPr>
                      <w:rFonts w:ascii="Times New Roman" w:hAnsi="Times New Roman" w:eastAsia="宋体"/>
                      <w:b/>
                      <w:bCs/>
                      <w:color w:val="000000" w:themeColor="text1"/>
                    </w:rPr>
                    <w:t>类别</w:t>
                  </w:r>
                </w:p>
              </w:tc>
              <w:tc>
                <w:tcPr>
                  <w:tcW w:w="781" w:type="pct"/>
                  <w:tcBorders>
                    <w:top w:val="single" w:color="auto" w:sz="8" w:space="0"/>
                    <w:bottom w:val="single" w:color="auto" w:sz="8" w:space="0"/>
                  </w:tcBorders>
                  <w:vAlign w:val="center"/>
                </w:tcPr>
                <w:p>
                  <w:pPr>
                    <w:jc w:val="center"/>
                    <w:textAlignment w:val="baseline"/>
                    <w:rPr>
                      <w:rFonts w:ascii="Times New Roman" w:hAnsi="Times New Roman" w:eastAsia="宋体"/>
                      <w:b/>
                      <w:bCs/>
                      <w:color w:val="000000" w:themeColor="text1"/>
                    </w:rPr>
                  </w:pPr>
                  <w:r>
                    <w:rPr>
                      <w:rFonts w:ascii="Times New Roman" w:hAnsi="Times New Roman" w:eastAsia="宋体"/>
                      <w:b/>
                      <w:bCs/>
                      <w:color w:val="000000" w:themeColor="text1"/>
                    </w:rPr>
                    <w:t>监测因子</w:t>
                  </w:r>
                </w:p>
              </w:tc>
              <w:tc>
                <w:tcPr>
                  <w:tcW w:w="2343" w:type="pct"/>
                  <w:tcBorders>
                    <w:top w:val="single" w:color="auto" w:sz="8" w:space="0"/>
                    <w:bottom w:val="single" w:color="auto" w:sz="8" w:space="0"/>
                  </w:tcBorders>
                  <w:vAlign w:val="center"/>
                </w:tcPr>
                <w:p>
                  <w:pPr>
                    <w:jc w:val="center"/>
                    <w:textAlignment w:val="baseline"/>
                    <w:rPr>
                      <w:rFonts w:ascii="Times New Roman" w:hAnsi="Times New Roman" w:eastAsia="宋体"/>
                      <w:b/>
                      <w:bCs/>
                      <w:color w:val="000000" w:themeColor="text1"/>
                    </w:rPr>
                  </w:pPr>
                  <w:r>
                    <w:rPr>
                      <w:rFonts w:ascii="Times New Roman" w:hAnsi="Times New Roman" w:eastAsia="宋体"/>
                      <w:b/>
                      <w:bCs/>
                      <w:color w:val="000000" w:themeColor="text1"/>
                    </w:rPr>
                    <w:t>监测点位</w:t>
                  </w:r>
                </w:p>
              </w:tc>
              <w:tc>
                <w:tcPr>
                  <w:tcW w:w="780" w:type="pct"/>
                  <w:tcBorders>
                    <w:top w:val="single" w:color="auto" w:sz="8" w:space="0"/>
                    <w:bottom w:val="single" w:color="auto" w:sz="8" w:space="0"/>
                  </w:tcBorders>
                  <w:vAlign w:val="center"/>
                </w:tcPr>
                <w:p>
                  <w:pPr>
                    <w:jc w:val="center"/>
                    <w:textAlignment w:val="baseline"/>
                    <w:rPr>
                      <w:rFonts w:ascii="Times New Roman" w:hAnsi="Times New Roman" w:eastAsia="宋体"/>
                      <w:b/>
                      <w:bCs/>
                      <w:color w:val="000000" w:themeColor="text1"/>
                    </w:rPr>
                  </w:pPr>
                  <w:r>
                    <w:rPr>
                      <w:rFonts w:ascii="Times New Roman" w:hAnsi="Times New Roman" w:eastAsia="宋体"/>
                      <w:b/>
                      <w:bCs/>
                      <w:color w:val="000000" w:themeColor="text1"/>
                    </w:rPr>
                    <w:t>监测频次</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9" w:type="pct"/>
                  <w:vMerge w:val="restart"/>
                  <w:tcBorders>
                    <w:top w:val="single" w:color="auto" w:sz="8" w:space="0"/>
                  </w:tcBorders>
                  <w:vAlign w:val="center"/>
                </w:tcPr>
                <w:p>
                  <w:pPr>
                    <w:jc w:val="center"/>
                    <w:textAlignment w:val="baseline"/>
                    <w:rPr>
                      <w:rFonts w:ascii="Times New Roman" w:hAnsi="Times New Roman" w:eastAsia="宋体"/>
                      <w:color w:val="000000" w:themeColor="text1"/>
                    </w:rPr>
                  </w:pPr>
                  <w:r>
                    <w:rPr>
                      <w:rFonts w:ascii="Times New Roman" w:hAnsi="Times New Roman" w:eastAsia="宋体"/>
                      <w:color w:val="000000" w:themeColor="text1"/>
                    </w:rPr>
                    <w:t>1</w:t>
                  </w:r>
                </w:p>
              </w:tc>
              <w:tc>
                <w:tcPr>
                  <w:tcW w:w="547" w:type="pct"/>
                  <w:vMerge w:val="restart"/>
                  <w:tcBorders>
                    <w:top w:val="single" w:color="auto" w:sz="8" w:space="0"/>
                  </w:tcBorders>
                  <w:vAlign w:val="center"/>
                </w:tcPr>
                <w:p>
                  <w:pPr>
                    <w:jc w:val="center"/>
                    <w:textAlignment w:val="baseline"/>
                    <w:rPr>
                      <w:rFonts w:ascii="Times New Roman" w:hAnsi="Times New Roman" w:eastAsia="宋体"/>
                      <w:color w:val="000000" w:themeColor="text1"/>
                    </w:rPr>
                  </w:pPr>
                  <w:r>
                    <w:rPr>
                      <w:rFonts w:ascii="Times New Roman" w:hAnsi="Times New Roman" w:eastAsia="宋体"/>
                      <w:color w:val="000000" w:themeColor="text1"/>
                    </w:rPr>
                    <w:t>废气</w:t>
                  </w:r>
                </w:p>
              </w:tc>
              <w:tc>
                <w:tcPr>
                  <w:tcW w:w="781" w:type="pct"/>
                  <w:vMerge w:val="restart"/>
                  <w:tcBorders>
                    <w:top w:val="single" w:color="auto" w:sz="8" w:space="0"/>
                  </w:tcBorders>
                  <w:vAlign w:val="center"/>
                </w:tcPr>
                <w:p>
                  <w:pPr>
                    <w:jc w:val="center"/>
                    <w:textAlignment w:val="baseline"/>
                    <w:rPr>
                      <w:rFonts w:ascii="Times New Roman" w:hAnsi="Times New Roman" w:eastAsia="宋体"/>
                      <w:color w:val="000000" w:themeColor="text1"/>
                    </w:rPr>
                  </w:pPr>
                  <w:r>
                    <w:rPr>
                      <w:rFonts w:hint="eastAsia" w:ascii="Times New Roman" w:hAnsi="Times New Roman" w:eastAsia="宋体"/>
                      <w:color w:val="000000" w:themeColor="text1"/>
                    </w:rPr>
                    <w:t>非甲烷总烃</w:t>
                  </w:r>
                </w:p>
              </w:tc>
              <w:tc>
                <w:tcPr>
                  <w:tcW w:w="2343" w:type="pct"/>
                  <w:tcBorders>
                    <w:top w:val="single" w:color="auto" w:sz="8" w:space="0"/>
                    <w:bottom w:val="single" w:color="auto" w:sz="4" w:space="0"/>
                  </w:tcBorders>
                  <w:vAlign w:val="center"/>
                </w:tcPr>
                <w:p>
                  <w:pPr>
                    <w:jc w:val="center"/>
                    <w:textAlignment w:val="baseline"/>
                    <w:rPr>
                      <w:rFonts w:ascii="Times New Roman" w:hAnsi="Times New Roman" w:eastAsia="宋体"/>
                      <w:color w:val="000000" w:themeColor="text1"/>
                    </w:rPr>
                  </w:pPr>
                  <w:r>
                    <w:rPr>
                      <w:rFonts w:ascii="Times New Roman" w:hAnsi="Times New Roman" w:eastAsia="宋体"/>
                      <w:color w:val="000000" w:themeColor="text1"/>
                    </w:rPr>
                    <w:t>有机废气处理设施排气筒排放口（有组织）</w:t>
                  </w:r>
                </w:p>
              </w:tc>
              <w:tc>
                <w:tcPr>
                  <w:tcW w:w="780" w:type="pct"/>
                  <w:tcBorders>
                    <w:top w:val="single" w:color="auto" w:sz="8" w:space="0"/>
                    <w:bottom w:val="single" w:color="auto" w:sz="4" w:space="0"/>
                  </w:tcBorders>
                  <w:vAlign w:val="center"/>
                </w:tcPr>
                <w:p>
                  <w:pPr>
                    <w:jc w:val="center"/>
                    <w:textAlignment w:val="baseline"/>
                    <w:rPr>
                      <w:rFonts w:ascii="Times New Roman" w:hAnsi="Times New Roman" w:eastAsia="宋体"/>
                      <w:color w:val="000000" w:themeColor="text1"/>
                    </w:rPr>
                  </w:pPr>
                  <w:r>
                    <w:rPr>
                      <w:rFonts w:ascii="Times New Roman" w:hAnsi="Times New Roman" w:eastAsia="宋体"/>
                      <w:color w:val="000000" w:themeColor="text1"/>
                    </w:rPr>
                    <w:t>1次/年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9" w:type="pct"/>
                  <w:vMerge w:val="continue"/>
                  <w:vAlign w:val="center"/>
                </w:tcPr>
                <w:p>
                  <w:pPr>
                    <w:jc w:val="center"/>
                    <w:textAlignment w:val="baseline"/>
                    <w:rPr>
                      <w:rFonts w:ascii="Times New Roman" w:hAnsi="Times New Roman" w:eastAsia="宋体"/>
                      <w:color w:val="000000" w:themeColor="text1"/>
                    </w:rPr>
                  </w:pPr>
                </w:p>
              </w:tc>
              <w:tc>
                <w:tcPr>
                  <w:tcW w:w="547" w:type="pct"/>
                  <w:vMerge w:val="continue"/>
                  <w:vAlign w:val="center"/>
                </w:tcPr>
                <w:p>
                  <w:pPr>
                    <w:jc w:val="center"/>
                    <w:textAlignment w:val="baseline"/>
                    <w:rPr>
                      <w:rFonts w:ascii="Times New Roman" w:hAnsi="Times New Roman" w:eastAsia="宋体"/>
                      <w:color w:val="000000" w:themeColor="text1"/>
                    </w:rPr>
                  </w:pPr>
                </w:p>
              </w:tc>
              <w:tc>
                <w:tcPr>
                  <w:tcW w:w="781" w:type="pct"/>
                  <w:vMerge w:val="continue"/>
                  <w:vAlign w:val="center"/>
                </w:tcPr>
                <w:p>
                  <w:pPr>
                    <w:jc w:val="center"/>
                    <w:textAlignment w:val="baseline"/>
                    <w:rPr>
                      <w:rFonts w:ascii="Times New Roman" w:hAnsi="Times New Roman" w:eastAsia="宋体"/>
                      <w:color w:val="000000" w:themeColor="text1"/>
                    </w:rPr>
                  </w:pPr>
                </w:p>
              </w:tc>
              <w:tc>
                <w:tcPr>
                  <w:tcW w:w="2343" w:type="pct"/>
                  <w:tcBorders>
                    <w:top w:val="single" w:color="auto" w:sz="4" w:space="0"/>
                  </w:tcBorders>
                  <w:vAlign w:val="center"/>
                </w:tcPr>
                <w:p>
                  <w:pPr>
                    <w:jc w:val="center"/>
                    <w:textAlignment w:val="baseline"/>
                    <w:rPr>
                      <w:rFonts w:ascii="Times New Roman" w:hAnsi="Times New Roman" w:eastAsia="宋体"/>
                      <w:color w:val="000000" w:themeColor="text1"/>
                    </w:rPr>
                  </w:pPr>
                  <w:r>
                    <w:rPr>
                      <w:rFonts w:ascii="Times New Roman" w:hAnsi="Times New Roman" w:eastAsia="宋体"/>
                      <w:color w:val="000000" w:themeColor="text1"/>
                    </w:rPr>
                    <w:t>厂界无组织</w:t>
                  </w:r>
                </w:p>
              </w:tc>
              <w:tc>
                <w:tcPr>
                  <w:tcW w:w="780" w:type="pct"/>
                  <w:tcBorders>
                    <w:top w:val="single" w:color="auto" w:sz="4" w:space="0"/>
                  </w:tcBorders>
                  <w:vAlign w:val="center"/>
                </w:tcPr>
                <w:p>
                  <w:pPr>
                    <w:jc w:val="center"/>
                    <w:textAlignment w:val="baseline"/>
                    <w:rPr>
                      <w:rFonts w:ascii="Times New Roman" w:hAnsi="Times New Roman" w:eastAsia="宋体"/>
                      <w:color w:val="000000" w:themeColor="text1"/>
                    </w:rPr>
                  </w:pPr>
                  <w:r>
                    <w:rPr>
                      <w:rFonts w:ascii="Times New Roman" w:hAnsi="Times New Roman" w:eastAsia="宋体"/>
                      <w:color w:val="000000" w:themeColor="text1"/>
                    </w:rPr>
                    <w:t>1次/年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9" w:type="pct"/>
                  <w:tcBorders>
                    <w:bottom w:val="single" w:color="auto" w:sz="8" w:space="0"/>
                  </w:tcBorders>
                  <w:vAlign w:val="center"/>
                </w:tcPr>
                <w:p>
                  <w:pPr>
                    <w:jc w:val="center"/>
                    <w:textAlignment w:val="baseline"/>
                    <w:rPr>
                      <w:rFonts w:ascii="Times New Roman" w:hAnsi="Times New Roman" w:eastAsia="宋体"/>
                      <w:color w:val="000000" w:themeColor="text1"/>
                    </w:rPr>
                  </w:pPr>
                  <w:r>
                    <w:rPr>
                      <w:rFonts w:ascii="Times New Roman" w:hAnsi="Times New Roman" w:eastAsia="宋体"/>
                      <w:color w:val="000000" w:themeColor="text1"/>
                    </w:rPr>
                    <w:t>2</w:t>
                  </w:r>
                </w:p>
              </w:tc>
              <w:tc>
                <w:tcPr>
                  <w:tcW w:w="547" w:type="pct"/>
                  <w:tcBorders>
                    <w:bottom w:val="single" w:color="auto" w:sz="8" w:space="0"/>
                  </w:tcBorders>
                  <w:vAlign w:val="center"/>
                </w:tcPr>
                <w:p>
                  <w:pPr>
                    <w:jc w:val="center"/>
                    <w:textAlignment w:val="baseline"/>
                    <w:rPr>
                      <w:rFonts w:ascii="Times New Roman" w:hAnsi="Times New Roman" w:eastAsia="宋体"/>
                      <w:color w:val="000000" w:themeColor="text1"/>
                    </w:rPr>
                  </w:pPr>
                  <w:r>
                    <w:rPr>
                      <w:rFonts w:ascii="Times New Roman" w:hAnsi="Times New Roman" w:eastAsia="宋体"/>
                      <w:color w:val="000000" w:themeColor="text1"/>
                    </w:rPr>
                    <w:t>噪声</w:t>
                  </w:r>
                </w:p>
              </w:tc>
              <w:tc>
                <w:tcPr>
                  <w:tcW w:w="781" w:type="pct"/>
                  <w:tcBorders>
                    <w:bottom w:val="single" w:color="auto" w:sz="8" w:space="0"/>
                  </w:tcBorders>
                  <w:vAlign w:val="center"/>
                </w:tcPr>
                <w:p>
                  <w:pPr>
                    <w:jc w:val="center"/>
                    <w:textAlignment w:val="baseline"/>
                    <w:rPr>
                      <w:rFonts w:ascii="Times New Roman" w:hAnsi="Times New Roman" w:eastAsia="宋体"/>
                      <w:color w:val="000000" w:themeColor="text1"/>
                    </w:rPr>
                  </w:pPr>
                  <w:r>
                    <w:rPr>
                      <w:rFonts w:ascii="Times New Roman" w:hAnsi="Times New Roman" w:eastAsia="宋体"/>
                      <w:color w:val="000000" w:themeColor="text1"/>
                    </w:rPr>
                    <w:t>Leq（A）</w:t>
                  </w:r>
                </w:p>
              </w:tc>
              <w:tc>
                <w:tcPr>
                  <w:tcW w:w="2343" w:type="pct"/>
                  <w:tcBorders>
                    <w:bottom w:val="single" w:color="auto" w:sz="8" w:space="0"/>
                  </w:tcBorders>
                  <w:vAlign w:val="center"/>
                </w:tcPr>
                <w:p>
                  <w:pPr>
                    <w:jc w:val="center"/>
                    <w:textAlignment w:val="baseline"/>
                    <w:rPr>
                      <w:rFonts w:ascii="Times New Roman" w:hAnsi="Times New Roman" w:eastAsia="宋体"/>
                      <w:color w:val="000000" w:themeColor="text1"/>
                    </w:rPr>
                  </w:pPr>
                  <w:r>
                    <w:rPr>
                      <w:rFonts w:ascii="Times New Roman" w:hAnsi="Times New Roman" w:eastAsia="宋体"/>
                      <w:color w:val="000000" w:themeColor="text1"/>
                    </w:rPr>
                    <w:t>四周厂界外1m</w:t>
                  </w:r>
                </w:p>
              </w:tc>
              <w:tc>
                <w:tcPr>
                  <w:tcW w:w="780" w:type="pct"/>
                  <w:tcBorders>
                    <w:bottom w:val="single" w:color="auto" w:sz="8" w:space="0"/>
                  </w:tcBorders>
                  <w:vAlign w:val="center"/>
                </w:tcPr>
                <w:p>
                  <w:pPr>
                    <w:jc w:val="center"/>
                    <w:textAlignment w:val="baseline"/>
                    <w:rPr>
                      <w:rFonts w:ascii="Times New Roman" w:hAnsi="Times New Roman" w:eastAsia="宋体"/>
                      <w:color w:val="000000" w:themeColor="text1"/>
                    </w:rPr>
                  </w:pPr>
                  <w:r>
                    <w:rPr>
                      <w:rFonts w:ascii="Times New Roman" w:hAnsi="Times New Roman" w:eastAsia="宋体"/>
                      <w:color w:val="000000" w:themeColor="text1"/>
                    </w:rPr>
                    <w:t>1次/年</w:t>
                  </w:r>
                </w:p>
              </w:tc>
            </w:tr>
          </w:tbl>
          <w:p>
            <w:pPr>
              <w:adjustRightInd w:val="0"/>
              <w:snapToGrid w:val="0"/>
              <w:spacing w:line="440" w:lineRule="exact"/>
              <w:ind w:firstLine="482" w:firstLineChars="200"/>
              <w:rPr>
                <w:rFonts w:ascii="Times New Roman" w:hAnsi="Times New Roman" w:eastAsia="宋体"/>
                <w:b/>
                <w:snapToGrid w:val="0"/>
                <w:color w:val="000000" w:themeColor="text1"/>
                <w:sz w:val="24"/>
              </w:rPr>
            </w:pPr>
            <w:r>
              <w:rPr>
                <w:rFonts w:hint="eastAsia" w:ascii="Times New Roman" w:hAnsi="Times New Roman" w:eastAsia="宋体"/>
                <w:b/>
                <w:snapToGrid w:val="0"/>
                <w:color w:val="000000" w:themeColor="text1"/>
                <w:sz w:val="24"/>
              </w:rPr>
              <w:t>十一</w:t>
            </w:r>
            <w:r>
              <w:rPr>
                <w:rFonts w:ascii="Times New Roman" w:hAnsi="Times New Roman" w:eastAsia="宋体"/>
                <w:b/>
                <w:snapToGrid w:val="0"/>
                <w:color w:val="000000" w:themeColor="text1"/>
                <w:sz w:val="24"/>
              </w:rPr>
              <w:t>、环保投资估算</w:t>
            </w:r>
          </w:p>
          <w:p>
            <w:pPr>
              <w:adjustRightInd w:val="0"/>
              <w:snapToGrid w:val="0"/>
              <w:spacing w:line="440" w:lineRule="exact"/>
              <w:ind w:firstLine="480"/>
              <w:rPr>
                <w:rFonts w:ascii="Times New Roman" w:hAnsi="Times New Roman" w:eastAsia="宋体"/>
                <w:snapToGrid w:val="0"/>
                <w:color w:val="000000" w:themeColor="text1"/>
                <w:kern w:val="0"/>
                <w:sz w:val="24"/>
              </w:rPr>
            </w:pPr>
            <w:r>
              <w:rPr>
                <w:rFonts w:ascii="Times New Roman" w:hAnsi="Times New Roman" w:eastAsia="宋体"/>
                <w:snapToGrid w:val="0"/>
                <w:color w:val="000000" w:themeColor="text1"/>
                <w:kern w:val="0"/>
                <w:sz w:val="24"/>
              </w:rPr>
              <w:t>本项目总投资为</w:t>
            </w:r>
            <w:r>
              <w:rPr>
                <w:rFonts w:hint="eastAsia" w:ascii="Times New Roman" w:hAnsi="Times New Roman" w:eastAsia="宋体"/>
                <w:snapToGrid w:val="0"/>
                <w:color w:val="000000" w:themeColor="text1"/>
                <w:kern w:val="0"/>
                <w:sz w:val="24"/>
              </w:rPr>
              <w:t>50</w:t>
            </w:r>
            <w:r>
              <w:rPr>
                <w:rFonts w:ascii="Times New Roman" w:hAnsi="Times New Roman" w:eastAsia="宋体"/>
                <w:snapToGrid w:val="0"/>
                <w:color w:val="000000" w:themeColor="text1"/>
                <w:kern w:val="0"/>
                <w:sz w:val="24"/>
              </w:rPr>
              <w:t>万元，其中环保投资为</w:t>
            </w:r>
            <w:r>
              <w:rPr>
                <w:rFonts w:hint="eastAsia" w:ascii="Times New Roman" w:hAnsi="Times New Roman" w:eastAsia="宋体"/>
                <w:snapToGrid w:val="0"/>
                <w:color w:val="000000" w:themeColor="text1"/>
                <w:kern w:val="0"/>
                <w:sz w:val="24"/>
              </w:rPr>
              <w:t>3</w:t>
            </w:r>
            <w:r>
              <w:rPr>
                <w:rFonts w:ascii="Times New Roman" w:hAnsi="Times New Roman" w:eastAsia="宋体"/>
                <w:snapToGrid w:val="0"/>
                <w:color w:val="000000" w:themeColor="text1"/>
                <w:kern w:val="0"/>
                <w:sz w:val="24"/>
              </w:rPr>
              <w:t>万元，占总投资的</w:t>
            </w:r>
            <w:r>
              <w:rPr>
                <w:rFonts w:hint="eastAsia" w:ascii="Times New Roman" w:hAnsi="Times New Roman" w:eastAsia="宋体"/>
                <w:snapToGrid w:val="0"/>
                <w:color w:val="000000" w:themeColor="text1"/>
                <w:kern w:val="0"/>
                <w:sz w:val="24"/>
              </w:rPr>
              <w:t>6</w:t>
            </w:r>
            <w:r>
              <w:rPr>
                <w:rFonts w:ascii="Times New Roman" w:hAnsi="Times New Roman" w:eastAsia="宋体"/>
                <w:snapToGrid w:val="0"/>
                <w:color w:val="000000" w:themeColor="text1"/>
                <w:kern w:val="0"/>
                <w:sz w:val="24"/>
              </w:rPr>
              <w:t>%。环保投资估算表见表5</w:t>
            </w:r>
            <w:r>
              <w:rPr>
                <w:rFonts w:hint="eastAsia" w:ascii="Times New Roman" w:hAnsi="Times New Roman" w:eastAsia="宋体"/>
                <w:snapToGrid w:val="0"/>
                <w:color w:val="000000" w:themeColor="text1"/>
                <w:kern w:val="0"/>
                <w:sz w:val="24"/>
              </w:rPr>
              <w:t>4</w:t>
            </w:r>
            <w:r>
              <w:rPr>
                <w:rFonts w:ascii="Times New Roman" w:hAnsi="Times New Roman" w:eastAsia="宋体"/>
                <w:snapToGrid w:val="0"/>
                <w:color w:val="000000" w:themeColor="text1"/>
                <w:kern w:val="0"/>
                <w:sz w:val="24"/>
              </w:rPr>
              <w:t>。</w:t>
            </w:r>
          </w:p>
          <w:p>
            <w:pPr>
              <w:spacing w:line="440" w:lineRule="exact"/>
              <w:jc w:val="center"/>
              <w:rPr>
                <w:rFonts w:ascii="Times New Roman" w:hAnsi="Times New Roman" w:eastAsia="宋体"/>
                <w:b/>
                <w:color w:val="000000" w:themeColor="text1"/>
                <w:spacing w:val="-6"/>
                <w:sz w:val="24"/>
              </w:rPr>
            </w:pPr>
            <w:r>
              <w:rPr>
                <w:rFonts w:ascii="Times New Roman" w:hAnsi="Times New Roman" w:eastAsia="宋体"/>
                <w:b/>
                <w:color w:val="000000" w:themeColor="text1"/>
                <w:spacing w:val="-6"/>
                <w:sz w:val="24"/>
              </w:rPr>
              <w:t>表5</w:t>
            </w:r>
            <w:r>
              <w:rPr>
                <w:rFonts w:hint="eastAsia" w:ascii="Times New Roman" w:hAnsi="Times New Roman" w:eastAsia="宋体"/>
                <w:b/>
                <w:color w:val="000000" w:themeColor="text1"/>
                <w:spacing w:val="-6"/>
                <w:sz w:val="24"/>
              </w:rPr>
              <w:t xml:space="preserve">4    </w:t>
            </w:r>
            <w:r>
              <w:rPr>
                <w:rFonts w:ascii="Times New Roman" w:hAnsi="Times New Roman" w:eastAsia="宋体"/>
                <w:b/>
                <w:color w:val="000000" w:themeColor="text1"/>
                <w:spacing w:val="-6"/>
                <w:sz w:val="24"/>
              </w:rPr>
              <w:t>本项目环保投资估算一览表</w:t>
            </w:r>
          </w:p>
          <w:tbl>
            <w:tblPr>
              <w:tblStyle w:val="24"/>
              <w:tblW w:w="9072"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1196"/>
              <w:gridCol w:w="1217"/>
              <w:gridCol w:w="4311"/>
              <w:gridCol w:w="155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tcBorders>
                    <w:top w:val="single" w:color="auto" w:sz="8" w:space="0"/>
                    <w:bottom w:val="single" w:color="auto" w:sz="8" w:space="0"/>
                  </w:tcBorders>
                  <w:vAlign w:val="center"/>
                </w:tcPr>
                <w:p>
                  <w:pPr>
                    <w:adjustRightInd w:val="0"/>
                    <w:snapToGrid w:val="0"/>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类别</w:t>
                  </w:r>
                </w:p>
              </w:tc>
              <w:tc>
                <w:tcPr>
                  <w:tcW w:w="1330" w:type="pct"/>
                  <w:gridSpan w:val="2"/>
                  <w:tcBorders>
                    <w:top w:val="single" w:color="auto" w:sz="8" w:space="0"/>
                    <w:bottom w:val="single" w:color="auto" w:sz="8" w:space="0"/>
                  </w:tcBorders>
                  <w:vAlign w:val="center"/>
                </w:tcPr>
                <w:p>
                  <w:pPr>
                    <w:adjustRightInd w:val="0"/>
                    <w:snapToGrid w:val="0"/>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污染源</w:t>
                  </w:r>
                </w:p>
              </w:tc>
              <w:tc>
                <w:tcPr>
                  <w:tcW w:w="2376" w:type="pct"/>
                  <w:tcBorders>
                    <w:top w:val="single" w:color="auto" w:sz="8" w:space="0"/>
                    <w:bottom w:val="single" w:color="auto" w:sz="8" w:space="0"/>
                  </w:tcBorders>
                  <w:vAlign w:val="center"/>
                </w:tcPr>
                <w:p>
                  <w:pPr>
                    <w:adjustRightInd w:val="0"/>
                    <w:snapToGrid w:val="0"/>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治理措施</w:t>
                  </w:r>
                </w:p>
              </w:tc>
              <w:tc>
                <w:tcPr>
                  <w:tcW w:w="857" w:type="pct"/>
                  <w:tcBorders>
                    <w:top w:val="single" w:color="auto" w:sz="8" w:space="0"/>
                    <w:bottom w:val="single" w:color="auto" w:sz="8" w:space="0"/>
                  </w:tcBorders>
                  <w:vAlign w:val="center"/>
                </w:tcPr>
                <w:p>
                  <w:pPr>
                    <w:adjustRightInd w:val="0"/>
                    <w:snapToGrid w:val="0"/>
                    <w:jc w:val="center"/>
                    <w:rPr>
                      <w:rFonts w:ascii="Times New Roman" w:hAnsi="Times New Roman" w:eastAsia="宋体"/>
                      <w:b/>
                      <w:bCs/>
                      <w:color w:val="000000" w:themeColor="text1"/>
                      <w:szCs w:val="21"/>
                    </w:rPr>
                  </w:pPr>
                  <w:r>
                    <w:rPr>
                      <w:rFonts w:ascii="Times New Roman" w:hAnsi="Times New Roman" w:eastAsia="宋体"/>
                      <w:b/>
                      <w:bCs/>
                      <w:color w:val="000000" w:themeColor="text1"/>
                      <w:szCs w:val="21"/>
                    </w:rPr>
                    <w:t>投资（万元）</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restart"/>
                  <w:vAlign w:val="center"/>
                </w:tcPr>
                <w:p>
                  <w:pPr>
                    <w:adjustRightInd w:val="0"/>
                    <w:snapToGrid w:val="0"/>
                    <w:jc w:val="center"/>
                    <w:rPr>
                      <w:rFonts w:ascii="Times New Roman" w:hAnsi="Times New Roman" w:eastAsia="宋体"/>
                      <w:color w:val="000000" w:themeColor="text1"/>
                      <w:kern w:val="0"/>
                      <w:szCs w:val="21"/>
                    </w:rPr>
                  </w:pPr>
                  <w:r>
                    <w:rPr>
                      <w:rFonts w:ascii="Times New Roman" w:hAnsi="Times New Roman" w:eastAsia="宋体"/>
                      <w:color w:val="000000" w:themeColor="text1"/>
                      <w:kern w:val="0"/>
                      <w:szCs w:val="21"/>
                    </w:rPr>
                    <w:t>废气</w:t>
                  </w:r>
                </w:p>
              </w:tc>
              <w:tc>
                <w:tcPr>
                  <w:tcW w:w="1330" w:type="pct"/>
                  <w:gridSpan w:val="2"/>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压合工序有组织非甲烷总烃</w:t>
                  </w:r>
                </w:p>
              </w:tc>
              <w:tc>
                <w:tcPr>
                  <w:tcW w:w="2376" w:type="pct"/>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经</w:t>
                  </w:r>
                  <w:r>
                    <w:rPr>
                      <w:rFonts w:hint="eastAsia" w:ascii="Times New Roman" w:hAnsi="Times New Roman" w:eastAsia="宋体"/>
                      <w:color w:val="000000" w:themeColor="text1"/>
                      <w:szCs w:val="21"/>
                    </w:rPr>
                    <w:t>封闭集气罩（6个，新建）+“</w:t>
                  </w:r>
                  <w:r>
                    <w:rPr>
                      <w:rFonts w:ascii="Times New Roman" w:hAnsi="Times New Roman" w:eastAsia="宋体"/>
                      <w:color w:val="000000" w:themeColor="text1"/>
                      <w:szCs w:val="21"/>
                    </w:rPr>
                    <w:t>UV光催化氧化</w:t>
                  </w:r>
                  <w:r>
                    <w:rPr>
                      <w:rFonts w:hint="eastAsia" w:ascii="Times New Roman" w:hAnsi="Times New Roman" w:eastAsia="宋体"/>
                      <w:color w:val="000000" w:themeColor="text1"/>
                      <w:szCs w:val="21"/>
                    </w:rPr>
                    <w:t>（原有）</w:t>
                  </w:r>
                  <w:r>
                    <w:rPr>
                      <w:rFonts w:ascii="Times New Roman" w:hAnsi="Times New Roman" w:eastAsia="宋体"/>
                      <w:color w:val="000000" w:themeColor="text1"/>
                      <w:szCs w:val="21"/>
                    </w:rPr>
                    <w:t>+活性炭吸附</w:t>
                  </w:r>
                  <w:r>
                    <w:rPr>
                      <w:rFonts w:hint="eastAsia" w:ascii="Times New Roman" w:hAnsi="Times New Roman" w:eastAsia="宋体"/>
                      <w:color w:val="000000" w:themeColor="text1"/>
                      <w:szCs w:val="21"/>
                    </w:rPr>
                    <w:t>（原有）+油烟净化器（原有）+水喷淋（整改新建）”装置（1套）</w:t>
                  </w:r>
                  <w:r>
                    <w:rPr>
                      <w:rFonts w:ascii="Times New Roman" w:hAnsi="Times New Roman" w:eastAsia="宋体"/>
                      <w:color w:val="000000" w:themeColor="text1"/>
                      <w:szCs w:val="21"/>
                    </w:rPr>
                    <w:t>+</w:t>
                  </w:r>
                  <w:r>
                    <w:rPr>
                      <w:rFonts w:hint="eastAsia" w:ascii="Times New Roman" w:hAnsi="Times New Roman" w:eastAsia="宋体"/>
                      <w:color w:val="000000" w:themeColor="text1"/>
                      <w:szCs w:val="21"/>
                    </w:rPr>
                    <w:t>15m高</w:t>
                  </w:r>
                  <w:r>
                    <w:rPr>
                      <w:rFonts w:ascii="Times New Roman" w:hAnsi="Times New Roman" w:eastAsia="宋体"/>
                      <w:color w:val="000000" w:themeColor="text1"/>
                      <w:szCs w:val="21"/>
                    </w:rPr>
                    <w:t>排气筒排放</w:t>
                  </w:r>
                </w:p>
              </w:tc>
              <w:tc>
                <w:tcPr>
                  <w:tcW w:w="857" w:type="pct"/>
                  <w:vMerge w:val="restart"/>
                  <w:vAlign w:val="center"/>
                </w:tcPr>
                <w:p>
                  <w:pPr>
                    <w:adjustRightInd w:val="0"/>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vAlign w:val="center"/>
                </w:tcPr>
                <w:p>
                  <w:pPr>
                    <w:adjustRightInd w:val="0"/>
                    <w:snapToGrid w:val="0"/>
                    <w:jc w:val="center"/>
                    <w:rPr>
                      <w:rFonts w:ascii="Times New Roman" w:hAnsi="Times New Roman" w:eastAsia="宋体"/>
                      <w:color w:val="000000" w:themeColor="text1"/>
                      <w:kern w:val="0"/>
                      <w:szCs w:val="21"/>
                    </w:rPr>
                  </w:pPr>
                </w:p>
              </w:tc>
              <w:tc>
                <w:tcPr>
                  <w:tcW w:w="1330" w:type="pct"/>
                  <w:gridSpan w:val="2"/>
                  <w:vAlign w:val="center"/>
                </w:tcPr>
                <w:p>
                  <w:pPr>
                    <w:adjustRightInd w:val="0"/>
                    <w:snapToGrid w:val="0"/>
                    <w:jc w:val="center"/>
                    <w:rPr>
                      <w:rFonts w:ascii="Times New Roman" w:hAnsi="Times New Roman" w:eastAsia="宋体"/>
                      <w:b/>
                      <w:color w:val="000000" w:themeColor="text1"/>
                      <w:szCs w:val="21"/>
                      <w:u w:val="single"/>
                    </w:rPr>
                  </w:pPr>
                  <w:r>
                    <w:rPr>
                      <w:rFonts w:ascii="Times New Roman" w:hAnsi="Times New Roman" w:eastAsia="宋体"/>
                      <w:b/>
                      <w:color w:val="000000" w:themeColor="text1"/>
                      <w:szCs w:val="21"/>
                      <w:u w:val="single"/>
                    </w:rPr>
                    <w:t>压合工序无组织非甲烷总烃</w:t>
                  </w:r>
                </w:p>
              </w:tc>
              <w:tc>
                <w:tcPr>
                  <w:tcW w:w="2376" w:type="pct"/>
                  <w:vAlign w:val="center"/>
                </w:tcPr>
                <w:p>
                  <w:pPr>
                    <w:adjustRightInd w:val="0"/>
                    <w:snapToGrid w:val="0"/>
                    <w:jc w:val="center"/>
                    <w:rPr>
                      <w:rFonts w:ascii="Times New Roman" w:hAnsi="Times New Roman" w:eastAsia="宋体"/>
                      <w:b/>
                      <w:color w:val="000000" w:themeColor="text1"/>
                      <w:szCs w:val="21"/>
                      <w:u w:val="single"/>
                    </w:rPr>
                  </w:pPr>
                  <w:r>
                    <w:rPr>
                      <w:rFonts w:hint="eastAsia" w:ascii="Times New Roman" w:hAnsi="Times New Roman" w:eastAsia="宋体"/>
                      <w:b/>
                      <w:color w:val="000000" w:themeColor="text1"/>
                      <w:szCs w:val="21"/>
                      <w:u w:val="single"/>
                    </w:rPr>
                    <w:t>设置封闭集气罩，提高收集效率；车间封闭</w:t>
                  </w:r>
                </w:p>
              </w:tc>
              <w:tc>
                <w:tcPr>
                  <w:tcW w:w="857" w:type="pct"/>
                  <w:vMerge w:val="continue"/>
                  <w:vAlign w:val="center"/>
                </w:tcPr>
                <w:p>
                  <w:pPr>
                    <w:adjustRightInd w:val="0"/>
                    <w:snapToGrid w:val="0"/>
                    <w:jc w:val="center"/>
                    <w:rPr>
                      <w:rFonts w:ascii="Times New Roman" w:hAnsi="Times New Roman" w:eastAsia="宋体"/>
                      <w:color w:val="000000" w:themeColor="text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Align w:val="center"/>
                </w:tcPr>
                <w:p>
                  <w:pPr>
                    <w:adjustRightInd w:val="0"/>
                    <w:snapToGrid w:val="0"/>
                    <w:jc w:val="center"/>
                    <w:rPr>
                      <w:rFonts w:ascii="Times New Roman" w:hAnsi="Times New Roman" w:eastAsia="宋体"/>
                      <w:color w:val="000000" w:themeColor="text1"/>
                      <w:kern w:val="0"/>
                      <w:szCs w:val="21"/>
                    </w:rPr>
                  </w:pPr>
                  <w:r>
                    <w:rPr>
                      <w:rFonts w:ascii="Times New Roman" w:hAnsi="Times New Roman" w:eastAsia="宋体"/>
                      <w:color w:val="000000" w:themeColor="text1"/>
                      <w:kern w:val="0"/>
                      <w:szCs w:val="21"/>
                    </w:rPr>
                    <w:t>废水</w:t>
                  </w:r>
                </w:p>
              </w:tc>
              <w:tc>
                <w:tcPr>
                  <w:tcW w:w="1330" w:type="pct"/>
                  <w:gridSpan w:val="2"/>
                  <w:vAlign w:val="center"/>
                </w:tcPr>
                <w:p>
                  <w:pPr>
                    <w:adjustRightInd w:val="0"/>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生活</w:t>
                  </w:r>
                  <w:r>
                    <w:rPr>
                      <w:rFonts w:ascii="Times New Roman" w:hAnsi="Times New Roman" w:eastAsia="宋体"/>
                      <w:color w:val="000000" w:themeColor="text1"/>
                      <w:szCs w:val="21"/>
                    </w:rPr>
                    <w:t>污水</w:t>
                  </w:r>
                </w:p>
              </w:tc>
              <w:tc>
                <w:tcPr>
                  <w:tcW w:w="2376" w:type="pct"/>
                  <w:vAlign w:val="center"/>
                </w:tcPr>
                <w:p>
                  <w:pPr>
                    <w:adjustRightInd w:val="0"/>
                    <w:snapToGrid w:val="0"/>
                    <w:jc w:val="center"/>
                    <w:rPr>
                      <w:rFonts w:ascii="Times New Roman" w:hAnsi="Times New Roman" w:eastAsia="宋体"/>
                      <w:color w:val="000000" w:themeColor="text1"/>
                      <w:szCs w:val="21"/>
                    </w:rPr>
                  </w:pPr>
                  <w:r>
                    <w:rPr>
                      <w:rFonts w:hint="eastAsia" w:ascii="Times New Roman" w:eastAsia="宋体"/>
                      <w:color w:val="000000" w:themeColor="text1"/>
                      <w:szCs w:val="21"/>
                    </w:rPr>
                    <w:t>本项目利用原有职工，不新增职工人数，不新增废水</w:t>
                  </w:r>
                </w:p>
              </w:tc>
              <w:tc>
                <w:tcPr>
                  <w:tcW w:w="857" w:type="pct"/>
                  <w:vAlign w:val="center"/>
                </w:tcPr>
                <w:p>
                  <w:pPr>
                    <w:adjustRightInd w:val="0"/>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Align w:val="center"/>
                </w:tcPr>
                <w:p>
                  <w:pPr>
                    <w:adjustRightInd w:val="0"/>
                    <w:snapToGrid w:val="0"/>
                    <w:jc w:val="center"/>
                    <w:rPr>
                      <w:rFonts w:ascii="Times New Roman" w:hAnsi="Times New Roman" w:eastAsia="宋体"/>
                      <w:color w:val="000000" w:themeColor="text1"/>
                      <w:kern w:val="0"/>
                      <w:szCs w:val="21"/>
                    </w:rPr>
                  </w:pPr>
                  <w:r>
                    <w:rPr>
                      <w:rFonts w:ascii="Times New Roman" w:hAnsi="Times New Roman" w:eastAsia="宋体"/>
                      <w:color w:val="000000" w:themeColor="text1"/>
                      <w:kern w:val="0"/>
                      <w:szCs w:val="21"/>
                    </w:rPr>
                    <w:t>噪声</w:t>
                  </w:r>
                </w:p>
              </w:tc>
              <w:tc>
                <w:tcPr>
                  <w:tcW w:w="1330" w:type="pct"/>
                  <w:gridSpan w:val="2"/>
                  <w:vAlign w:val="center"/>
                </w:tcPr>
                <w:p>
                  <w:pPr>
                    <w:adjustRightInd w:val="0"/>
                    <w:snapToGrid w:val="0"/>
                    <w:jc w:val="center"/>
                    <w:rPr>
                      <w:rFonts w:ascii="Times New Roman" w:hAnsi="Times New Roman" w:eastAsia="宋体"/>
                      <w:color w:val="000000" w:themeColor="text1"/>
                      <w:kern w:val="0"/>
                      <w:szCs w:val="21"/>
                    </w:rPr>
                  </w:pPr>
                  <w:r>
                    <w:rPr>
                      <w:rFonts w:hint="eastAsia" w:ascii="Times New Roman" w:hAnsi="宋体" w:eastAsia="宋体"/>
                      <w:bCs/>
                      <w:color w:val="000000" w:themeColor="text1"/>
                      <w:szCs w:val="21"/>
                    </w:rPr>
                    <w:t>高周波塑熔机和</w:t>
                  </w:r>
                  <w:r>
                    <w:rPr>
                      <w:rFonts w:hint="eastAsia" w:ascii="Times New Roman" w:hAnsi="Times New Roman" w:eastAsia="宋体"/>
                      <w:color w:val="000000" w:themeColor="text1"/>
                      <w:szCs w:val="21"/>
                    </w:rPr>
                    <w:t>空压机</w:t>
                  </w:r>
                  <w:r>
                    <w:rPr>
                      <w:rFonts w:ascii="Times New Roman" w:hAnsi="Times New Roman" w:eastAsia="宋体"/>
                      <w:color w:val="000000" w:themeColor="text1"/>
                      <w:szCs w:val="21"/>
                    </w:rPr>
                    <w:t>生产时</w:t>
                  </w:r>
                </w:p>
              </w:tc>
              <w:tc>
                <w:tcPr>
                  <w:tcW w:w="2376" w:type="pct"/>
                  <w:vAlign w:val="center"/>
                </w:tcPr>
                <w:p>
                  <w:pPr>
                    <w:adjustRightInd w:val="0"/>
                    <w:snapToGrid w:val="0"/>
                    <w:jc w:val="cente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基础减振、距离衰减、厂房隔声等</w:t>
                  </w:r>
                </w:p>
              </w:tc>
              <w:tc>
                <w:tcPr>
                  <w:tcW w:w="857" w:type="pct"/>
                  <w:vAlign w:val="center"/>
                </w:tcPr>
                <w:p>
                  <w:pPr>
                    <w:adjustRightInd w:val="0"/>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restart"/>
                  <w:vAlign w:val="center"/>
                </w:tcPr>
                <w:p>
                  <w:pPr>
                    <w:adjustRightInd w:val="0"/>
                    <w:snapToGrid w:val="0"/>
                    <w:jc w:val="center"/>
                    <w:rPr>
                      <w:rFonts w:ascii="Times New Roman" w:hAnsi="Times New Roman" w:eastAsia="宋体"/>
                      <w:color w:val="000000" w:themeColor="text1"/>
                      <w:kern w:val="0"/>
                      <w:szCs w:val="21"/>
                    </w:rPr>
                  </w:pPr>
                  <w:r>
                    <w:rPr>
                      <w:rFonts w:ascii="Times New Roman" w:hAnsi="Times New Roman" w:eastAsia="宋体"/>
                      <w:color w:val="000000" w:themeColor="text1"/>
                      <w:kern w:val="0"/>
                      <w:szCs w:val="21"/>
                    </w:rPr>
                    <w:t>固体废物</w:t>
                  </w:r>
                </w:p>
              </w:tc>
              <w:tc>
                <w:tcPr>
                  <w:tcW w:w="659" w:type="pct"/>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质检工序</w:t>
                  </w:r>
                </w:p>
              </w:tc>
              <w:tc>
                <w:tcPr>
                  <w:tcW w:w="671" w:type="pct"/>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不合格产品</w:t>
                  </w:r>
                </w:p>
              </w:tc>
              <w:tc>
                <w:tcPr>
                  <w:tcW w:w="2376" w:type="pct"/>
                  <w:vMerge w:val="restart"/>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依托原有工程的一般固废暂存间（面积</w:t>
                  </w:r>
                  <w:r>
                    <w:rPr>
                      <w:rFonts w:hint="eastAsia" w:ascii="Times New Roman" w:hAnsi="Times New Roman" w:eastAsia="宋体"/>
                      <w:color w:val="000000" w:themeColor="text1"/>
                      <w:szCs w:val="21"/>
                    </w:rPr>
                    <w:t>25</w:t>
                  </w:r>
                  <w:r>
                    <w:rPr>
                      <w:rFonts w:ascii="Times New Roman" w:hAnsi="Times New Roman" w:eastAsia="宋体"/>
                      <w:color w:val="000000" w:themeColor="text1"/>
                      <w:szCs w:val="21"/>
                    </w:rPr>
                    <w:t>m</w:t>
                  </w:r>
                  <w:r>
                    <w:rPr>
                      <w:rFonts w:ascii="Times New Roman" w:hAnsi="Times New Roman" w:eastAsia="宋体"/>
                      <w:color w:val="000000" w:themeColor="text1"/>
                      <w:szCs w:val="21"/>
                      <w:vertAlign w:val="superscript"/>
                    </w:rPr>
                    <w:t>2</w:t>
                  </w:r>
                  <w:r>
                    <w:rPr>
                      <w:rFonts w:ascii="Times New Roman" w:hAnsi="Times New Roman" w:eastAsia="宋体"/>
                      <w:color w:val="000000" w:themeColor="text1"/>
                      <w:szCs w:val="21"/>
                    </w:rPr>
                    <w:t>）</w:t>
                  </w:r>
                </w:p>
              </w:tc>
              <w:tc>
                <w:tcPr>
                  <w:tcW w:w="857" w:type="pct"/>
                  <w:vMerge w:val="restart"/>
                  <w:vAlign w:val="center"/>
                </w:tcPr>
                <w:p>
                  <w:pPr>
                    <w:adjustRightInd w:val="0"/>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vAlign w:val="center"/>
                </w:tcPr>
                <w:p>
                  <w:pPr>
                    <w:adjustRightInd w:val="0"/>
                    <w:snapToGrid w:val="0"/>
                    <w:jc w:val="center"/>
                    <w:rPr>
                      <w:rFonts w:ascii="Times New Roman" w:hAnsi="Times New Roman" w:eastAsia="宋体"/>
                      <w:color w:val="000000" w:themeColor="text1"/>
                      <w:szCs w:val="21"/>
                    </w:rPr>
                  </w:pPr>
                </w:p>
              </w:tc>
              <w:tc>
                <w:tcPr>
                  <w:tcW w:w="659" w:type="pct"/>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包装工序</w:t>
                  </w:r>
                </w:p>
              </w:tc>
              <w:tc>
                <w:tcPr>
                  <w:tcW w:w="671" w:type="pct"/>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废包装物</w:t>
                  </w:r>
                </w:p>
              </w:tc>
              <w:tc>
                <w:tcPr>
                  <w:tcW w:w="2376" w:type="pct"/>
                  <w:vMerge w:val="continue"/>
                  <w:vAlign w:val="center"/>
                </w:tcPr>
                <w:p>
                  <w:pPr>
                    <w:adjustRightInd w:val="0"/>
                    <w:snapToGrid w:val="0"/>
                    <w:jc w:val="center"/>
                    <w:rPr>
                      <w:rFonts w:ascii="Times New Roman" w:hAnsi="Times New Roman" w:eastAsia="宋体"/>
                      <w:color w:val="000000" w:themeColor="text1"/>
                      <w:szCs w:val="21"/>
                    </w:rPr>
                  </w:pPr>
                </w:p>
              </w:tc>
              <w:tc>
                <w:tcPr>
                  <w:tcW w:w="857" w:type="pct"/>
                  <w:vMerge w:val="continue"/>
                  <w:vAlign w:val="center"/>
                </w:tcPr>
                <w:p>
                  <w:pPr>
                    <w:adjustRightInd w:val="0"/>
                    <w:snapToGrid w:val="0"/>
                    <w:jc w:val="center"/>
                    <w:rPr>
                      <w:rFonts w:ascii="Times New Roman" w:hAnsi="Times New Roman" w:eastAsia="宋体"/>
                      <w:color w:val="000000" w:themeColor="text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vAlign w:val="center"/>
                </w:tcPr>
                <w:p>
                  <w:pPr>
                    <w:adjustRightInd w:val="0"/>
                    <w:snapToGrid w:val="0"/>
                    <w:jc w:val="center"/>
                    <w:rPr>
                      <w:rFonts w:ascii="Times New Roman" w:hAnsi="Times New Roman" w:eastAsia="宋体"/>
                      <w:color w:val="000000" w:themeColor="text1"/>
                      <w:szCs w:val="21"/>
                    </w:rPr>
                  </w:pPr>
                </w:p>
              </w:tc>
              <w:tc>
                <w:tcPr>
                  <w:tcW w:w="659" w:type="pct"/>
                  <w:vMerge w:val="restart"/>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废气处理过程</w:t>
                  </w:r>
                </w:p>
              </w:tc>
              <w:tc>
                <w:tcPr>
                  <w:tcW w:w="671" w:type="pct"/>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废催化剂</w:t>
                  </w:r>
                </w:p>
              </w:tc>
              <w:tc>
                <w:tcPr>
                  <w:tcW w:w="2376" w:type="pct"/>
                  <w:vMerge w:val="continue"/>
                  <w:vAlign w:val="center"/>
                </w:tcPr>
                <w:p>
                  <w:pPr>
                    <w:adjustRightInd w:val="0"/>
                    <w:snapToGrid w:val="0"/>
                    <w:jc w:val="center"/>
                    <w:rPr>
                      <w:rFonts w:ascii="Times New Roman" w:hAnsi="Times New Roman" w:eastAsia="宋体"/>
                      <w:color w:val="000000" w:themeColor="text1"/>
                      <w:szCs w:val="21"/>
                    </w:rPr>
                  </w:pPr>
                </w:p>
              </w:tc>
              <w:tc>
                <w:tcPr>
                  <w:tcW w:w="857" w:type="pct"/>
                  <w:vMerge w:val="continue"/>
                  <w:vAlign w:val="center"/>
                </w:tcPr>
                <w:p>
                  <w:pPr>
                    <w:adjustRightInd w:val="0"/>
                    <w:snapToGrid w:val="0"/>
                    <w:jc w:val="center"/>
                    <w:rPr>
                      <w:rFonts w:ascii="Times New Roman" w:hAnsi="Times New Roman" w:eastAsia="宋体"/>
                      <w:color w:val="000000" w:themeColor="text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vAlign w:val="center"/>
                </w:tcPr>
                <w:p>
                  <w:pPr>
                    <w:adjustRightInd w:val="0"/>
                    <w:snapToGrid w:val="0"/>
                    <w:jc w:val="center"/>
                    <w:rPr>
                      <w:rFonts w:ascii="Times New Roman" w:hAnsi="Times New Roman" w:eastAsia="宋体"/>
                      <w:color w:val="000000" w:themeColor="text1"/>
                      <w:szCs w:val="21"/>
                    </w:rPr>
                  </w:pPr>
                </w:p>
              </w:tc>
              <w:tc>
                <w:tcPr>
                  <w:tcW w:w="659" w:type="pct"/>
                  <w:vMerge w:val="continue"/>
                  <w:vAlign w:val="center"/>
                </w:tcPr>
                <w:p>
                  <w:pPr>
                    <w:adjustRightInd w:val="0"/>
                    <w:snapToGrid w:val="0"/>
                    <w:jc w:val="center"/>
                    <w:rPr>
                      <w:rFonts w:ascii="Times New Roman" w:hAnsi="Times New Roman" w:eastAsia="宋体"/>
                      <w:color w:val="000000" w:themeColor="text1"/>
                      <w:szCs w:val="21"/>
                    </w:rPr>
                  </w:pPr>
                </w:p>
              </w:tc>
              <w:tc>
                <w:tcPr>
                  <w:tcW w:w="671" w:type="pct"/>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废紫外灯管</w:t>
                  </w:r>
                </w:p>
              </w:tc>
              <w:tc>
                <w:tcPr>
                  <w:tcW w:w="2376" w:type="pct"/>
                  <w:vMerge w:val="restart"/>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依托原有工程的危废暂存间（面积</w:t>
                  </w:r>
                  <w:r>
                    <w:rPr>
                      <w:rFonts w:hint="eastAsia" w:ascii="Times New Roman" w:hAnsi="Times New Roman" w:eastAsia="宋体"/>
                      <w:color w:val="000000" w:themeColor="text1"/>
                      <w:szCs w:val="21"/>
                    </w:rPr>
                    <w:t>10</w:t>
                  </w:r>
                  <w:r>
                    <w:rPr>
                      <w:rFonts w:ascii="Times New Roman" w:hAnsi="Times New Roman" w:eastAsia="宋体"/>
                      <w:color w:val="000000" w:themeColor="text1"/>
                      <w:szCs w:val="21"/>
                    </w:rPr>
                    <w:t>m</w:t>
                  </w:r>
                  <w:r>
                    <w:rPr>
                      <w:rFonts w:ascii="Times New Roman" w:hAnsi="Times New Roman" w:eastAsia="宋体"/>
                      <w:color w:val="000000" w:themeColor="text1"/>
                      <w:szCs w:val="21"/>
                      <w:vertAlign w:val="superscript"/>
                    </w:rPr>
                    <w:t>2</w:t>
                  </w:r>
                  <w:r>
                    <w:rPr>
                      <w:rFonts w:ascii="Times New Roman" w:hAnsi="Times New Roman" w:eastAsia="宋体"/>
                      <w:color w:val="000000" w:themeColor="text1"/>
                      <w:szCs w:val="21"/>
                    </w:rPr>
                    <w:t>）</w:t>
                  </w:r>
                </w:p>
              </w:tc>
              <w:tc>
                <w:tcPr>
                  <w:tcW w:w="857" w:type="pct"/>
                  <w:vMerge w:val="restart"/>
                  <w:vAlign w:val="center"/>
                </w:tcPr>
                <w:p>
                  <w:pPr>
                    <w:adjustRightInd w:val="0"/>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vAlign w:val="center"/>
                </w:tcPr>
                <w:p>
                  <w:pPr>
                    <w:adjustRightInd w:val="0"/>
                    <w:snapToGrid w:val="0"/>
                    <w:jc w:val="center"/>
                    <w:rPr>
                      <w:rFonts w:ascii="Times New Roman" w:hAnsi="Times New Roman" w:eastAsia="宋体"/>
                      <w:color w:val="000000" w:themeColor="text1"/>
                      <w:szCs w:val="21"/>
                    </w:rPr>
                  </w:pPr>
                </w:p>
              </w:tc>
              <w:tc>
                <w:tcPr>
                  <w:tcW w:w="659" w:type="pct"/>
                  <w:vMerge w:val="continue"/>
                  <w:vAlign w:val="center"/>
                </w:tcPr>
                <w:p>
                  <w:pPr>
                    <w:adjustRightInd w:val="0"/>
                    <w:snapToGrid w:val="0"/>
                    <w:jc w:val="center"/>
                    <w:rPr>
                      <w:rFonts w:ascii="Times New Roman" w:hAnsi="Times New Roman" w:eastAsia="宋体"/>
                      <w:color w:val="000000" w:themeColor="text1"/>
                      <w:szCs w:val="21"/>
                    </w:rPr>
                  </w:pPr>
                </w:p>
              </w:tc>
              <w:tc>
                <w:tcPr>
                  <w:tcW w:w="671" w:type="pct"/>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废活性炭</w:t>
                  </w:r>
                </w:p>
              </w:tc>
              <w:tc>
                <w:tcPr>
                  <w:tcW w:w="2376" w:type="pct"/>
                  <w:vMerge w:val="continue"/>
                  <w:vAlign w:val="center"/>
                </w:tcPr>
                <w:p>
                  <w:pPr>
                    <w:adjustRightInd w:val="0"/>
                    <w:snapToGrid w:val="0"/>
                    <w:jc w:val="center"/>
                    <w:rPr>
                      <w:rFonts w:ascii="Times New Roman" w:hAnsi="Times New Roman" w:eastAsia="宋体"/>
                      <w:color w:val="000000" w:themeColor="text1"/>
                      <w:szCs w:val="21"/>
                    </w:rPr>
                  </w:pPr>
                </w:p>
              </w:tc>
              <w:tc>
                <w:tcPr>
                  <w:tcW w:w="857" w:type="pct"/>
                  <w:vMerge w:val="continue"/>
                  <w:vAlign w:val="center"/>
                </w:tcPr>
                <w:p>
                  <w:pPr>
                    <w:adjustRightInd w:val="0"/>
                    <w:snapToGrid w:val="0"/>
                    <w:jc w:val="center"/>
                    <w:rPr>
                      <w:rFonts w:ascii="Times New Roman" w:hAnsi="Times New Roman" w:eastAsia="宋体"/>
                      <w:color w:val="000000" w:themeColor="text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restart"/>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其他</w:t>
                  </w:r>
                </w:p>
              </w:tc>
              <w:tc>
                <w:tcPr>
                  <w:tcW w:w="659" w:type="pct"/>
                  <w:vAlign w:val="center"/>
                </w:tcPr>
                <w:p>
                  <w:pPr>
                    <w:jc w:val="center"/>
                    <w:rPr>
                      <w:rFonts w:ascii="Times New Roman" w:hAnsi="Times New Roman" w:eastAsia="宋体"/>
                      <w:bCs/>
                      <w:color w:val="000000" w:themeColor="text1"/>
                      <w:szCs w:val="21"/>
                    </w:rPr>
                  </w:pPr>
                  <w:r>
                    <w:rPr>
                      <w:rFonts w:ascii="Times New Roman" w:hAnsi="Times New Roman" w:eastAsia="宋体"/>
                      <w:bCs/>
                      <w:color w:val="000000" w:themeColor="text1"/>
                      <w:szCs w:val="21"/>
                    </w:rPr>
                    <w:t>用电</w:t>
                  </w:r>
                </w:p>
              </w:tc>
              <w:tc>
                <w:tcPr>
                  <w:tcW w:w="3047" w:type="pct"/>
                  <w:gridSpan w:val="2"/>
                  <w:vAlign w:val="center"/>
                </w:tcPr>
                <w:p>
                  <w:pPr>
                    <w:adjustRightInd w:val="0"/>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本项目按照《新乡市生态环境局关于部署安装工业企业用电量监控系统的通知》（新环</w:t>
                  </w:r>
                  <w:r>
                    <w:rPr>
                      <w:rFonts w:ascii="Times New Roman" w:hAnsi="Times New Roman" w:eastAsia="宋体"/>
                      <w:color w:val="000000" w:themeColor="text1"/>
                      <w:szCs w:val="21"/>
                    </w:rPr>
                    <w:t>[2019]154</w:t>
                  </w:r>
                  <w:r>
                    <w:rPr>
                      <w:rFonts w:hint="eastAsia" w:ascii="Times New Roman" w:hAnsi="Times New Roman" w:eastAsia="宋体"/>
                      <w:color w:val="000000" w:themeColor="text1"/>
                      <w:szCs w:val="21"/>
                    </w:rPr>
                    <w:t>号）文件及环保部门要求在总用电量控制位置、主要生产设施和污染治理设施位置处安装用电量监控系统。</w:t>
                  </w:r>
                </w:p>
              </w:tc>
              <w:tc>
                <w:tcPr>
                  <w:tcW w:w="857" w:type="pct"/>
                  <w:vAlign w:val="center"/>
                </w:tcPr>
                <w:p>
                  <w:pPr>
                    <w:adjustRightInd w:val="0"/>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7" w:type="pct"/>
                  <w:vMerge w:val="continue"/>
                  <w:vAlign w:val="center"/>
                </w:tcPr>
                <w:p>
                  <w:pPr>
                    <w:adjustRightInd w:val="0"/>
                    <w:snapToGrid w:val="0"/>
                    <w:jc w:val="center"/>
                    <w:rPr>
                      <w:rFonts w:ascii="Times New Roman" w:hAnsi="Times New Roman" w:eastAsia="宋体"/>
                      <w:color w:val="000000" w:themeColor="text1"/>
                      <w:szCs w:val="21"/>
                    </w:rPr>
                  </w:pPr>
                </w:p>
              </w:tc>
              <w:tc>
                <w:tcPr>
                  <w:tcW w:w="659" w:type="pct"/>
                  <w:vAlign w:val="center"/>
                </w:tcPr>
                <w:p>
                  <w:pPr>
                    <w:jc w:val="center"/>
                    <w:rPr>
                      <w:rFonts w:ascii="Times New Roman" w:hAnsi="Times New Roman" w:eastAsia="宋体"/>
                      <w:bCs/>
                      <w:color w:val="000000" w:themeColor="text1"/>
                      <w:szCs w:val="21"/>
                    </w:rPr>
                  </w:pPr>
                  <w:r>
                    <w:rPr>
                      <w:rFonts w:ascii="Times New Roman" w:hAnsi="Times New Roman" w:eastAsia="宋体"/>
                      <w:bCs/>
                      <w:color w:val="000000" w:themeColor="text1"/>
                      <w:szCs w:val="21"/>
                    </w:rPr>
                    <w:t>在线监测</w:t>
                  </w:r>
                </w:p>
              </w:tc>
              <w:tc>
                <w:tcPr>
                  <w:tcW w:w="3047" w:type="pct"/>
                  <w:gridSpan w:val="2"/>
                  <w:vAlign w:val="center"/>
                </w:tcPr>
                <w:p>
                  <w:pPr>
                    <w:adjustRightInd w:val="0"/>
                    <w:snapToGrid w:val="0"/>
                    <w:jc w:val="center"/>
                    <w:rPr>
                      <w:rFonts w:ascii="Times New Roman" w:hAnsi="Times New Roman" w:eastAsia="宋体"/>
                      <w:color w:val="000000" w:themeColor="text1"/>
                      <w:szCs w:val="21"/>
                    </w:rPr>
                  </w:pPr>
                  <w:r>
                    <w:rPr>
                      <w:rFonts w:hint="eastAsia" w:ascii="Times New Roman" w:eastAsia="宋体"/>
                      <w:color w:val="000000" w:themeColor="text1"/>
                      <w:szCs w:val="21"/>
                    </w:rPr>
                    <w:t>企业原有工程有机废气排放口已按照环保部门的相关要求，安装</w:t>
                  </w:r>
                  <w:r>
                    <w:rPr>
                      <w:rFonts w:ascii="Times New Roman" w:hAnsi="Times New Roman" w:eastAsia="宋体"/>
                      <w:color w:val="000000" w:themeColor="text1"/>
                      <w:szCs w:val="21"/>
                    </w:rPr>
                    <w:t>VOCs</w:t>
                  </w:r>
                  <w:r>
                    <w:rPr>
                      <w:rFonts w:hint="eastAsia" w:ascii="Times New Roman" w:eastAsia="宋体"/>
                      <w:color w:val="000000" w:themeColor="text1"/>
                      <w:szCs w:val="21"/>
                    </w:rPr>
                    <w:t>在线监测设备并与环境监控中心监控平台联网。</w:t>
                  </w:r>
                </w:p>
              </w:tc>
              <w:tc>
                <w:tcPr>
                  <w:tcW w:w="857" w:type="pct"/>
                  <w:vAlign w:val="center"/>
                </w:tcPr>
                <w:p>
                  <w:pPr>
                    <w:adjustRightInd w:val="0"/>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43" w:type="pct"/>
                  <w:gridSpan w:val="4"/>
                  <w:tcBorders>
                    <w:bottom w:val="single" w:color="auto" w:sz="8"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合      计</w:t>
                  </w:r>
                </w:p>
              </w:tc>
              <w:tc>
                <w:tcPr>
                  <w:tcW w:w="857" w:type="pct"/>
                  <w:tcBorders>
                    <w:bottom w:val="single" w:color="auto" w:sz="8" w:space="0"/>
                  </w:tcBorders>
                  <w:vAlign w:val="center"/>
                </w:tcPr>
                <w:p>
                  <w:pPr>
                    <w:adjustRightInd w:val="0"/>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3</w:t>
                  </w:r>
                </w:p>
              </w:tc>
            </w:tr>
          </w:tbl>
          <w:p>
            <w:pPr>
              <w:spacing w:line="440" w:lineRule="exact"/>
              <w:ind w:firstLine="482" w:firstLineChars="200"/>
              <w:rPr>
                <w:rFonts w:ascii="Times New Roman" w:hAnsi="Times New Roman" w:eastAsia="宋体"/>
                <w:b/>
                <w:snapToGrid w:val="0"/>
                <w:color w:val="000000" w:themeColor="text1"/>
                <w:sz w:val="24"/>
              </w:rPr>
            </w:pPr>
            <w:r>
              <w:rPr>
                <w:rFonts w:ascii="Times New Roman" w:hAnsi="Times New Roman" w:eastAsia="宋体"/>
                <w:b/>
                <w:snapToGrid w:val="0"/>
                <w:color w:val="000000" w:themeColor="text1"/>
                <w:sz w:val="24"/>
              </w:rPr>
              <w:t>十二、环保验收</w:t>
            </w:r>
          </w:p>
          <w:p>
            <w:pPr>
              <w:adjustRightInd w:val="0"/>
              <w:snapToGrid w:val="0"/>
              <w:spacing w:line="440" w:lineRule="exact"/>
              <w:ind w:firstLine="480" w:firstLineChars="200"/>
              <w:rPr>
                <w:rFonts w:ascii="Times New Roman" w:hAnsi="Times New Roman" w:eastAsia="宋体"/>
                <w:color w:val="000000" w:themeColor="text1"/>
                <w:sz w:val="24"/>
              </w:rPr>
            </w:pPr>
            <w:r>
              <w:rPr>
                <w:rFonts w:ascii="Times New Roman" w:hAnsi="Times New Roman" w:eastAsia="宋体"/>
                <w:color w:val="000000" w:themeColor="text1"/>
                <w:sz w:val="24"/>
              </w:rPr>
              <w:t>本项目环保验收内容见表5</w:t>
            </w:r>
            <w:r>
              <w:rPr>
                <w:rFonts w:hint="eastAsia" w:ascii="Times New Roman" w:hAnsi="Times New Roman" w:eastAsia="宋体"/>
                <w:color w:val="000000" w:themeColor="text1"/>
                <w:sz w:val="24"/>
              </w:rPr>
              <w:t>5</w:t>
            </w:r>
            <w:r>
              <w:rPr>
                <w:rFonts w:ascii="Times New Roman" w:hAnsi="Times New Roman" w:eastAsia="宋体"/>
                <w:color w:val="000000" w:themeColor="text1"/>
                <w:sz w:val="24"/>
              </w:rPr>
              <w:t>。</w:t>
            </w:r>
          </w:p>
          <w:p>
            <w:pPr>
              <w:spacing w:line="440" w:lineRule="exact"/>
              <w:jc w:val="center"/>
              <w:rPr>
                <w:rFonts w:ascii="Times New Roman" w:hAnsi="Times New Roman" w:eastAsia="宋体"/>
                <w:b/>
                <w:color w:val="000000" w:themeColor="text1"/>
                <w:spacing w:val="-6"/>
                <w:sz w:val="24"/>
              </w:rPr>
            </w:pPr>
            <w:r>
              <w:rPr>
                <w:rFonts w:ascii="Times New Roman" w:hAnsi="Times New Roman" w:eastAsia="宋体"/>
                <w:b/>
                <w:color w:val="000000" w:themeColor="text1"/>
                <w:spacing w:val="-6"/>
                <w:sz w:val="24"/>
              </w:rPr>
              <w:t>表5</w:t>
            </w:r>
            <w:r>
              <w:rPr>
                <w:rFonts w:hint="eastAsia" w:ascii="Times New Roman" w:hAnsi="Times New Roman" w:eastAsia="宋体"/>
                <w:b/>
                <w:color w:val="000000" w:themeColor="text1"/>
                <w:spacing w:val="-6"/>
                <w:sz w:val="24"/>
              </w:rPr>
              <w:t xml:space="preserve">5    </w:t>
            </w:r>
            <w:r>
              <w:rPr>
                <w:rFonts w:ascii="Times New Roman" w:hAnsi="Times New Roman" w:eastAsia="宋体"/>
                <w:b/>
                <w:color w:val="000000" w:themeColor="text1"/>
                <w:spacing w:val="-6"/>
                <w:sz w:val="24"/>
              </w:rPr>
              <w:t>环保验收“三同时”一览表</w:t>
            </w:r>
          </w:p>
          <w:tbl>
            <w:tblPr>
              <w:tblStyle w:val="24"/>
              <w:tblpPr w:leftFromText="180" w:rightFromText="180" w:vertAnchor="text" w:horzAnchor="margin" w:tblpY="31"/>
              <w:tblOverlap w:val="never"/>
              <w:tblW w:w="9071" w:type="dxa"/>
              <w:tblInd w:w="0" w:type="dxa"/>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1134"/>
              <w:gridCol w:w="1843"/>
              <w:gridCol w:w="1275"/>
              <w:gridCol w:w="3968"/>
            </w:tblGrid>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tcBorders>
                    <w:top w:val="single" w:color="auto" w:sz="8" w:space="0"/>
                    <w:bottom w:val="single" w:color="auto" w:sz="8" w:space="0"/>
                  </w:tcBorders>
                  <w:vAlign w:val="center"/>
                </w:tcPr>
                <w:p>
                  <w:pPr>
                    <w:pStyle w:val="10"/>
                    <w:tabs>
                      <w:tab w:val="left" w:pos="210"/>
                    </w:tabs>
                    <w:snapToGrid w:val="0"/>
                    <w:spacing w:line="240" w:lineRule="auto"/>
                    <w:ind w:firstLine="0" w:firstLineChars="0"/>
                    <w:jc w:val="center"/>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污染类别</w:t>
                  </w:r>
                </w:p>
              </w:tc>
              <w:tc>
                <w:tcPr>
                  <w:tcW w:w="1134" w:type="dxa"/>
                  <w:tcBorders>
                    <w:top w:val="single" w:color="auto" w:sz="8" w:space="0"/>
                    <w:bottom w:val="single" w:color="auto" w:sz="8" w:space="0"/>
                  </w:tcBorders>
                  <w:vAlign w:val="center"/>
                </w:tcPr>
                <w:p>
                  <w:pPr>
                    <w:pStyle w:val="10"/>
                    <w:tabs>
                      <w:tab w:val="left" w:pos="210"/>
                    </w:tabs>
                    <w:snapToGrid w:val="0"/>
                    <w:spacing w:line="240" w:lineRule="auto"/>
                    <w:ind w:firstLine="0" w:firstLineChars="0"/>
                    <w:jc w:val="center"/>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治理内容</w:t>
                  </w:r>
                </w:p>
              </w:tc>
              <w:tc>
                <w:tcPr>
                  <w:tcW w:w="1843" w:type="dxa"/>
                  <w:tcBorders>
                    <w:top w:val="single" w:color="auto" w:sz="8" w:space="0"/>
                    <w:bottom w:val="single" w:color="auto" w:sz="8" w:space="0"/>
                  </w:tcBorders>
                  <w:vAlign w:val="center"/>
                </w:tcPr>
                <w:p>
                  <w:pPr>
                    <w:pStyle w:val="10"/>
                    <w:tabs>
                      <w:tab w:val="left" w:pos="210"/>
                    </w:tabs>
                    <w:snapToGrid w:val="0"/>
                    <w:spacing w:line="240" w:lineRule="auto"/>
                    <w:ind w:firstLine="0" w:firstLineChars="0"/>
                    <w:jc w:val="center"/>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环保设施</w:t>
                  </w:r>
                </w:p>
              </w:tc>
              <w:tc>
                <w:tcPr>
                  <w:tcW w:w="1275" w:type="dxa"/>
                  <w:tcBorders>
                    <w:top w:val="single" w:color="auto" w:sz="8" w:space="0"/>
                    <w:bottom w:val="single" w:color="auto" w:sz="8" w:space="0"/>
                  </w:tcBorders>
                  <w:vAlign w:val="center"/>
                </w:tcPr>
                <w:p>
                  <w:pPr>
                    <w:pStyle w:val="10"/>
                    <w:tabs>
                      <w:tab w:val="left" w:pos="210"/>
                    </w:tabs>
                    <w:snapToGrid w:val="0"/>
                    <w:spacing w:line="240" w:lineRule="auto"/>
                    <w:ind w:firstLine="0" w:firstLineChars="0"/>
                    <w:jc w:val="center"/>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验收内容</w:t>
                  </w:r>
                </w:p>
              </w:tc>
              <w:tc>
                <w:tcPr>
                  <w:tcW w:w="3968" w:type="dxa"/>
                  <w:tcBorders>
                    <w:top w:val="single" w:color="auto" w:sz="8" w:space="0"/>
                    <w:bottom w:val="single" w:color="auto" w:sz="8" w:space="0"/>
                  </w:tcBorders>
                  <w:vAlign w:val="center"/>
                </w:tcPr>
                <w:p>
                  <w:pPr>
                    <w:pStyle w:val="10"/>
                    <w:tabs>
                      <w:tab w:val="left" w:pos="210"/>
                    </w:tabs>
                    <w:snapToGrid w:val="0"/>
                    <w:spacing w:line="240" w:lineRule="auto"/>
                    <w:ind w:firstLine="0" w:firstLineChars="0"/>
                    <w:jc w:val="center"/>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执行标准</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vMerge w:val="restart"/>
                  <w:tcBorders>
                    <w:top w:val="single" w:color="auto" w:sz="8" w:space="0"/>
                  </w:tcBorders>
                  <w:vAlign w:val="center"/>
                </w:tcPr>
                <w:p>
                  <w:pPr>
                    <w:pStyle w:val="10"/>
                    <w:tabs>
                      <w:tab w:val="left" w:pos="210"/>
                    </w:tabs>
                    <w:snapToGrid w:val="0"/>
                    <w:spacing w:line="240" w:lineRule="auto"/>
                    <w:ind w:firstLine="0" w:firstLineChars="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废气</w:t>
                  </w:r>
                </w:p>
              </w:tc>
              <w:tc>
                <w:tcPr>
                  <w:tcW w:w="1134" w:type="dxa"/>
                  <w:tcBorders>
                    <w:top w:val="single" w:color="auto" w:sz="8"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压合工序有组织非甲烷总烃</w:t>
                  </w:r>
                </w:p>
              </w:tc>
              <w:tc>
                <w:tcPr>
                  <w:tcW w:w="1843" w:type="dxa"/>
                  <w:tcBorders>
                    <w:top w:val="single" w:color="auto" w:sz="8" w:space="0"/>
                  </w:tcBorders>
                  <w:vAlign w:val="center"/>
                </w:tcPr>
                <w:p>
                  <w:pPr>
                    <w:adjustRightInd w:val="0"/>
                    <w:snapToGrid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经</w:t>
                  </w:r>
                  <w:r>
                    <w:rPr>
                      <w:rFonts w:hint="eastAsia" w:ascii="Times New Roman" w:hAnsi="Times New Roman" w:eastAsia="宋体"/>
                      <w:color w:val="000000" w:themeColor="text1"/>
                      <w:szCs w:val="21"/>
                    </w:rPr>
                    <w:t>封闭集气罩（6个，新建）+“</w:t>
                  </w:r>
                  <w:r>
                    <w:rPr>
                      <w:rFonts w:ascii="Times New Roman" w:hAnsi="Times New Roman" w:eastAsia="宋体"/>
                      <w:color w:val="000000" w:themeColor="text1"/>
                      <w:szCs w:val="21"/>
                    </w:rPr>
                    <w:t>UV光催化氧化</w:t>
                  </w:r>
                  <w:r>
                    <w:rPr>
                      <w:rFonts w:hint="eastAsia" w:ascii="Times New Roman" w:hAnsi="Times New Roman" w:eastAsia="宋体"/>
                      <w:color w:val="000000" w:themeColor="text1"/>
                      <w:szCs w:val="21"/>
                    </w:rPr>
                    <w:t>（原有）</w:t>
                  </w:r>
                  <w:r>
                    <w:rPr>
                      <w:rFonts w:ascii="Times New Roman" w:hAnsi="Times New Roman" w:eastAsia="宋体"/>
                      <w:color w:val="000000" w:themeColor="text1"/>
                      <w:szCs w:val="21"/>
                    </w:rPr>
                    <w:t>+活性炭吸附</w:t>
                  </w:r>
                  <w:r>
                    <w:rPr>
                      <w:rFonts w:hint="eastAsia" w:ascii="Times New Roman" w:hAnsi="Times New Roman" w:eastAsia="宋体"/>
                      <w:color w:val="000000" w:themeColor="text1"/>
                      <w:szCs w:val="21"/>
                    </w:rPr>
                    <w:t>（原有）+油烟净化器（原有）+水喷淋（整改新建）”装置（1套）</w:t>
                  </w:r>
                  <w:r>
                    <w:rPr>
                      <w:rFonts w:ascii="Times New Roman" w:hAnsi="Times New Roman" w:eastAsia="宋体"/>
                      <w:color w:val="000000" w:themeColor="text1"/>
                      <w:szCs w:val="21"/>
                    </w:rPr>
                    <w:t>+</w:t>
                  </w:r>
                  <w:r>
                    <w:rPr>
                      <w:rFonts w:hint="eastAsia" w:ascii="Times New Roman" w:hAnsi="Times New Roman" w:eastAsia="宋体"/>
                      <w:color w:val="000000" w:themeColor="text1"/>
                      <w:szCs w:val="21"/>
                    </w:rPr>
                    <w:t>15m高</w:t>
                  </w:r>
                  <w:r>
                    <w:rPr>
                      <w:rFonts w:ascii="Times New Roman" w:hAnsi="Times New Roman" w:eastAsia="宋体"/>
                      <w:color w:val="000000" w:themeColor="text1"/>
                      <w:szCs w:val="21"/>
                    </w:rPr>
                    <w:t>排气筒排放</w:t>
                  </w:r>
                </w:p>
              </w:tc>
              <w:tc>
                <w:tcPr>
                  <w:tcW w:w="1275" w:type="dxa"/>
                  <w:tcBorders>
                    <w:top w:val="single" w:color="auto" w:sz="8" w:space="0"/>
                  </w:tcBorders>
                  <w:vAlign w:val="center"/>
                </w:tcPr>
                <w:p>
                  <w:pPr>
                    <w:adjustRightInd w:val="0"/>
                    <w:snapToGrid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依托原有工程的“</w:t>
                  </w:r>
                  <w:r>
                    <w:rPr>
                      <w:rFonts w:ascii="Times New Roman" w:hAnsi="Times New Roman" w:eastAsia="宋体"/>
                      <w:color w:val="000000" w:themeColor="text1"/>
                      <w:szCs w:val="21"/>
                    </w:rPr>
                    <w:t>UV光催化氧化+活性炭吸附</w:t>
                  </w:r>
                  <w:r>
                    <w:rPr>
                      <w:rFonts w:hint="eastAsia" w:ascii="Times New Roman" w:hAnsi="Times New Roman" w:eastAsia="宋体"/>
                      <w:color w:val="000000" w:themeColor="text1"/>
                      <w:szCs w:val="21"/>
                    </w:rPr>
                    <w:t>+油烟净化器装置”处理设施，并新建6个封闭集气罩和一套水喷淋设施</w:t>
                  </w:r>
                </w:p>
              </w:tc>
              <w:tc>
                <w:tcPr>
                  <w:tcW w:w="3968" w:type="dxa"/>
                  <w:tcBorders>
                    <w:top w:val="single" w:color="auto" w:sz="8" w:space="0"/>
                  </w:tcBorders>
                  <w:vAlign w:val="center"/>
                </w:tcPr>
                <w:p>
                  <w:pPr>
                    <w:pStyle w:val="10"/>
                    <w:tabs>
                      <w:tab w:val="left" w:pos="210"/>
                    </w:tabs>
                    <w:snapToGrid w:val="0"/>
                    <w:spacing w:line="240" w:lineRule="auto"/>
                    <w:ind w:firstLine="0" w:firstLineChars="0"/>
                    <w:jc w:val="center"/>
                    <w:rPr>
                      <w:rFonts w:ascii="Times New Roman" w:hAnsi="Times New Roman" w:eastAsia="宋体"/>
                      <w:color w:val="000000" w:themeColor="text1"/>
                      <w:sz w:val="21"/>
                      <w:szCs w:val="21"/>
                    </w:rPr>
                  </w:pPr>
                  <w:r>
                    <w:rPr>
                      <w:rFonts w:hint="eastAsia" w:ascii="Times New Roman" w:eastAsia="宋体"/>
                      <w:color w:val="000000" w:themeColor="text1"/>
                      <w:sz w:val="21"/>
                      <w:szCs w:val="21"/>
                    </w:rPr>
                    <w:t>《关于全省开展工业企业挥发性有机物专项治理工作中排放建议值的通知》（豫环攻坚办</w:t>
                  </w:r>
                  <w:r>
                    <w:rPr>
                      <w:rFonts w:hint="eastAsia" w:ascii="Times New Roman" w:hAnsi="Times New Roman" w:eastAsia="宋体"/>
                      <w:color w:val="000000" w:themeColor="text1"/>
                      <w:sz w:val="21"/>
                      <w:szCs w:val="21"/>
                    </w:rPr>
                    <w:t>[2017]162</w:t>
                  </w:r>
                  <w:r>
                    <w:rPr>
                      <w:rFonts w:hint="eastAsia" w:ascii="Times New Roman" w:eastAsia="宋体"/>
                      <w:color w:val="000000" w:themeColor="text1"/>
                      <w:sz w:val="21"/>
                      <w:szCs w:val="21"/>
                    </w:rPr>
                    <w:t>号文）中工业企业挥发性有机物排放口非甲烷总烃排放建议值（有机废气排放口</w:t>
                  </w:r>
                  <w:r>
                    <w:rPr>
                      <w:rFonts w:hint="eastAsia" w:ascii="Times New Roman" w:hAnsi="Times New Roman" w:eastAsia="宋体"/>
                      <w:color w:val="000000" w:themeColor="text1"/>
                      <w:sz w:val="21"/>
                      <w:szCs w:val="21"/>
                    </w:rPr>
                    <w:t>80mg/m</w:t>
                  </w:r>
                  <w:r>
                    <w:rPr>
                      <w:rFonts w:hint="eastAsia" w:ascii="Times New Roman" w:hAnsi="Times New Roman" w:eastAsia="宋体"/>
                      <w:color w:val="000000" w:themeColor="text1"/>
                      <w:sz w:val="21"/>
                      <w:szCs w:val="21"/>
                      <w:vertAlign w:val="superscript"/>
                    </w:rPr>
                    <w:t>3</w:t>
                  </w:r>
                  <w:r>
                    <w:rPr>
                      <w:rFonts w:hint="eastAsia" w:ascii="Times New Roman" w:eastAsia="宋体"/>
                      <w:color w:val="000000" w:themeColor="text1"/>
                      <w:sz w:val="21"/>
                      <w:szCs w:val="21"/>
                    </w:rPr>
                    <w:t>）和《烧碱、聚氯乙烯工业污染物排放标准》</w:t>
                  </w:r>
                  <w:r>
                    <w:rPr>
                      <w:rFonts w:ascii="Times New Roman" w:eastAsia="宋体"/>
                      <w:color w:val="000000" w:themeColor="text1"/>
                      <w:sz w:val="21"/>
                      <w:szCs w:val="21"/>
                    </w:rPr>
                    <w:t>（</w:t>
                  </w:r>
                  <w:r>
                    <w:rPr>
                      <w:rFonts w:ascii="Times New Roman" w:hAnsi="Times New Roman" w:eastAsia="宋体"/>
                      <w:color w:val="000000" w:themeColor="text1"/>
                      <w:sz w:val="21"/>
                      <w:szCs w:val="21"/>
                    </w:rPr>
                    <w:t>GB</w:t>
                  </w:r>
                  <w:r>
                    <w:rPr>
                      <w:rFonts w:hint="eastAsia" w:ascii="Times New Roman" w:hAnsi="Times New Roman" w:eastAsia="宋体"/>
                      <w:color w:val="000000" w:themeColor="text1"/>
                      <w:sz w:val="21"/>
                      <w:szCs w:val="21"/>
                    </w:rPr>
                    <w:t>15581</w:t>
                  </w:r>
                  <w:r>
                    <w:rPr>
                      <w:rFonts w:ascii="Times New Roman" w:hAnsi="Times New Roman" w:eastAsia="宋体"/>
                      <w:color w:val="000000" w:themeColor="text1"/>
                      <w:sz w:val="21"/>
                      <w:szCs w:val="21"/>
                    </w:rPr>
                    <w:t>-</w:t>
                  </w:r>
                  <w:r>
                    <w:rPr>
                      <w:rFonts w:hint="eastAsia" w:ascii="Times New Roman" w:hAnsi="Times New Roman" w:eastAsia="宋体"/>
                      <w:color w:val="000000" w:themeColor="text1"/>
                      <w:sz w:val="21"/>
                      <w:szCs w:val="21"/>
                    </w:rPr>
                    <w:t>2016</w:t>
                  </w:r>
                  <w:r>
                    <w:rPr>
                      <w:rFonts w:ascii="Times New Roman" w:eastAsia="宋体"/>
                      <w:color w:val="000000" w:themeColor="text1"/>
                      <w:sz w:val="21"/>
                      <w:szCs w:val="21"/>
                    </w:rPr>
                    <w:t>）表</w:t>
                  </w:r>
                  <w:r>
                    <w:rPr>
                      <w:rFonts w:hint="eastAsia" w:ascii="Times New Roman" w:hAnsi="Times New Roman" w:eastAsia="宋体"/>
                      <w:color w:val="000000" w:themeColor="text1"/>
                      <w:sz w:val="21"/>
                      <w:szCs w:val="21"/>
                    </w:rPr>
                    <w:t>4</w:t>
                  </w:r>
                  <w:r>
                    <w:rPr>
                      <w:rFonts w:hint="eastAsia" w:ascii="Times New Roman" w:eastAsia="宋体"/>
                      <w:color w:val="000000" w:themeColor="text1"/>
                      <w:sz w:val="21"/>
                      <w:szCs w:val="21"/>
                    </w:rPr>
                    <w:t>标准（非甲烷总烃</w:t>
                  </w:r>
                  <w:r>
                    <w:rPr>
                      <w:rFonts w:hint="eastAsia" w:ascii="Times New Roman" w:eastAsia="宋体"/>
                      <w:bCs/>
                      <w:color w:val="000000" w:themeColor="text1"/>
                      <w:sz w:val="21"/>
                      <w:szCs w:val="21"/>
                    </w:rPr>
                    <w:t>排放限值</w:t>
                  </w:r>
                  <w:r>
                    <w:rPr>
                      <w:rFonts w:hint="eastAsia" w:ascii="Times New Roman" w:hAnsi="Times New Roman" w:eastAsia="宋体"/>
                      <w:bCs/>
                      <w:color w:val="000000" w:themeColor="text1"/>
                      <w:sz w:val="21"/>
                      <w:szCs w:val="21"/>
                    </w:rPr>
                    <w:t>20</w:t>
                  </w:r>
                  <w:r>
                    <w:rPr>
                      <w:rFonts w:ascii="Times New Roman" w:hAnsi="Times New Roman" w:eastAsia="宋体"/>
                      <w:bCs/>
                      <w:color w:val="000000" w:themeColor="text1"/>
                      <w:sz w:val="21"/>
                      <w:szCs w:val="21"/>
                    </w:rPr>
                    <w:t>mg/m</w:t>
                  </w:r>
                  <w:r>
                    <w:rPr>
                      <w:rFonts w:ascii="Times New Roman" w:hAnsi="Times New Roman" w:eastAsia="宋体"/>
                      <w:bCs/>
                      <w:color w:val="000000" w:themeColor="text1"/>
                      <w:sz w:val="21"/>
                      <w:szCs w:val="21"/>
                      <w:vertAlign w:val="superscript"/>
                    </w:rPr>
                    <w:t>3</w:t>
                  </w:r>
                  <w:r>
                    <w:rPr>
                      <w:rFonts w:hint="eastAsia" w:ascii="Times New Roman" w:eastAsia="宋体"/>
                      <w:color w:val="000000" w:themeColor="text1"/>
                      <w:sz w:val="21"/>
                      <w:szCs w:val="21"/>
                    </w:rPr>
                    <w:t>）</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vMerge w:val="continue"/>
                  <w:vAlign w:val="center"/>
                </w:tcPr>
                <w:p>
                  <w:pPr>
                    <w:pStyle w:val="10"/>
                    <w:tabs>
                      <w:tab w:val="left" w:pos="210"/>
                    </w:tabs>
                    <w:snapToGrid w:val="0"/>
                    <w:spacing w:line="240" w:lineRule="auto"/>
                    <w:ind w:firstLine="0" w:firstLineChars="0"/>
                    <w:jc w:val="center"/>
                    <w:rPr>
                      <w:rFonts w:ascii="Times New Roman" w:hAnsi="Times New Roman" w:eastAsia="宋体"/>
                      <w:color w:val="000000" w:themeColor="text1"/>
                      <w:sz w:val="21"/>
                      <w:szCs w:val="21"/>
                    </w:rPr>
                  </w:pPr>
                </w:p>
              </w:tc>
              <w:tc>
                <w:tcPr>
                  <w:tcW w:w="1134" w:type="dxa"/>
                  <w:vAlign w:val="center"/>
                </w:tcPr>
                <w:p>
                  <w:pPr>
                    <w:adjustRightInd w:val="0"/>
                    <w:snapToGrid w:val="0"/>
                    <w:jc w:val="center"/>
                    <w:rPr>
                      <w:rFonts w:ascii="Times New Roman" w:hAnsi="Times New Roman" w:eastAsia="宋体"/>
                      <w:b/>
                      <w:color w:val="000000" w:themeColor="text1"/>
                      <w:szCs w:val="21"/>
                      <w:u w:val="single"/>
                    </w:rPr>
                  </w:pPr>
                  <w:r>
                    <w:rPr>
                      <w:rFonts w:ascii="Times New Roman" w:hAnsi="Times New Roman" w:eastAsia="宋体"/>
                      <w:b/>
                      <w:color w:val="000000" w:themeColor="text1"/>
                      <w:szCs w:val="21"/>
                      <w:u w:val="single"/>
                    </w:rPr>
                    <w:t>压合工序无组织非甲烷总烃</w:t>
                  </w:r>
                </w:p>
              </w:tc>
              <w:tc>
                <w:tcPr>
                  <w:tcW w:w="1843" w:type="dxa"/>
                  <w:tcBorders>
                    <w:top w:val="single" w:color="auto" w:sz="8" w:space="0"/>
                  </w:tcBorders>
                  <w:vAlign w:val="center"/>
                </w:tcPr>
                <w:p>
                  <w:pPr>
                    <w:adjustRightInd w:val="0"/>
                    <w:snapToGrid w:val="0"/>
                    <w:jc w:val="center"/>
                    <w:rPr>
                      <w:rFonts w:ascii="Times New Roman" w:hAnsi="Times New Roman" w:eastAsia="宋体"/>
                      <w:b/>
                      <w:color w:val="000000" w:themeColor="text1"/>
                      <w:szCs w:val="21"/>
                      <w:u w:val="single"/>
                    </w:rPr>
                  </w:pPr>
                  <w:r>
                    <w:rPr>
                      <w:rFonts w:hint="eastAsia" w:ascii="Times New Roman" w:hAnsi="Times New Roman" w:eastAsia="宋体"/>
                      <w:b/>
                      <w:color w:val="000000" w:themeColor="text1"/>
                      <w:szCs w:val="21"/>
                      <w:u w:val="single"/>
                    </w:rPr>
                    <w:t>设置封闭集气罩，提高收集效率；车间封闭</w:t>
                  </w:r>
                </w:p>
              </w:tc>
              <w:tc>
                <w:tcPr>
                  <w:tcW w:w="1275" w:type="dxa"/>
                  <w:tcBorders>
                    <w:top w:val="single" w:color="auto" w:sz="8" w:space="0"/>
                  </w:tcBorders>
                  <w:vAlign w:val="center"/>
                </w:tcPr>
                <w:p>
                  <w:pPr>
                    <w:adjustRightInd w:val="0"/>
                    <w:snapToGrid w:val="0"/>
                    <w:jc w:val="center"/>
                    <w:rPr>
                      <w:rFonts w:ascii="Times New Roman" w:hAnsi="Times New Roman" w:eastAsia="宋体"/>
                      <w:b/>
                      <w:color w:val="000000" w:themeColor="text1"/>
                      <w:szCs w:val="21"/>
                      <w:u w:val="single"/>
                    </w:rPr>
                  </w:pPr>
                  <w:r>
                    <w:rPr>
                      <w:rFonts w:hint="eastAsia" w:ascii="Times New Roman" w:hAnsi="Times New Roman" w:eastAsia="宋体"/>
                      <w:b/>
                      <w:color w:val="000000" w:themeColor="text1"/>
                      <w:szCs w:val="21"/>
                      <w:u w:val="single"/>
                    </w:rPr>
                    <w:t>设置封闭集气罩，提高收集效率；车间封闭</w:t>
                  </w:r>
                </w:p>
              </w:tc>
              <w:tc>
                <w:tcPr>
                  <w:tcW w:w="3968" w:type="dxa"/>
                  <w:tcBorders>
                    <w:top w:val="single" w:color="auto" w:sz="8" w:space="0"/>
                  </w:tcBorders>
                  <w:vAlign w:val="center"/>
                </w:tcPr>
                <w:p>
                  <w:pPr>
                    <w:pStyle w:val="10"/>
                    <w:tabs>
                      <w:tab w:val="left" w:pos="210"/>
                    </w:tabs>
                    <w:snapToGrid w:val="0"/>
                    <w:spacing w:line="240" w:lineRule="auto"/>
                    <w:ind w:firstLine="0" w:firstLineChars="0"/>
                    <w:jc w:val="center"/>
                    <w:rPr>
                      <w:rFonts w:ascii="Times New Roman" w:eastAsia="宋体"/>
                      <w:color w:val="000000" w:themeColor="text1"/>
                      <w:sz w:val="21"/>
                      <w:szCs w:val="21"/>
                    </w:rPr>
                  </w:pPr>
                  <w:r>
                    <w:rPr>
                      <w:rFonts w:hint="eastAsia" w:ascii="Times New Roman" w:eastAsia="宋体"/>
                      <w:b/>
                      <w:color w:val="000000" w:themeColor="text1"/>
                      <w:sz w:val="21"/>
                      <w:szCs w:val="21"/>
                      <w:u w:val="single"/>
                    </w:rPr>
                    <w:t>《关于全省开展工业企业挥发性有机物专项治理工作中排放建议值的通知》（豫环攻坚办</w:t>
                  </w:r>
                  <w:r>
                    <w:rPr>
                      <w:rFonts w:hint="eastAsia" w:ascii="Times New Roman" w:hAnsi="Times New Roman" w:eastAsia="宋体"/>
                      <w:b/>
                      <w:color w:val="000000" w:themeColor="text1"/>
                      <w:sz w:val="21"/>
                      <w:szCs w:val="21"/>
                      <w:u w:val="single"/>
                    </w:rPr>
                    <w:t>[2017]162</w:t>
                  </w:r>
                  <w:r>
                    <w:rPr>
                      <w:rFonts w:hint="eastAsia" w:ascii="Times New Roman" w:eastAsia="宋体"/>
                      <w:b/>
                      <w:color w:val="000000" w:themeColor="text1"/>
                      <w:sz w:val="21"/>
                      <w:szCs w:val="21"/>
                      <w:u w:val="single"/>
                    </w:rPr>
                    <w:t>号文）（生产车间或生产设备边界挥发性有机物排放建议值非甲烷总烃4.0</w:t>
                  </w:r>
                  <w:r>
                    <w:rPr>
                      <w:rFonts w:hint="eastAsia" w:ascii="Times New Roman" w:hAnsi="Times New Roman" w:eastAsia="宋体"/>
                      <w:b/>
                      <w:color w:val="000000" w:themeColor="text1"/>
                      <w:sz w:val="21"/>
                      <w:szCs w:val="21"/>
                      <w:u w:val="single"/>
                    </w:rPr>
                    <w:t>mg/m</w:t>
                  </w:r>
                  <w:r>
                    <w:rPr>
                      <w:rFonts w:hint="eastAsia" w:ascii="Times New Roman" w:hAnsi="Times New Roman" w:eastAsia="宋体"/>
                      <w:b/>
                      <w:color w:val="000000" w:themeColor="text1"/>
                      <w:sz w:val="21"/>
                      <w:szCs w:val="21"/>
                      <w:u w:val="single"/>
                      <w:vertAlign w:val="superscript"/>
                    </w:rPr>
                    <w:t>3</w:t>
                  </w:r>
                  <w:r>
                    <w:rPr>
                      <w:rFonts w:hint="eastAsia" w:ascii="Times New Roman" w:eastAsia="宋体"/>
                      <w:b/>
                      <w:color w:val="000000" w:themeColor="text1"/>
                      <w:sz w:val="21"/>
                      <w:szCs w:val="21"/>
                      <w:u w:val="single"/>
                    </w:rPr>
                    <w:t>，工业企业边界挥发性有机物排放建议值非甲烷总烃2.0</w:t>
                  </w:r>
                  <w:r>
                    <w:rPr>
                      <w:rFonts w:hint="eastAsia" w:ascii="Times New Roman" w:hAnsi="Times New Roman" w:eastAsia="宋体"/>
                      <w:b/>
                      <w:color w:val="000000" w:themeColor="text1"/>
                      <w:sz w:val="21"/>
                      <w:szCs w:val="21"/>
                      <w:u w:val="single"/>
                    </w:rPr>
                    <w:t>mg/m</w:t>
                  </w:r>
                  <w:r>
                    <w:rPr>
                      <w:rFonts w:hint="eastAsia" w:ascii="Times New Roman" w:hAnsi="Times New Roman" w:eastAsia="宋体"/>
                      <w:b/>
                      <w:color w:val="000000" w:themeColor="text1"/>
                      <w:sz w:val="21"/>
                      <w:szCs w:val="21"/>
                      <w:u w:val="single"/>
                      <w:vertAlign w:val="superscript"/>
                    </w:rPr>
                    <w:t>3</w:t>
                  </w:r>
                  <w:r>
                    <w:rPr>
                      <w:rFonts w:hint="eastAsia" w:ascii="Times New Roman" w:eastAsia="宋体"/>
                      <w:b/>
                      <w:color w:val="000000" w:themeColor="text1"/>
                      <w:sz w:val="21"/>
                      <w:szCs w:val="21"/>
                      <w:u w:val="single"/>
                    </w:rPr>
                    <w:t>）</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vAlign w:val="center"/>
                </w:tcPr>
                <w:p>
                  <w:pPr>
                    <w:pStyle w:val="10"/>
                    <w:tabs>
                      <w:tab w:val="left" w:pos="210"/>
                    </w:tabs>
                    <w:snapToGrid w:val="0"/>
                    <w:spacing w:line="240" w:lineRule="auto"/>
                    <w:ind w:firstLine="0" w:firstLineChars="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废水</w:t>
                  </w:r>
                </w:p>
              </w:tc>
              <w:tc>
                <w:tcPr>
                  <w:tcW w:w="1134" w:type="dxa"/>
                  <w:vAlign w:val="center"/>
                </w:tcPr>
                <w:p>
                  <w:pPr>
                    <w:adjustRightInd w:val="0"/>
                    <w:snapToGrid w:val="0"/>
                    <w:jc w:val="center"/>
                    <w:rPr>
                      <w:rFonts w:ascii="Times New Roman" w:hAnsi="Times New Roman" w:eastAsia="宋体"/>
                      <w:bCs/>
                      <w:color w:val="000000" w:themeColor="text1"/>
                      <w:szCs w:val="21"/>
                    </w:rPr>
                  </w:pPr>
                  <w:r>
                    <w:rPr>
                      <w:rFonts w:ascii="Times New Roman" w:hAnsi="Times New Roman" w:eastAsia="宋体"/>
                      <w:color w:val="000000" w:themeColor="text1"/>
                      <w:szCs w:val="21"/>
                    </w:rPr>
                    <w:t>生活废水</w:t>
                  </w:r>
                </w:p>
              </w:tc>
              <w:tc>
                <w:tcPr>
                  <w:tcW w:w="1843" w:type="dxa"/>
                  <w:vAlign w:val="center"/>
                </w:tcPr>
                <w:p>
                  <w:pPr>
                    <w:adjustRightInd w:val="0"/>
                    <w:snapToGrid w:val="0"/>
                    <w:jc w:val="center"/>
                    <w:rPr>
                      <w:rFonts w:ascii="Times New Roman" w:hAnsi="Times New Roman" w:eastAsia="宋体"/>
                      <w:bCs/>
                      <w:color w:val="000000" w:themeColor="text1"/>
                      <w:szCs w:val="21"/>
                    </w:rPr>
                  </w:pPr>
                  <w:r>
                    <w:rPr>
                      <w:rFonts w:hint="eastAsia" w:ascii="Times New Roman" w:eastAsia="宋体"/>
                      <w:color w:val="000000" w:themeColor="text1"/>
                      <w:szCs w:val="21"/>
                    </w:rPr>
                    <w:t>本项目利用原有职工，不新增职工人数，不新增废水</w:t>
                  </w:r>
                </w:p>
              </w:tc>
              <w:tc>
                <w:tcPr>
                  <w:tcW w:w="1275" w:type="dxa"/>
                  <w:vAlign w:val="center"/>
                </w:tcPr>
                <w:p>
                  <w:pPr>
                    <w:adjustRightInd w:val="0"/>
                    <w:snapToGrid w:val="0"/>
                    <w:jc w:val="center"/>
                    <w:rPr>
                      <w:rFonts w:ascii="Times New Roman" w:hAnsi="Times New Roman" w:eastAsia="宋体"/>
                      <w:bCs/>
                      <w:color w:val="000000" w:themeColor="text1"/>
                      <w:szCs w:val="21"/>
                    </w:rPr>
                  </w:pPr>
                  <w:r>
                    <w:rPr>
                      <w:rFonts w:hint="eastAsia" w:ascii="Times New Roman" w:eastAsia="宋体"/>
                      <w:color w:val="000000" w:themeColor="text1"/>
                      <w:szCs w:val="21"/>
                    </w:rPr>
                    <w:t>本项目利用原有职工，不新增职工人数，不新增废水</w:t>
                  </w:r>
                </w:p>
              </w:tc>
              <w:tc>
                <w:tcPr>
                  <w:tcW w:w="3968" w:type="dxa"/>
                  <w:vAlign w:val="center"/>
                </w:tcPr>
                <w:p>
                  <w:pPr>
                    <w:pStyle w:val="10"/>
                    <w:tabs>
                      <w:tab w:val="left" w:pos="210"/>
                    </w:tabs>
                    <w:snapToGrid w:val="0"/>
                    <w:spacing w:line="240" w:lineRule="auto"/>
                    <w:ind w:firstLine="0" w:firstLineChars="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vAlign w:val="center"/>
                </w:tcPr>
                <w:p>
                  <w:pPr>
                    <w:pStyle w:val="10"/>
                    <w:tabs>
                      <w:tab w:val="left" w:pos="210"/>
                    </w:tabs>
                    <w:snapToGrid w:val="0"/>
                    <w:spacing w:line="240" w:lineRule="auto"/>
                    <w:ind w:firstLine="0" w:firstLineChars="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噪声</w:t>
                  </w:r>
                </w:p>
              </w:tc>
              <w:tc>
                <w:tcPr>
                  <w:tcW w:w="1134" w:type="dxa"/>
                  <w:vAlign w:val="center"/>
                </w:tcPr>
                <w:p>
                  <w:pPr>
                    <w:pStyle w:val="111"/>
                    <w:snapToGrid w:val="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机械运行噪声</w:t>
                  </w:r>
                </w:p>
              </w:tc>
              <w:tc>
                <w:tcPr>
                  <w:tcW w:w="1843" w:type="dxa"/>
                  <w:vAlign w:val="center"/>
                </w:tcPr>
                <w:p>
                  <w:pPr>
                    <w:pStyle w:val="111"/>
                    <w:snapToGrid w:val="0"/>
                    <w:jc w:val="center"/>
                    <w:rPr>
                      <w:rFonts w:ascii="Times New Roman" w:hAnsi="Times New Roman" w:eastAsia="宋体"/>
                      <w:color w:val="000000" w:themeColor="text1"/>
                      <w:sz w:val="21"/>
                      <w:szCs w:val="21"/>
                    </w:rPr>
                  </w:pPr>
                  <w:r>
                    <w:rPr>
                      <w:rFonts w:hint="eastAsia" w:ascii="Times New Roman" w:eastAsia="宋体" w:hAnsiTheme="minorEastAsia"/>
                      <w:color w:val="000000" w:themeColor="text1"/>
                      <w:sz w:val="21"/>
                      <w:szCs w:val="21"/>
                    </w:rPr>
                    <w:t>基础减振、距离衰减、厂房隔声等</w:t>
                  </w:r>
                </w:p>
              </w:tc>
              <w:tc>
                <w:tcPr>
                  <w:tcW w:w="1275" w:type="dxa"/>
                  <w:vAlign w:val="center"/>
                </w:tcPr>
                <w:p>
                  <w:pPr>
                    <w:pStyle w:val="10"/>
                    <w:tabs>
                      <w:tab w:val="left" w:pos="210"/>
                    </w:tabs>
                    <w:snapToGrid w:val="0"/>
                    <w:spacing w:line="240" w:lineRule="auto"/>
                    <w:ind w:firstLine="0" w:firstLineChars="0"/>
                    <w:jc w:val="center"/>
                    <w:rPr>
                      <w:rFonts w:ascii="Times New Roman" w:hAnsi="Times New Roman" w:eastAsia="宋体"/>
                      <w:color w:val="000000" w:themeColor="text1"/>
                      <w:sz w:val="21"/>
                      <w:szCs w:val="21"/>
                    </w:rPr>
                  </w:pPr>
                  <w:r>
                    <w:rPr>
                      <w:rFonts w:hint="eastAsia" w:ascii="Times New Roman" w:eastAsia="宋体" w:hAnsiTheme="minorEastAsia"/>
                      <w:color w:val="000000" w:themeColor="text1"/>
                      <w:sz w:val="21"/>
                      <w:szCs w:val="21"/>
                    </w:rPr>
                    <w:t>基础减振、距离衰减、厂房隔声等</w:t>
                  </w:r>
                </w:p>
              </w:tc>
              <w:tc>
                <w:tcPr>
                  <w:tcW w:w="3968" w:type="dxa"/>
                  <w:vAlign w:val="center"/>
                </w:tcPr>
                <w:p>
                  <w:pPr>
                    <w:pStyle w:val="10"/>
                    <w:tabs>
                      <w:tab w:val="left" w:pos="210"/>
                    </w:tabs>
                    <w:snapToGrid w:val="0"/>
                    <w:spacing w:line="240" w:lineRule="auto"/>
                    <w:ind w:firstLine="0" w:firstLineChars="0"/>
                    <w:jc w:val="center"/>
                    <w:rPr>
                      <w:rFonts w:ascii="Times New Roman" w:hAnsi="Times New Roman" w:eastAsia="宋体"/>
                      <w:color w:val="000000" w:themeColor="text1"/>
                      <w:sz w:val="21"/>
                      <w:szCs w:val="21"/>
                    </w:rPr>
                  </w:pPr>
                  <w:r>
                    <w:rPr>
                      <w:rFonts w:ascii="Times New Roman" w:hAnsi="Times New Roman" w:eastAsia="宋体"/>
                      <w:bCs/>
                      <w:color w:val="000000" w:themeColor="text1"/>
                      <w:sz w:val="21"/>
                      <w:szCs w:val="21"/>
                    </w:rPr>
                    <w:t>《工业企业厂界环境噪声排放标准》（GB12348-2008）</w:t>
                  </w:r>
                  <w:r>
                    <w:rPr>
                      <w:rFonts w:hint="eastAsia" w:ascii="Times New Roman" w:hAnsi="Times New Roman" w:eastAsia="宋体"/>
                      <w:bCs/>
                      <w:color w:val="000000" w:themeColor="text1"/>
                      <w:sz w:val="21"/>
                      <w:szCs w:val="21"/>
                    </w:rPr>
                    <w:t>3</w:t>
                  </w:r>
                  <w:r>
                    <w:rPr>
                      <w:rFonts w:ascii="Times New Roman" w:hAnsi="Times New Roman" w:eastAsia="宋体"/>
                      <w:bCs/>
                      <w:color w:val="000000" w:themeColor="text1"/>
                      <w:sz w:val="21"/>
                      <w:szCs w:val="21"/>
                    </w:rPr>
                    <w:t>类标准</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vMerge w:val="restart"/>
                  <w:vAlign w:val="center"/>
                </w:tcPr>
                <w:p>
                  <w:pPr>
                    <w:pStyle w:val="10"/>
                    <w:tabs>
                      <w:tab w:val="left" w:pos="210"/>
                    </w:tabs>
                    <w:spacing w:line="240" w:lineRule="auto"/>
                    <w:ind w:firstLine="0" w:firstLineChars="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固废</w:t>
                  </w:r>
                </w:p>
              </w:tc>
              <w:tc>
                <w:tcPr>
                  <w:tcW w:w="1134" w:type="dxa"/>
                  <w:vAlign w:val="center"/>
                </w:tcPr>
                <w:p>
                  <w:pPr>
                    <w:pStyle w:val="111"/>
                    <w:snapToGrid w:val="0"/>
                    <w:jc w:val="center"/>
                    <w:rPr>
                      <w:rFonts w:ascii="Times New Roman" w:hAnsi="Times New Roman" w:eastAsia="宋体"/>
                      <w:color w:val="000000" w:themeColor="text1"/>
                      <w:sz w:val="21"/>
                      <w:szCs w:val="21"/>
                      <w:highlight w:val="green"/>
                    </w:rPr>
                  </w:pPr>
                  <w:r>
                    <w:rPr>
                      <w:rFonts w:ascii="Times New Roman" w:hAnsi="Times New Roman" w:eastAsia="宋体"/>
                      <w:color w:val="000000" w:themeColor="text1"/>
                      <w:sz w:val="21"/>
                      <w:szCs w:val="21"/>
                    </w:rPr>
                    <w:t>一般固废</w:t>
                  </w:r>
                </w:p>
              </w:tc>
              <w:tc>
                <w:tcPr>
                  <w:tcW w:w="1843" w:type="dxa"/>
                  <w:vAlign w:val="center"/>
                </w:tcPr>
                <w:p>
                  <w:pPr>
                    <w:pStyle w:val="10"/>
                    <w:tabs>
                      <w:tab w:val="left" w:pos="210"/>
                    </w:tabs>
                    <w:spacing w:line="240" w:lineRule="auto"/>
                    <w:ind w:firstLine="0" w:firstLineChars="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一般固废暂存间（面积</w:t>
                  </w:r>
                  <w:r>
                    <w:rPr>
                      <w:rFonts w:hint="eastAsia" w:ascii="Times New Roman" w:hAnsi="Times New Roman" w:eastAsia="宋体"/>
                      <w:color w:val="000000" w:themeColor="text1"/>
                      <w:sz w:val="21"/>
                      <w:szCs w:val="21"/>
                    </w:rPr>
                    <w:t>25</w:t>
                  </w:r>
                  <w:r>
                    <w:rPr>
                      <w:rFonts w:ascii="Times New Roman" w:hAnsi="Times New Roman" w:eastAsia="宋体"/>
                      <w:color w:val="000000" w:themeColor="text1"/>
                      <w:sz w:val="21"/>
                      <w:szCs w:val="21"/>
                    </w:rPr>
                    <w:t>m</w:t>
                  </w:r>
                  <w:r>
                    <w:rPr>
                      <w:rFonts w:ascii="Times New Roman" w:hAnsi="Times New Roman" w:eastAsia="宋体"/>
                      <w:color w:val="000000" w:themeColor="text1"/>
                      <w:sz w:val="21"/>
                      <w:szCs w:val="21"/>
                      <w:vertAlign w:val="superscript"/>
                    </w:rPr>
                    <w:t>2</w:t>
                  </w:r>
                  <w:r>
                    <w:rPr>
                      <w:rFonts w:ascii="Times New Roman" w:hAnsi="Times New Roman" w:eastAsia="宋体"/>
                      <w:color w:val="000000" w:themeColor="text1"/>
                      <w:sz w:val="21"/>
                      <w:szCs w:val="21"/>
                    </w:rPr>
                    <w:t>）</w:t>
                  </w:r>
                </w:p>
              </w:tc>
              <w:tc>
                <w:tcPr>
                  <w:tcW w:w="1275" w:type="dxa"/>
                  <w:vAlign w:val="center"/>
                </w:tcPr>
                <w:p>
                  <w:pPr>
                    <w:pStyle w:val="10"/>
                    <w:tabs>
                      <w:tab w:val="left" w:pos="210"/>
                    </w:tabs>
                    <w:spacing w:line="240" w:lineRule="auto"/>
                    <w:ind w:firstLine="0" w:firstLineChars="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依托原有工程的一般固废暂存间（面积</w:t>
                  </w:r>
                  <w:r>
                    <w:rPr>
                      <w:rFonts w:hint="eastAsia" w:ascii="Times New Roman" w:hAnsi="Times New Roman" w:eastAsia="宋体"/>
                      <w:color w:val="000000" w:themeColor="text1"/>
                      <w:sz w:val="21"/>
                      <w:szCs w:val="21"/>
                    </w:rPr>
                    <w:t>25</w:t>
                  </w:r>
                  <w:r>
                    <w:rPr>
                      <w:rFonts w:ascii="Times New Roman" w:hAnsi="Times New Roman" w:eastAsia="宋体"/>
                      <w:color w:val="000000" w:themeColor="text1"/>
                      <w:sz w:val="21"/>
                      <w:szCs w:val="21"/>
                    </w:rPr>
                    <w:t>m</w:t>
                  </w:r>
                  <w:r>
                    <w:rPr>
                      <w:rFonts w:ascii="Times New Roman" w:hAnsi="Times New Roman" w:eastAsia="宋体"/>
                      <w:color w:val="000000" w:themeColor="text1"/>
                      <w:sz w:val="21"/>
                      <w:szCs w:val="21"/>
                      <w:vertAlign w:val="superscript"/>
                    </w:rPr>
                    <w:t>2</w:t>
                  </w:r>
                  <w:r>
                    <w:rPr>
                      <w:rFonts w:ascii="Times New Roman" w:hAnsi="Times New Roman" w:eastAsia="宋体"/>
                      <w:color w:val="000000" w:themeColor="text1"/>
                      <w:sz w:val="21"/>
                      <w:szCs w:val="21"/>
                    </w:rPr>
                    <w:t>）</w:t>
                  </w:r>
                </w:p>
              </w:tc>
              <w:tc>
                <w:tcPr>
                  <w:tcW w:w="3968" w:type="dxa"/>
                  <w:vAlign w:val="center"/>
                </w:tcPr>
                <w:p>
                  <w:pPr>
                    <w:pStyle w:val="10"/>
                    <w:tabs>
                      <w:tab w:val="left" w:pos="210"/>
                    </w:tabs>
                    <w:spacing w:line="240" w:lineRule="auto"/>
                    <w:ind w:firstLine="0" w:firstLineChars="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《一般工业固体废物贮存、处置场污染控制标准》（GB 18599-2001）及2013年修改单</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vMerge w:val="continue"/>
                  <w:tcBorders>
                    <w:bottom w:val="single" w:color="auto" w:sz="4" w:space="0"/>
                  </w:tcBorders>
                  <w:vAlign w:val="center"/>
                </w:tcPr>
                <w:p>
                  <w:pPr>
                    <w:pStyle w:val="10"/>
                    <w:tabs>
                      <w:tab w:val="left" w:pos="210"/>
                    </w:tabs>
                    <w:spacing w:line="240" w:lineRule="auto"/>
                    <w:ind w:firstLine="0" w:firstLineChars="0"/>
                    <w:jc w:val="center"/>
                    <w:rPr>
                      <w:rFonts w:ascii="Times New Roman" w:hAnsi="Times New Roman" w:eastAsia="宋体"/>
                      <w:color w:val="000000" w:themeColor="text1"/>
                      <w:sz w:val="21"/>
                      <w:szCs w:val="21"/>
                    </w:rPr>
                  </w:pPr>
                </w:p>
              </w:tc>
              <w:tc>
                <w:tcPr>
                  <w:tcW w:w="1134" w:type="dxa"/>
                  <w:tcBorders>
                    <w:bottom w:val="single" w:color="auto" w:sz="4" w:space="0"/>
                  </w:tcBorders>
                  <w:vAlign w:val="center"/>
                </w:tcPr>
                <w:p>
                  <w:pPr>
                    <w:pStyle w:val="111"/>
                    <w:snapToGrid w:val="0"/>
                    <w:jc w:val="center"/>
                    <w:rPr>
                      <w:rFonts w:ascii="Times New Roman" w:hAnsi="Times New Roman" w:eastAsia="宋体"/>
                      <w:color w:val="000000" w:themeColor="text1"/>
                      <w:sz w:val="21"/>
                      <w:szCs w:val="21"/>
                      <w:highlight w:val="green"/>
                    </w:rPr>
                  </w:pPr>
                  <w:r>
                    <w:rPr>
                      <w:rFonts w:ascii="Times New Roman" w:hAnsi="Times New Roman" w:eastAsia="宋体"/>
                      <w:color w:val="000000" w:themeColor="text1"/>
                      <w:sz w:val="21"/>
                      <w:szCs w:val="21"/>
                    </w:rPr>
                    <w:t>一般固废</w:t>
                  </w:r>
                </w:p>
              </w:tc>
              <w:tc>
                <w:tcPr>
                  <w:tcW w:w="1843" w:type="dxa"/>
                  <w:tcBorders>
                    <w:bottom w:val="single" w:color="auto" w:sz="4" w:space="0"/>
                  </w:tcBorders>
                  <w:vAlign w:val="center"/>
                </w:tcPr>
                <w:p>
                  <w:pPr>
                    <w:pStyle w:val="10"/>
                    <w:tabs>
                      <w:tab w:val="left" w:pos="210"/>
                    </w:tabs>
                    <w:spacing w:line="240" w:lineRule="auto"/>
                    <w:ind w:firstLine="0" w:firstLineChars="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危废暂存间（面积</w:t>
                  </w:r>
                  <w:r>
                    <w:rPr>
                      <w:rFonts w:hint="eastAsia" w:ascii="Times New Roman" w:hAnsi="Times New Roman" w:eastAsia="宋体"/>
                      <w:color w:val="000000" w:themeColor="text1"/>
                      <w:sz w:val="21"/>
                      <w:szCs w:val="21"/>
                    </w:rPr>
                    <w:t>10</w:t>
                  </w:r>
                  <w:r>
                    <w:rPr>
                      <w:rFonts w:ascii="Times New Roman" w:hAnsi="Times New Roman" w:eastAsia="宋体"/>
                      <w:color w:val="000000" w:themeColor="text1"/>
                      <w:sz w:val="21"/>
                      <w:szCs w:val="21"/>
                    </w:rPr>
                    <w:t>m</w:t>
                  </w:r>
                  <w:r>
                    <w:rPr>
                      <w:rFonts w:ascii="Times New Roman" w:hAnsi="Times New Roman" w:eastAsia="宋体"/>
                      <w:color w:val="000000" w:themeColor="text1"/>
                      <w:sz w:val="21"/>
                      <w:szCs w:val="21"/>
                      <w:vertAlign w:val="superscript"/>
                    </w:rPr>
                    <w:t>2</w:t>
                  </w:r>
                  <w:r>
                    <w:rPr>
                      <w:rFonts w:ascii="Times New Roman" w:hAnsi="Times New Roman" w:eastAsia="宋体"/>
                      <w:color w:val="000000" w:themeColor="text1"/>
                      <w:sz w:val="21"/>
                      <w:szCs w:val="21"/>
                    </w:rPr>
                    <w:t>）</w:t>
                  </w:r>
                </w:p>
              </w:tc>
              <w:tc>
                <w:tcPr>
                  <w:tcW w:w="1275" w:type="dxa"/>
                  <w:tcBorders>
                    <w:bottom w:val="single" w:color="auto" w:sz="4" w:space="0"/>
                  </w:tcBorders>
                  <w:vAlign w:val="center"/>
                </w:tcPr>
                <w:p>
                  <w:pPr>
                    <w:pStyle w:val="10"/>
                    <w:tabs>
                      <w:tab w:val="left" w:pos="210"/>
                    </w:tabs>
                    <w:spacing w:line="240" w:lineRule="auto"/>
                    <w:ind w:firstLine="0" w:firstLineChars="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依托原有工程的危废暂存间（面积</w:t>
                  </w:r>
                  <w:r>
                    <w:rPr>
                      <w:rFonts w:hint="eastAsia" w:ascii="Times New Roman" w:hAnsi="Times New Roman" w:eastAsia="宋体"/>
                      <w:color w:val="000000" w:themeColor="text1"/>
                      <w:sz w:val="21"/>
                      <w:szCs w:val="21"/>
                    </w:rPr>
                    <w:t>10</w:t>
                  </w:r>
                  <w:r>
                    <w:rPr>
                      <w:rFonts w:ascii="Times New Roman" w:hAnsi="Times New Roman" w:eastAsia="宋体"/>
                      <w:color w:val="000000" w:themeColor="text1"/>
                      <w:sz w:val="21"/>
                      <w:szCs w:val="21"/>
                    </w:rPr>
                    <w:t>m</w:t>
                  </w:r>
                  <w:r>
                    <w:rPr>
                      <w:rFonts w:ascii="Times New Roman" w:hAnsi="Times New Roman" w:eastAsia="宋体"/>
                      <w:color w:val="000000" w:themeColor="text1"/>
                      <w:sz w:val="21"/>
                      <w:szCs w:val="21"/>
                      <w:vertAlign w:val="superscript"/>
                    </w:rPr>
                    <w:t>2</w:t>
                  </w:r>
                  <w:r>
                    <w:rPr>
                      <w:rFonts w:ascii="Times New Roman" w:hAnsi="Times New Roman" w:eastAsia="宋体"/>
                      <w:color w:val="000000" w:themeColor="text1"/>
                      <w:sz w:val="21"/>
                      <w:szCs w:val="21"/>
                    </w:rPr>
                    <w:t>）</w:t>
                  </w:r>
                </w:p>
              </w:tc>
              <w:tc>
                <w:tcPr>
                  <w:tcW w:w="3968" w:type="dxa"/>
                  <w:tcBorders>
                    <w:bottom w:val="single" w:color="auto" w:sz="4" w:space="0"/>
                  </w:tcBorders>
                  <w:vAlign w:val="center"/>
                </w:tcPr>
                <w:p>
                  <w:pPr>
                    <w:pStyle w:val="10"/>
                    <w:tabs>
                      <w:tab w:val="left" w:pos="210"/>
                    </w:tabs>
                    <w:spacing w:line="240" w:lineRule="auto"/>
                    <w:ind w:firstLine="0" w:firstLineChars="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《危险废物贮存污染控制标准》（</w:t>
                  </w:r>
                  <w:r>
                    <w:rPr>
                      <w:rFonts w:ascii="Times New Roman" w:hAnsi="Times New Roman" w:eastAsia="宋体"/>
                      <w:color w:val="000000" w:themeColor="text1"/>
                      <w:sz w:val="21"/>
                      <w:szCs w:val="21"/>
                    </w:rPr>
                    <w:t>GB18597-2001</w:t>
                  </w:r>
                  <w:r>
                    <w:rPr>
                      <w:rFonts w:hint="eastAsia" w:ascii="Times New Roman" w:hAnsi="Times New Roman" w:eastAsia="宋体"/>
                      <w:color w:val="000000" w:themeColor="text1"/>
                      <w:sz w:val="21"/>
                      <w:szCs w:val="21"/>
                    </w:rPr>
                    <w:t>）及2013年修改单</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vMerge w:val="restart"/>
                  <w:tcBorders>
                    <w:top w:val="single" w:color="auto" w:sz="4" w:space="0"/>
                  </w:tcBorders>
                  <w:vAlign w:val="center"/>
                </w:tcPr>
                <w:p>
                  <w:pPr>
                    <w:pStyle w:val="10"/>
                    <w:tabs>
                      <w:tab w:val="left" w:pos="210"/>
                    </w:tabs>
                    <w:spacing w:line="240" w:lineRule="auto"/>
                    <w:ind w:firstLine="0" w:firstLineChars="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其他</w:t>
                  </w:r>
                </w:p>
              </w:tc>
              <w:tc>
                <w:tcPr>
                  <w:tcW w:w="1134" w:type="dxa"/>
                  <w:tcBorders>
                    <w:top w:val="single" w:color="auto" w:sz="4" w:space="0"/>
                  </w:tcBorders>
                  <w:vAlign w:val="center"/>
                </w:tcPr>
                <w:p>
                  <w:pPr>
                    <w:pStyle w:val="111"/>
                    <w:snapToGrid w:val="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用电</w:t>
                  </w:r>
                </w:p>
              </w:tc>
              <w:tc>
                <w:tcPr>
                  <w:tcW w:w="7086" w:type="dxa"/>
                  <w:gridSpan w:val="3"/>
                  <w:tcBorders>
                    <w:top w:val="single" w:color="auto" w:sz="4" w:space="0"/>
                  </w:tcBorders>
                  <w:vAlign w:val="center"/>
                </w:tcPr>
                <w:p>
                  <w:pPr>
                    <w:pStyle w:val="10"/>
                    <w:tabs>
                      <w:tab w:val="left" w:pos="210"/>
                    </w:tabs>
                    <w:spacing w:line="240" w:lineRule="auto"/>
                    <w:ind w:firstLine="0" w:firstLineChars="0"/>
                    <w:jc w:val="center"/>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本项目按照《新乡市生态环境局关于部署安装工业企业用电量监控系统的通知》（新环</w:t>
                  </w:r>
                  <w:r>
                    <w:rPr>
                      <w:rFonts w:ascii="Times New Roman" w:hAnsi="Times New Roman" w:eastAsia="宋体"/>
                      <w:color w:val="000000" w:themeColor="text1"/>
                      <w:sz w:val="21"/>
                      <w:szCs w:val="21"/>
                    </w:rPr>
                    <w:t>[2019]154</w:t>
                  </w:r>
                  <w:r>
                    <w:rPr>
                      <w:rFonts w:hint="eastAsia" w:ascii="Times New Roman" w:hAnsi="Times New Roman" w:eastAsia="宋体"/>
                      <w:color w:val="000000" w:themeColor="text1"/>
                      <w:sz w:val="21"/>
                      <w:szCs w:val="21"/>
                    </w:rPr>
                    <w:t>号）文件及环保部门要求在总用电量控制位置、主要生产设施和污染治理设施位置处安装用电量监控系统。</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vMerge w:val="continue"/>
                  <w:tcBorders>
                    <w:top w:val="single" w:color="auto" w:sz="4" w:space="0"/>
                    <w:bottom w:val="single" w:color="auto" w:sz="8" w:space="0"/>
                  </w:tcBorders>
                  <w:vAlign w:val="center"/>
                </w:tcPr>
                <w:p>
                  <w:pPr>
                    <w:pStyle w:val="10"/>
                    <w:tabs>
                      <w:tab w:val="left" w:pos="210"/>
                    </w:tabs>
                    <w:spacing w:line="240" w:lineRule="auto"/>
                    <w:ind w:firstLine="0" w:firstLineChars="0"/>
                    <w:jc w:val="center"/>
                    <w:rPr>
                      <w:rFonts w:ascii="Times New Roman" w:hAnsi="Times New Roman" w:eastAsia="宋体"/>
                      <w:color w:val="000000" w:themeColor="text1"/>
                      <w:sz w:val="21"/>
                      <w:szCs w:val="21"/>
                    </w:rPr>
                  </w:pPr>
                </w:p>
              </w:tc>
              <w:tc>
                <w:tcPr>
                  <w:tcW w:w="1134" w:type="dxa"/>
                  <w:tcBorders>
                    <w:top w:val="single" w:color="auto" w:sz="4" w:space="0"/>
                    <w:bottom w:val="single" w:color="auto" w:sz="8" w:space="0"/>
                  </w:tcBorders>
                  <w:vAlign w:val="center"/>
                </w:tcPr>
                <w:p>
                  <w:pPr>
                    <w:pStyle w:val="111"/>
                    <w:snapToGrid w:val="0"/>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在线监测</w:t>
                  </w:r>
                </w:p>
              </w:tc>
              <w:tc>
                <w:tcPr>
                  <w:tcW w:w="7086" w:type="dxa"/>
                  <w:gridSpan w:val="3"/>
                  <w:tcBorders>
                    <w:top w:val="single" w:color="auto" w:sz="4" w:space="0"/>
                    <w:bottom w:val="single" w:color="auto" w:sz="8" w:space="0"/>
                  </w:tcBorders>
                  <w:vAlign w:val="center"/>
                </w:tcPr>
                <w:p>
                  <w:pPr>
                    <w:pStyle w:val="10"/>
                    <w:tabs>
                      <w:tab w:val="left" w:pos="210"/>
                    </w:tabs>
                    <w:spacing w:line="240" w:lineRule="auto"/>
                    <w:ind w:firstLine="0" w:firstLineChars="0"/>
                    <w:jc w:val="center"/>
                    <w:rPr>
                      <w:rFonts w:ascii="Times New Roman" w:hAnsi="Times New Roman" w:eastAsia="宋体"/>
                      <w:color w:val="000000" w:themeColor="text1"/>
                      <w:sz w:val="21"/>
                      <w:szCs w:val="21"/>
                    </w:rPr>
                  </w:pPr>
                  <w:r>
                    <w:rPr>
                      <w:rFonts w:hint="eastAsia" w:ascii="Times New Roman" w:eastAsia="宋体"/>
                      <w:color w:val="000000" w:themeColor="text1"/>
                      <w:sz w:val="21"/>
                      <w:szCs w:val="21"/>
                    </w:rPr>
                    <w:t>企业原有工程有机废气排放口已按照环保部门的相关要求，安装</w:t>
                  </w:r>
                  <w:r>
                    <w:rPr>
                      <w:rFonts w:ascii="Times New Roman" w:hAnsi="Times New Roman" w:eastAsia="宋体"/>
                      <w:color w:val="000000" w:themeColor="text1"/>
                      <w:sz w:val="21"/>
                      <w:szCs w:val="21"/>
                    </w:rPr>
                    <w:t>VOCs</w:t>
                  </w:r>
                  <w:r>
                    <w:rPr>
                      <w:rFonts w:hint="eastAsia" w:ascii="Times New Roman" w:eastAsia="宋体"/>
                      <w:color w:val="000000" w:themeColor="text1"/>
                      <w:sz w:val="21"/>
                      <w:szCs w:val="21"/>
                    </w:rPr>
                    <w:t>在线监测设备并与环境监控中心监控平台联网。</w:t>
                  </w:r>
                </w:p>
              </w:tc>
            </w:tr>
            <w:bookmarkEnd w:id="14"/>
            <w:bookmarkEnd w:id="15"/>
          </w:tbl>
          <w:p>
            <w:pPr>
              <w:pStyle w:val="117"/>
              <w:adjustRightInd w:val="0"/>
              <w:snapToGrid w:val="0"/>
              <w:spacing w:line="520" w:lineRule="exact"/>
              <w:rPr>
                <w:rFonts w:ascii="Times New Roman" w:hAnsi="Times New Roman" w:eastAsia="宋体"/>
                <w:bCs/>
                <w:color w:val="000000" w:themeColor="text1"/>
                <w:sz w:val="24"/>
              </w:rPr>
            </w:pPr>
          </w:p>
          <w:p>
            <w:pPr>
              <w:pStyle w:val="117"/>
              <w:adjustRightInd w:val="0"/>
              <w:snapToGrid w:val="0"/>
              <w:spacing w:line="520" w:lineRule="exact"/>
              <w:rPr>
                <w:rFonts w:ascii="Times New Roman" w:hAnsi="Times New Roman" w:eastAsia="宋体"/>
                <w:bCs/>
                <w:color w:val="000000" w:themeColor="text1"/>
                <w:sz w:val="24"/>
              </w:rPr>
            </w:pPr>
          </w:p>
          <w:p>
            <w:pPr>
              <w:pStyle w:val="2"/>
              <w:jc w:val="both"/>
              <w:rPr>
                <w:color w:val="000000" w:themeColor="text1"/>
              </w:rPr>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tc>
      </w:tr>
    </w:tbl>
    <w:p>
      <w:pPr>
        <w:spacing w:line="300" w:lineRule="exact"/>
        <w:rPr>
          <w:color w:val="000000" w:themeColor="text1"/>
          <w:sz w:val="28"/>
        </w:rPr>
        <w:sectPr>
          <w:pgSz w:w="11906" w:h="16838"/>
          <w:pgMar w:top="1417" w:right="1417" w:bottom="1417" w:left="1417" w:header="851" w:footer="992" w:gutter="0"/>
          <w:cols w:space="720" w:num="1"/>
          <w:docGrid w:type="lines" w:linePitch="312" w:charSpace="0"/>
        </w:sectPr>
      </w:pPr>
    </w:p>
    <w:p>
      <w:pPr>
        <w:spacing w:line="500" w:lineRule="exact"/>
        <w:outlineLvl w:val="0"/>
        <w:rPr>
          <w:b/>
          <w:color w:val="000000" w:themeColor="text1"/>
          <w:sz w:val="32"/>
          <w:szCs w:val="32"/>
        </w:rPr>
      </w:pPr>
      <w:r>
        <w:rPr>
          <w:rFonts w:hint="eastAsia" w:hAnsi="宋体"/>
          <w:b/>
          <w:color w:val="000000" w:themeColor="text1"/>
          <w:sz w:val="32"/>
          <w:szCs w:val="32"/>
        </w:rPr>
        <w:t>建设项目拟采取的防治措施及预期治理效果</w:t>
      </w:r>
    </w:p>
    <w:tbl>
      <w:tblPr>
        <w:tblStyle w:val="24"/>
        <w:tblW w:w="93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22"/>
        <w:gridCol w:w="1047"/>
        <w:gridCol w:w="992"/>
        <w:gridCol w:w="1985"/>
        <w:gridCol w:w="437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0" w:hRule="atLeast"/>
          <w:jc w:val="center"/>
        </w:trPr>
        <w:tc>
          <w:tcPr>
            <w:tcW w:w="922" w:type="dxa"/>
            <w:tcBorders>
              <w:tl2br w:val="single" w:color="auto" w:sz="4" w:space="0"/>
            </w:tcBorders>
          </w:tcPr>
          <w:p>
            <w:pPr>
              <w:jc w:val="right"/>
              <w:rPr>
                <w:rFonts w:ascii="Times New Roman" w:hAnsi="Times New Roman" w:eastAsia="宋体"/>
                <w:b/>
                <w:bCs/>
                <w:color w:val="000000" w:themeColor="text1"/>
                <w:sz w:val="24"/>
              </w:rPr>
            </w:pPr>
            <w:r>
              <w:rPr>
                <w:rFonts w:ascii="Times New Roman" w:hAnsi="Times New Roman" w:eastAsia="宋体"/>
                <w:b/>
                <w:bCs/>
                <w:color w:val="000000" w:themeColor="text1"/>
                <w:sz w:val="24"/>
              </w:rPr>
              <w:t>内容</w:t>
            </w:r>
          </w:p>
          <w:p>
            <w:pPr>
              <w:rPr>
                <w:rFonts w:ascii="Times New Roman" w:hAnsi="Times New Roman" w:eastAsia="宋体"/>
                <w:b/>
                <w:bCs/>
                <w:color w:val="000000" w:themeColor="text1"/>
                <w:sz w:val="24"/>
              </w:rPr>
            </w:pPr>
          </w:p>
          <w:p>
            <w:pPr>
              <w:rPr>
                <w:rFonts w:ascii="Times New Roman" w:hAnsi="Times New Roman" w:eastAsia="宋体"/>
                <w:b/>
                <w:bCs/>
                <w:color w:val="000000" w:themeColor="text1"/>
                <w:sz w:val="24"/>
              </w:rPr>
            </w:pPr>
            <w:r>
              <w:rPr>
                <w:rFonts w:ascii="Times New Roman" w:hAnsi="Times New Roman" w:eastAsia="宋体"/>
                <w:b/>
                <w:bCs/>
                <w:color w:val="000000" w:themeColor="text1"/>
                <w:sz w:val="24"/>
              </w:rPr>
              <w:t>类型</w:t>
            </w:r>
          </w:p>
        </w:tc>
        <w:tc>
          <w:tcPr>
            <w:tcW w:w="1047" w:type="dxa"/>
            <w:vAlign w:val="center"/>
          </w:tcPr>
          <w:p>
            <w:pPr>
              <w:jc w:val="center"/>
              <w:rPr>
                <w:rFonts w:ascii="Times New Roman" w:hAnsi="Times New Roman" w:eastAsia="宋体"/>
                <w:b/>
                <w:bCs/>
                <w:color w:val="000000" w:themeColor="text1"/>
                <w:sz w:val="24"/>
              </w:rPr>
            </w:pPr>
            <w:r>
              <w:rPr>
                <w:rFonts w:ascii="Times New Roman" w:hAnsi="Times New Roman" w:eastAsia="宋体"/>
                <w:b/>
                <w:bCs/>
                <w:color w:val="000000" w:themeColor="text1"/>
                <w:sz w:val="24"/>
              </w:rPr>
              <w:t>排放源</w:t>
            </w:r>
          </w:p>
          <w:p>
            <w:pPr>
              <w:jc w:val="center"/>
              <w:rPr>
                <w:rFonts w:ascii="Times New Roman" w:hAnsi="Times New Roman" w:eastAsia="宋体"/>
                <w:b/>
                <w:bCs/>
                <w:color w:val="000000" w:themeColor="text1"/>
                <w:sz w:val="24"/>
              </w:rPr>
            </w:pPr>
            <w:r>
              <w:rPr>
                <w:rFonts w:ascii="Times New Roman" w:hAnsi="Times New Roman" w:eastAsia="宋体"/>
                <w:b/>
                <w:bCs/>
                <w:color w:val="000000" w:themeColor="text1"/>
                <w:sz w:val="24"/>
              </w:rPr>
              <w:t>（编号）</w:t>
            </w:r>
          </w:p>
        </w:tc>
        <w:tc>
          <w:tcPr>
            <w:tcW w:w="992" w:type="dxa"/>
            <w:vAlign w:val="center"/>
          </w:tcPr>
          <w:p>
            <w:pPr>
              <w:jc w:val="center"/>
              <w:rPr>
                <w:rFonts w:ascii="Times New Roman" w:hAnsi="Times New Roman" w:eastAsia="宋体"/>
                <w:b/>
                <w:bCs/>
                <w:color w:val="000000" w:themeColor="text1"/>
                <w:sz w:val="24"/>
              </w:rPr>
            </w:pPr>
            <w:r>
              <w:rPr>
                <w:rFonts w:ascii="Times New Roman" w:hAnsi="Times New Roman" w:eastAsia="宋体"/>
                <w:b/>
                <w:bCs/>
                <w:color w:val="000000" w:themeColor="text1"/>
                <w:sz w:val="24"/>
              </w:rPr>
              <w:t>污染物名称</w:t>
            </w:r>
          </w:p>
        </w:tc>
        <w:tc>
          <w:tcPr>
            <w:tcW w:w="1985" w:type="dxa"/>
            <w:vAlign w:val="center"/>
          </w:tcPr>
          <w:p>
            <w:pPr>
              <w:jc w:val="center"/>
              <w:rPr>
                <w:rFonts w:ascii="Times New Roman" w:hAnsi="Times New Roman" w:eastAsia="宋体"/>
                <w:b/>
                <w:bCs/>
                <w:color w:val="000000" w:themeColor="text1"/>
                <w:sz w:val="24"/>
              </w:rPr>
            </w:pPr>
            <w:r>
              <w:rPr>
                <w:rFonts w:ascii="Times New Roman" w:hAnsi="Times New Roman" w:eastAsia="宋体"/>
                <w:b/>
                <w:bCs/>
                <w:color w:val="000000" w:themeColor="text1"/>
                <w:sz w:val="24"/>
              </w:rPr>
              <w:t>防治措施</w:t>
            </w:r>
          </w:p>
        </w:tc>
        <w:tc>
          <w:tcPr>
            <w:tcW w:w="4378" w:type="dxa"/>
            <w:vAlign w:val="center"/>
          </w:tcPr>
          <w:p>
            <w:pPr>
              <w:jc w:val="center"/>
              <w:rPr>
                <w:rFonts w:ascii="Times New Roman" w:hAnsi="Times New Roman" w:eastAsia="宋体"/>
                <w:b/>
                <w:bCs/>
                <w:color w:val="000000" w:themeColor="text1"/>
                <w:sz w:val="24"/>
              </w:rPr>
            </w:pPr>
            <w:r>
              <w:rPr>
                <w:rFonts w:ascii="Times New Roman" w:hAnsi="Times New Roman" w:eastAsia="宋体"/>
                <w:b/>
                <w:bCs/>
                <w:color w:val="000000" w:themeColor="text1"/>
                <w:sz w:val="24"/>
              </w:rPr>
              <w:t>预期治理效果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76" w:hRule="atLeast"/>
          <w:jc w:val="center"/>
        </w:trPr>
        <w:tc>
          <w:tcPr>
            <w:tcW w:w="922" w:type="dxa"/>
            <w:vMerge w:val="restart"/>
            <w:tcBorders>
              <w:top w:val="single" w:color="auto" w:sz="4" w:space="0"/>
            </w:tcBorders>
            <w:vAlign w:val="center"/>
          </w:tcPr>
          <w:p>
            <w:pPr>
              <w:pStyle w:val="58"/>
              <w:adjustRightInd w:val="0"/>
              <w:snapToGrid w:val="0"/>
              <w:spacing w:line="440" w:lineRule="exact"/>
              <w:rPr>
                <w:rFonts w:ascii="Times New Roman" w:hAnsi="Times New Roman" w:eastAsia="宋体"/>
                <w:b/>
                <w:bCs/>
                <w:color w:val="000000" w:themeColor="text1"/>
                <w:sz w:val="24"/>
                <w:szCs w:val="24"/>
              </w:rPr>
            </w:pPr>
            <w:r>
              <w:rPr>
                <w:rFonts w:ascii="Times New Roman" w:hAnsi="Times New Roman" w:eastAsia="宋体"/>
                <w:b/>
                <w:bCs/>
                <w:color w:val="000000" w:themeColor="text1"/>
                <w:sz w:val="24"/>
                <w:szCs w:val="24"/>
              </w:rPr>
              <w:t>大</w:t>
            </w:r>
          </w:p>
          <w:p>
            <w:pPr>
              <w:pStyle w:val="58"/>
              <w:adjustRightInd w:val="0"/>
              <w:snapToGrid w:val="0"/>
              <w:spacing w:line="440" w:lineRule="exact"/>
              <w:rPr>
                <w:rFonts w:ascii="Times New Roman" w:hAnsi="Times New Roman" w:eastAsia="宋体"/>
                <w:b/>
                <w:bCs/>
                <w:color w:val="000000" w:themeColor="text1"/>
                <w:sz w:val="24"/>
                <w:szCs w:val="24"/>
              </w:rPr>
            </w:pPr>
            <w:r>
              <w:rPr>
                <w:rFonts w:ascii="Times New Roman" w:hAnsi="Times New Roman" w:eastAsia="宋体"/>
                <w:b/>
                <w:bCs/>
                <w:color w:val="000000" w:themeColor="text1"/>
                <w:sz w:val="24"/>
                <w:szCs w:val="24"/>
              </w:rPr>
              <w:t>气</w:t>
            </w:r>
          </w:p>
          <w:p>
            <w:pPr>
              <w:pStyle w:val="58"/>
              <w:adjustRightInd w:val="0"/>
              <w:snapToGrid w:val="0"/>
              <w:spacing w:line="440" w:lineRule="exact"/>
              <w:rPr>
                <w:rFonts w:ascii="Times New Roman" w:hAnsi="Times New Roman" w:eastAsia="宋体"/>
                <w:b/>
                <w:bCs/>
                <w:color w:val="000000" w:themeColor="text1"/>
                <w:sz w:val="24"/>
                <w:szCs w:val="24"/>
              </w:rPr>
            </w:pPr>
            <w:r>
              <w:rPr>
                <w:rFonts w:ascii="Times New Roman" w:hAnsi="Times New Roman" w:eastAsia="宋体"/>
                <w:b/>
                <w:bCs/>
                <w:color w:val="000000" w:themeColor="text1"/>
                <w:sz w:val="24"/>
                <w:szCs w:val="24"/>
              </w:rPr>
              <w:t>污</w:t>
            </w:r>
          </w:p>
          <w:p>
            <w:pPr>
              <w:pStyle w:val="58"/>
              <w:adjustRightInd w:val="0"/>
              <w:snapToGrid w:val="0"/>
              <w:spacing w:line="440" w:lineRule="exact"/>
              <w:rPr>
                <w:rFonts w:ascii="Times New Roman" w:hAnsi="Times New Roman" w:eastAsia="宋体"/>
                <w:b/>
                <w:bCs/>
                <w:color w:val="000000" w:themeColor="text1"/>
                <w:sz w:val="24"/>
                <w:szCs w:val="24"/>
              </w:rPr>
            </w:pPr>
            <w:r>
              <w:rPr>
                <w:rFonts w:ascii="Times New Roman" w:hAnsi="Times New Roman" w:eastAsia="宋体"/>
                <w:b/>
                <w:bCs/>
                <w:color w:val="000000" w:themeColor="text1"/>
                <w:sz w:val="24"/>
                <w:szCs w:val="24"/>
              </w:rPr>
              <w:t>染</w:t>
            </w:r>
          </w:p>
          <w:p>
            <w:pPr>
              <w:pStyle w:val="58"/>
              <w:adjustRightInd w:val="0"/>
              <w:snapToGrid w:val="0"/>
              <w:spacing w:line="440" w:lineRule="exact"/>
              <w:rPr>
                <w:rFonts w:ascii="Times New Roman" w:hAnsi="Times New Roman" w:eastAsia="宋体"/>
                <w:color w:val="000000" w:themeColor="text1"/>
                <w:sz w:val="24"/>
                <w:szCs w:val="24"/>
              </w:rPr>
            </w:pPr>
            <w:r>
              <w:rPr>
                <w:rFonts w:ascii="Times New Roman" w:hAnsi="Times New Roman" w:eastAsia="宋体"/>
                <w:b/>
                <w:bCs/>
                <w:color w:val="000000" w:themeColor="text1"/>
                <w:sz w:val="24"/>
                <w:szCs w:val="24"/>
              </w:rPr>
              <w:t>物</w:t>
            </w:r>
          </w:p>
        </w:tc>
        <w:tc>
          <w:tcPr>
            <w:tcW w:w="1047" w:type="dxa"/>
            <w:vMerge w:val="restart"/>
            <w:tcBorders>
              <w:top w:val="single" w:color="auto" w:sz="4" w:space="0"/>
            </w:tcBorders>
            <w:vAlign w:val="center"/>
          </w:tcPr>
          <w:p>
            <w:pPr>
              <w:adjustRightInd w:val="0"/>
              <w:snapToGrid w:val="0"/>
              <w:spacing w:line="440" w:lineRule="exact"/>
              <w:rPr>
                <w:rFonts w:ascii="Times New Roman" w:hAnsi="Times New Roman" w:eastAsia="宋体"/>
                <w:color w:val="000000" w:themeColor="text1"/>
                <w:sz w:val="24"/>
              </w:rPr>
            </w:pPr>
            <w:r>
              <w:rPr>
                <w:rFonts w:ascii="Times New Roman" w:hAnsi="Times New Roman" w:eastAsia="宋体"/>
                <w:color w:val="000000" w:themeColor="text1"/>
                <w:sz w:val="24"/>
              </w:rPr>
              <w:t>压合工序非甲烷总烃</w:t>
            </w:r>
          </w:p>
        </w:tc>
        <w:tc>
          <w:tcPr>
            <w:tcW w:w="992" w:type="dxa"/>
            <w:tcBorders>
              <w:top w:val="single" w:color="auto" w:sz="4" w:space="0"/>
            </w:tcBorders>
            <w:vAlign w:val="center"/>
          </w:tcPr>
          <w:p>
            <w:pPr>
              <w:adjustRightInd w:val="0"/>
              <w:snapToGrid w:val="0"/>
              <w:spacing w:line="440" w:lineRule="exact"/>
              <w:jc w:val="center"/>
              <w:rPr>
                <w:rFonts w:ascii="Times New Roman" w:hAnsi="Times New Roman" w:eastAsia="宋体"/>
                <w:color w:val="000000" w:themeColor="text1"/>
                <w:sz w:val="24"/>
              </w:rPr>
            </w:pPr>
            <w:r>
              <w:rPr>
                <w:rFonts w:ascii="Times New Roman" w:hAnsi="Times New Roman" w:eastAsia="宋体"/>
                <w:color w:val="000000" w:themeColor="text1"/>
                <w:sz w:val="24"/>
              </w:rPr>
              <w:t>有组织非甲烷总烃</w:t>
            </w:r>
          </w:p>
        </w:tc>
        <w:tc>
          <w:tcPr>
            <w:tcW w:w="1985" w:type="dxa"/>
            <w:tcBorders>
              <w:top w:val="single" w:color="auto" w:sz="4" w:space="0"/>
            </w:tcBorders>
            <w:vAlign w:val="center"/>
          </w:tcPr>
          <w:p>
            <w:pPr>
              <w:adjustRightInd w:val="0"/>
              <w:snapToGrid w:val="0"/>
              <w:spacing w:line="440" w:lineRule="exact"/>
              <w:jc w:val="center"/>
              <w:rPr>
                <w:rFonts w:ascii="Times New Roman" w:hAnsi="Times New Roman" w:eastAsia="宋体"/>
                <w:color w:val="000000" w:themeColor="text1"/>
                <w:sz w:val="24"/>
              </w:rPr>
            </w:pPr>
            <w:r>
              <w:rPr>
                <w:rFonts w:hint="eastAsia" w:ascii="Times New Roman" w:hAnsi="Times New Roman" w:eastAsia="宋体"/>
                <w:color w:val="000000" w:themeColor="text1"/>
                <w:sz w:val="24"/>
              </w:rPr>
              <w:t>经封闭集气罩（6个，新建）+“UV光催化氧化（原有）+活性炭吸附（原有）+油烟净化器（原有）+水喷淋（整改新建）”装置（1套）+15m高排气筒排放</w:t>
            </w:r>
          </w:p>
        </w:tc>
        <w:tc>
          <w:tcPr>
            <w:tcW w:w="4378" w:type="dxa"/>
            <w:tcBorders>
              <w:top w:val="single" w:color="auto" w:sz="4" w:space="0"/>
            </w:tcBorders>
            <w:vAlign w:val="center"/>
          </w:tcPr>
          <w:p>
            <w:pPr>
              <w:pStyle w:val="10"/>
              <w:tabs>
                <w:tab w:val="left" w:pos="210"/>
              </w:tabs>
              <w:snapToGrid w:val="0"/>
              <w:spacing w:line="440" w:lineRule="exact"/>
              <w:ind w:firstLine="0" w:firstLineChars="0"/>
              <w:jc w:val="center"/>
              <w:rPr>
                <w:rFonts w:ascii="Times New Roman" w:hAnsi="Times New Roman" w:eastAsia="宋体"/>
                <w:color w:val="000000" w:themeColor="text1"/>
                <w:sz w:val="24"/>
              </w:rPr>
            </w:pPr>
            <w:r>
              <w:rPr>
                <w:rFonts w:hint="eastAsia" w:ascii="Times New Roman" w:eastAsia="宋体"/>
                <w:color w:val="000000" w:themeColor="text1"/>
                <w:sz w:val="24"/>
              </w:rPr>
              <w:t>《关于全省开展工业企业挥发性有机物专项治理工作中排放建议值的通知》（豫环攻坚办</w:t>
            </w:r>
            <w:r>
              <w:rPr>
                <w:rFonts w:hint="eastAsia" w:ascii="Times New Roman" w:hAnsi="Times New Roman" w:eastAsia="宋体"/>
                <w:color w:val="000000" w:themeColor="text1"/>
                <w:sz w:val="24"/>
              </w:rPr>
              <w:t>[2017]162</w:t>
            </w:r>
            <w:r>
              <w:rPr>
                <w:rFonts w:hint="eastAsia" w:ascii="Times New Roman" w:eastAsia="宋体"/>
                <w:color w:val="000000" w:themeColor="text1"/>
                <w:sz w:val="24"/>
              </w:rPr>
              <w:t>号文）中工业企业挥发性有机物排放口非甲烷总烃排放建议值（有机废气排放口</w:t>
            </w:r>
            <w:r>
              <w:rPr>
                <w:rFonts w:hint="eastAsia" w:ascii="Times New Roman" w:hAnsi="Times New Roman" w:eastAsia="宋体"/>
                <w:color w:val="000000" w:themeColor="text1"/>
                <w:sz w:val="24"/>
              </w:rPr>
              <w:t>80mg/m</w:t>
            </w:r>
            <w:r>
              <w:rPr>
                <w:rFonts w:hint="eastAsia" w:ascii="Times New Roman" w:hAnsi="Times New Roman" w:eastAsia="宋体"/>
                <w:color w:val="000000" w:themeColor="text1"/>
                <w:sz w:val="24"/>
                <w:vertAlign w:val="superscript"/>
              </w:rPr>
              <w:t>3</w:t>
            </w:r>
            <w:r>
              <w:rPr>
                <w:rFonts w:hint="eastAsia" w:ascii="Times New Roman" w:eastAsia="宋体"/>
                <w:color w:val="000000" w:themeColor="text1"/>
                <w:sz w:val="24"/>
              </w:rPr>
              <w:t>）和《烧碱、聚氯乙烯工业污染物排放标准》</w:t>
            </w:r>
            <w:r>
              <w:rPr>
                <w:rFonts w:ascii="Times New Roman" w:eastAsia="宋体"/>
                <w:color w:val="000000" w:themeColor="text1"/>
                <w:sz w:val="24"/>
              </w:rPr>
              <w:t>（</w:t>
            </w:r>
            <w:r>
              <w:rPr>
                <w:rFonts w:ascii="Times New Roman" w:hAnsi="Times New Roman" w:eastAsia="宋体"/>
                <w:color w:val="000000" w:themeColor="text1"/>
                <w:sz w:val="24"/>
              </w:rPr>
              <w:t>GB</w:t>
            </w:r>
            <w:r>
              <w:rPr>
                <w:rFonts w:hint="eastAsia" w:ascii="Times New Roman" w:hAnsi="Times New Roman" w:eastAsia="宋体"/>
                <w:color w:val="000000" w:themeColor="text1"/>
                <w:sz w:val="24"/>
              </w:rPr>
              <w:t>15581</w:t>
            </w:r>
            <w:r>
              <w:rPr>
                <w:rFonts w:ascii="Times New Roman" w:hAnsi="Times New Roman" w:eastAsia="宋体"/>
                <w:color w:val="000000" w:themeColor="text1"/>
                <w:sz w:val="24"/>
              </w:rPr>
              <w:t>-</w:t>
            </w:r>
            <w:r>
              <w:rPr>
                <w:rFonts w:hint="eastAsia" w:ascii="Times New Roman" w:hAnsi="Times New Roman" w:eastAsia="宋体"/>
                <w:color w:val="000000" w:themeColor="text1"/>
                <w:sz w:val="24"/>
              </w:rPr>
              <w:t>2016</w:t>
            </w:r>
            <w:r>
              <w:rPr>
                <w:rFonts w:ascii="Times New Roman" w:eastAsia="宋体"/>
                <w:color w:val="000000" w:themeColor="text1"/>
                <w:sz w:val="24"/>
              </w:rPr>
              <w:t>）表</w:t>
            </w:r>
            <w:r>
              <w:rPr>
                <w:rFonts w:hint="eastAsia" w:ascii="Times New Roman" w:hAnsi="Times New Roman" w:eastAsia="宋体"/>
                <w:color w:val="000000" w:themeColor="text1"/>
                <w:sz w:val="24"/>
              </w:rPr>
              <w:t>4</w:t>
            </w:r>
            <w:r>
              <w:rPr>
                <w:rFonts w:hint="eastAsia" w:ascii="Times New Roman" w:eastAsia="宋体"/>
                <w:color w:val="000000" w:themeColor="text1"/>
                <w:sz w:val="24"/>
              </w:rPr>
              <w:t>标准（非甲烷总烃</w:t>
            </w:r>
            <w:r>
              <w:rPr>
                <w:rFonts w:hint="eastAsia" w:ascii="Times New Roman" w:eastAsia="宋体"/>
                <w:bCs/>
                <w:color w:val="000000" w:themeColor="text1"/>
                <w:sz w:val="24"/>
              </w:rPr>
              <w:t>排放限值</w:t>
            </w:r>
            <w:r>
              <w:rPr>
                <w:rFonts w:hint="eastAsia" w:ascii="Times New Roman" w:hAnsi="Times New Roman" w:eastAsia="宋体"/>
                <w:bCs/>
                <w:color w:val="000000" w:themeColor="text1"/>
                <w:sz w:val="24"/>
              </w:rPr>
              <w:t>20</w:t>
            </w:r>
            <w:r>
              <w:rPr>
                <w:rFonts w:ascii="Times New Roman" w:hAnsi="Times New Roman" w:eastAsia="宋体"/>
                <w:bCs/>
                <w:color w:val="000000" w:themeColor="text1"/>
                <w:sz w:val="24"/>
              </w:rPr>
              <w:t>mg/m</w:t>
            </w:r>
            <w:r>
              <w:rPr>
                <w:rFonts w:ascii="Times New Roman" w:hAnsi="Times New Roman" w:eastAsia="宋体"/>
                <w:bCs/>
                <w:color w:val="000000" w:themeColor="text1"/>
                <w:sz w:val="24"/>
                <w:vertAlign w:val="superscript"/>
              </w:rPr>
              <w:t>3</w:t>
            </w:r>
            <w:r>
              <w:rPr>
                <w:rFonts w:hint="eastAsia" w:ascii="Times New Roman" w:eastAsia="宋体"/>
                <w:color w:val="000000" w:themeColor="text1"/>
                <w:sz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76" w:hRule="atLeast"/>
          <w:jc w:val="center"/>
        </w:trPr>
        <w:tc>
          <w:tcPr>
            <w:tcW w:w="922" w:type="dxa"/>
            <w:vMerge w:val="continue"/>
            <w:vAlign w:val="center"/>
          </w:tcPr>
          <w:p>
            <w:pPr>
              <w:pStyle w:val="58"/>
              <w:adjustRightInd w:val="0"/>
              <w:snapToGrid w:val="0"/>
              <w:spacing w:line="440" w:lineRule="exact"/>
              <w:rPr>
                <w:rFonts w:ascii="Times New Roman" w:hAnsi="Times New Roman" w:eastAsia="宋体"/>
                <w:b/>
                <w:bCs/>
                <w:color w:val="000000" w:themeColor="text1"/>
                <w:sz w:val="24"/>
                <w:szCs w:val="24"/>
              </w:rPr>
            </w:pPr>
          </w:p>
        </w:tc>
        <w:tc>
          <w:tcPr>
            <w:tcW w:w="1047" w:type="dxa"/>
            <w:vMerge w:val="continue"/>
            <w:vAlign w:val="center"/>
          </w:tcPr>
          <w:p>
            <w:pPr>
              <w:adjustRightInd w:val="0"/>
              <w:snapToGrid w:val="0"/>
              <w:spacing w:line="440" w:lineRule="exact"/>
              <w:rPr>
                <w:rFonts w:ascii="Times New Roman" w:hAnsi="Times New Roman" w:eastAsia="宋体"/>
                <w:color w:val="000000" w:themeColor="text1"/>
                <w:sz w:val="24"/>
              </w:rPr>
            </w:pPr>
          </w:p>
        </w:tc>
        <w:tc>
          <w:tcPr>
            <w:tcW w:w="992" w:type="dxa"/>
            <w:tcBorders>
              <w:top w:val="single" w:color="auto" w:sz="4" w:space="0"/>
            </w:tcBorders>
            <w:vAlign w:val="center"/>
          </w:tcPr>
          <w:p>
            <w:pPr>
              <w:adjustRightInd w:val="0"/>
              <w:snapToGrid w:val="0"/>
              <w:spacing w:line="440" w:lineRule="exact"/>
              <w:jc w:val="center"/>
              <w:rPr>
                <w:rFonts w:ascii="Times New Roman" w:hAnsi="Times New Roman" w:eastAsia="宋体"/>
                <w:b/>
                <w:color w:val="000000" w:themeColor="text1"/>
                <w:sz w:val="24"/>
                <w:u w:val="single"/>
              </w:rPr>
            </w:pPr>
            <w:r>
              <w:rPr>
                <w:rFonts w:ascii="Times New Roman" w:hAnsi="Times New Roman" w:eastAsia="宋体"/>
                <w:b/>
                <w:color w:val="000000" w:themeColor="text1"/>
                <w:sz w:val="24"/>
                <w:u w:val="single"/>
              </w:rPr>
              <w:t>无组织非甲烷总烃</w:t>
            </w:r>
          </w:p>
        </w:tc>
        <w:tc>
          <w:tcPr>
            <w:tcW w:w="1985" w:type="dxa"/>
            <w:tcBorders>
              <w:top w:val="single" w:color="auto" w:sz="4" w:space="0"/>
            </w:tcBorders>
            <w:vAlign w:val="center"/>
          </w:tcPr>
          <w:p>
            <w:pPr>
              <w:adjustRightInd w:val="0"/>
              <w:snapToGrid w:val="0"/>
              <w:spacing w:line="440" w:lineRule="exact"/>
              <w:jc w:val="center"/>
              <w:rPr>
                <w:rFonts w:ascii="Times New Roman" w:hAnsi="Times New Roman" w:eastAsia="宋体"/>
                <w:color w:val="000000" w:themeColor="text1"/>
                <w:sz w:val="24"/>
              </w:rPr>
            </w:pPr>
            <w:r>
              <w:rPr>
                <w:rFonts w:hint="eastAsia" w:ascii="Times New Roman" w:hAnsi="Times New Roman" w:eastAsia="宋体"/>
                <w:b/>
                <w:color w:val="000000" w:themeColor="text1"/>
                <w:sz w:val="24"/>
                <w:u w:val="single"/>
              </w:rPr>
              <w:t>设置封闭集气罩，提高收集效率；车间封闭</w:t>
            </w:r>
          </w:p>
        </w:tc>
        <w:tc>
          <w:tcPr>
            <w:tcW w:w="4378" w:type="dxa"/>
            <w:tcBorders>
              <w:top w:val="single" w:color="auto" w:sz="4" w:space="0"/>
            </w:tcBorders>
            <w:vAlign w:val="center"/>
          </w:tcPr>
          <w:p>
            <w:pPr>
              <w:pStyle w:val="10"/>
              <w:tabs>
                <w:tab w:val="left" w:pos="210"/>
              </w:tabs>
              <w:snapToGrid w:val="0"/>
              <w:spacing w:line="440" w:lineRule="exact"/>
              <w:ind w:firstLine="0" w:firstLineChars="0"/>
              <w:jc w:val="center"/>
              <w:rPr>
                <w:rFonts w:ascii="Times New Roman" w:eastAsia="宋体"/>
                <w:color w:val="000000" w:themeColor="text1"/>
                <w:sz w:val="24"/>
              </w:rPr>
            </w:pPr>
            <w:r>
              <w:rPr>
                <w:rFonts w:hint="eastAsia" w:ascii="Times New Roman" w:eastAsia="宋体"/>
                <w:b/>
                <w:color w:val="000000" w:themeColor="text1"/>
                <w:sz w:val="24"/>
                <w:u w:val="single"/>
              </w:rPr>
              <w:t>《关于全省开展工业企业挥发性有机物专项治理工作中排放建议值的通知》（豫环攻坚办</w:t>
            </w:r>
            <w:r>
              <w:rPr>
                <w:rFonts w:hint="eastAsia" w:ascii="Times New Roman" w:hAnsi="Times New Roman" w:eastAsia="宋体"/>
                <w:b/>
                <w:color w:val="000000" w:themeColor="text1"/>
                <w:sz w:val="24"/>
                <w:u w:val="single"/>
              </w:rPr>
              <w:t>[2017]162</w:t>
            </w:r>
            <w:r>
              <w:rPr>
                <w:rFonts w:hint="eastAsia" w:ascii="Times New Roman" w:eastAsia="宋体"/>
                <w:b/>
                <w:color w:val="000000" w:themeColor="text1"/>
                <w:sz w:val="24"/>
                <w:u w:val="single"/>
              </w:rPr>
              <w:t>号文）（生产车间或生产设备边界挥发性有机物排放建议值非甲烷总烃4.0</w:t>
            </w:r>
            <w:r>
              <w:rPr>
                <w:rFonts w:hint="eastAsia" w:ascii="Times New Roman" w:hAnsi="Times New Roman" w:eastAsia="宋体"/>
                <w:b/>
                <w:color w:val="000000" w:themeColor="text1"/>
                <w:sz w:val="24"/>
                <w:u w:val="single"/>
              </w:rPr>
              <w:t>mg/m</w:t>
            </w:r>
            <w:r>
              <w:rPr>
                <w:rFonts w:hint="eastAsia" w:ascii="Times New Roman" w:hAnsi="Times New Roman" w:eastAsia="宋体"/>
                <w:b/>
                <w:color w:val="000000" w:themeColor="text1"/>
                <w:sz w:val="24"/>
                <w:u w:val="single"/>
                <w:vertAlign w:val="superscript"/>
              </w:rPr>
              <w:t>3</w:t>
            </w:r>
            <w:r>
              <w:rPr>
                <w:rFonts w:hint="eastAsia" w:ascii="Times New Roman" w:eastAsia="宋体"/>
                <w:b/>
                <w:color w:val="000000" w:themeColor="text1"/>
                <w:sz w:val="24"/>
                <w:u w:val="single"/>
              </w:rPr>
              <w:t>，工业企业边界挥发性有机物排放建议值非甲烷总烃2.0</w:t>
            </w:r>
            <w:r>
              <w:rPr>
                <w:rFonts w:hint="eastAsia" w:ascii="Times New Roman" w:hAnsi="Times New Roman" w:eastAsia="宋体"/>
                <w:b/>
                <w:color w:val="000000" w:themeColor="text1"/>
                <w:sz w:val="24"/>
                <w:u w:val="single"/>
              </w:rPr>
              <w:t>mg/m</w:t>
            </w:r>
            <w:r>
              <w:rPr>
                <w:rFonts w:hint="eastAsia" w:ascii="Times New Roman" w:hAnsi="Times New Roman" w:eastAsia="宋体"/>
                <w:b/>
                <w:color w:val="000000" w:themeColor="text1"/>
                <w:sz w:val="24"/>
                <w:u w:val="single"/>
                <w:vertAlign w:val="superscript"/>
              </w:rPr>
              <w:t>3</w:t>
            </w:r>
            <w:r>
              <w:rPr>
                <w:rFonts w:hint="eastAsia" w:ascii="Times New Roman" w:eastAsia="宋体"/>
                <w:b/>
                <w:color w:val="000000" w:themeColor="text1"/>
                <w:sz w:val="24"/>
                <w:u w:val="singl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27" w:hRule="atLeast"/>
          <w:jc w:val="center"/>
        </w:trPr>
        <w:tc>
          <w:tcPr>
            <w:tcW w:w="922" w:type="dxa"/>
            <w:tcBorders>
              <w:top w:val="single" w:color="auto" w:sz="4" w:space="0"/>
            </w:tcBorders>
            <w:vAlign w:val="center"/>
          </w:tcPr>
          <w:p>
            <w:pPr>
              <w:pStyle w:val="58"/>
              <w:adjustRightInd w:val="0"/>
              <w:snapToGrid w:val="0"/>
              <w:spacing w:line="440" w:lineRule="exact"/>
              <w:rPr>
                <w:rFonts w:ascii="Times New Roman" w:hAnsi="Times New Roman" w:eastAsia="宋体"/>
                <w:b/>
                <w:bCs/>
                <w:color w:val="000000" w:themeColor="text1"/>
                <w:sz w:val="24"/>
                <w:szCs w:val="24"/>
              </w:rPr>
            </w:pPr>
            <w:r>
              <w:rPr>
                <w:rFonts w:ascii="Times New Roman" w:hAnsi="Times New Roman" w:eastAsia="宋体"/>
                <w:b/>
                <w:bCs/>
                <w:color w:val="000000" w:themeColor="text1"/>
                <w:sz w:val="24"/>
                <w:szCs w:val="24"/>
              </w:rPr>
              <w:t>水</w:t>
            </w:r>
          </w:p>
          <w:p>
            <w:pPr>
              <w:pStyle w:val="58"/>
              <w:adjustRightInd w:val="0"/>
              <w:snapToGrid w:val="0"/>
              <w:spacing w:line="440" w:lineRule="exact"/>
              <w:rPr>
                <w:rFonts w:ascii="Times New Roman" w:hAnsi="Times New Roman" w:eastAsia="宋体"/>
                <w:b/>
                <w:bCs/>
                <w:color w:val="000000" w:themeColor="text1"/>
                <w:sz w:val="24"/>
                <w:szCs w:val="24"/>
              </w:rPr>
            </w:pPr>
            <w:r>
              <w:rPr>
                <w:rFonts w:ascii="Times New Roman" w:hAnsi="Times New Roman" w:eastAsia="宋体"/>
                <w:b/>
                <w:bCs/>
                <w:color w:val="000000" w:themeColor="text1"/>
                <w:sz w:val="24"/>
                <w:szCs w:val="24"/>
              </w:rPr>
              <w:t>污</w:t>
            </w:r>
          </w:p>
          <w:p>
            <w:pPr>
              <w:pStyle w:val="58"/>
              <w:adjustRightInd w:val="0"/>
              <w:snapToGrid w:val="0"/>
              <w:spacing w:line="440" w:lineRule="exact"/>
              <w:rPr>
                <w:rFonts w:ascii="Times New Roman" w:hAnsi="Times New Roman" w:eastAsia="宋体"/>
                <w:b/>
                <w:bCs/>
                <w:color w:val="000000" w:themeColor="text1"/>
                <w:sz w:val="24"/>
                <w:szCs w:val="24"/>
              </w:rPr>
            </w:pPr>
            <w:r>
              <w:rPr>
                <w:rFonts w:ascii="Times New Roman" w:hAnsi="Times New Roman" w:eastAsia="宋体"/>
                <w:b/>
                <w:bCs/>
                <w:color w:val="000000" w:themeColor="text1"/>
                <w:sz w:val="24"/>
                <w:szCs w:val="24"/>
              </w:rPr>
              <w:t>染</w:t>
            </w:r>
          </w:p>
          <w:p>
            <w:pPr>
              <w:pStyle w:val="58"/>
              <w:adjustRightInd w:val="0"/>
              <w:snapToGrid w:val="0"/>
              <w:spacing w:line="440" w:lineRule="exact"/>
              <w:rPr>
                <w:rFonts w:ascii="Times New Roman" w:hAnsi="Times New Roman" w:eastAsia="宋体"/>
                <w:color w:val="000000" w:themeColor="text1"/>
                <w:sz w:val="24"/>
                <w:szCs w:val="24"/>
              </w:rPr>
            </w:pPr>
            <w:r>
              <w:rPr>
                <w:rFonts w:ascii="Times New Roman" w:hAnsi="Times New Roman" w:eastAsia="宋体"/>
                <w:b/>
                <w:bCs/>
                <w:color w:val="000000" w:themeColor="text1"/>
                <w:sz w:val="24"/>
                <w:szCs w:val="24"/>
              </w:rPr>
              <w:t>物</w:t>
            </w:r>
          </w:p>
        </w:tc>
        <w:tc>
          <w:tcPr>
            <w:tcW w:w="1047" w:type="dxa"/>
            <w:tcBorders>
              <w:top w:val="single" w:color="auto" w:sz="4" w:space="0"/>
            </w:tcBorders>
            <w:vAlign w:val="center"/>
          </w:tcPr>
          <w:p>
            <w:pPr>
              <w:spacing w:line="440" w:lineRule="exact"/>
              <w:jc w:val="center"/>
              <w:rPr>
                <w:rFonts w:ascii="Times New Roman" w:hAnsi="Times New Roman" w:eastAsia="宋体"/>
                <w:color w:val="000000" w:themeColor="text1"/>
                <w:sz w:val="24"/>
              </w:rPr>
            </w:pPr>
            <w:r>
              <w:rPr>
                <w:rFonts w:ascii="Times New Roman" w:hAnsi="Times New Roman" w:eastAsia="宋体"/>
                <w:color w:val="000000" w:themeColor="text1"/>
                <w:sz w:val="24"/>
              </w:rPr>
              <w:t>职工生活</w:t>
            </w:r>
          </w:p>
        </w:tc>
        <w:tc>
          <w:tcPr>
            <w:tcW w:w="992" w:type="dxa"/>
            <w:tcBorders>
              <w:top w:val="single" w:color="auto" w:sz="4" w:space="0"/>
            </w:tcBorders>
            <w:vAlign w:val="center"/>
          </w:tcPr>
          <w:p>
            <w:pPr>
              <w:spacing w:line="440" w:lineRule="exact"/>
              <w:jc w:val="center"/>
              <w:rPr>
                <w:rFonts w:ascii="Times New Roman" w:hAnsi="Times New Roman" w:eastAsia="宋体"/>
                <w:color w:val="000000" w:themeColor="text1"/>
                <w:sz w:val="24"/>
              </w:rPr>
            </w:pPr>
            <w:r>
              <w:rPr>
                <w:rFonts w:ascii="Times New Roman" w:hAnsi="Times New Roman" w:eastAsia="宋体"/>
                <w:color w:val="000000" w:themeColor="text1"/>
                <w:sz w:val="24"/>
              </w:rPr>
              <w:t>生活污水</w:t>
            </w:r>
          </w:p>
        </w:tc>
        <w:tc>
          <w:tcPr>
            <w:tcW w:w="1985" w:type="dxa"/>
            <w:tcBorders>
              <w:top w:val="single" w:color="auto" w:sz="4" w:space="0"/>
            </w:tcBorders>
            <w:vAlign w:val="center"/>
          </w:tcPr>
          <w:p>
            <w:pPr>
              <w:adjustRightInd w:val="0"/>
              <w:snapToGrid w:val="0"/>
              <w:spacing w:line="440" w:lineRule="exact"/>
              <w:jc w:val="center"/>
              <w:rPr>
                <w:rFonts w:ascii="Times New Roman" w:hAnsi="Times New Roman" w:eastAsia="宋体"/>
                <w:bCs/>
                <w:color w:val="000000" w:themeColor="text1"/>
                <w:sz w:val="24"/>
              </w:rPr>
            </w:pPr>
            <w:r>
              <w:rPr>
                <w:rFonts w:hint="eastAsia" w:ascii="Times New Roman" w:eastAsia="宋体"/>
                <w:color w:val="000000" w:themeColor="text1"/>
                <w:sz w:val="24"/>
              </w:rPr>
              <w:t>本项目利用原有职工，不新增职工人数，不新增废水</w:t>
            </w:r>
          </w:p>
        </w:tc>
        <w:tc>
          <w:tcPr>
            <w:tcW w:w="4378" w:type="dxa"/>
            <w:tcBorders>
              <w:top w:val="single" w:color="auto" w:sz="4" w:space="0"/>
            </w:tcBorders>
            <w:vAlign w:val="center"/>
          </w:tcPr>
          <w:p>
            <w:pPr>
              <w:pStyle w:val="10"/>
              <w:tabs>
                <w:tab w:val="left" w:pos="210"/>
              </w:tabs>
              <w:snapToGrid w:val="0"/>
              <w:spacing w:line="440" w:lineRule="exact"/>
              <w:ind w:firstLine="0" w:firstLineChars="0"/>
              <w:jc w:val="center"/>
              <w:rPr>
                <w:rFonts w:ascii="Times New Roman" w:hAnsi="Times New Roman" w:eastAsia="宋体"/>
                <w:color w:val="000000" w:themeColor="text1"/>
                <w:spacing w:val="-6"/>
                <w:sz w:val="24"/>
              </w:rPr>
            </w:pPr>
            <w:r>
              <w:rPr>
                <w:rFonts w:hint="eastAsia" w:ascii="Times New Roman" w:hAnsi="Times New Roman" w:eastAsia="宋体"/>
                <w:color w:val="000000" w:themeColor="text1"/>
                <w:sz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79" w:hRule="atLeast"/>
          <w:jc w:val="center"/>
        </w:trPr>
        <w:tc>
          <w:tcPr>
            <w:tcW w:w="922" w:type="dxa"/>
            <w:vMerge w:val="restart"/>
            <w:tcBorders>
              <w:top w:val="single" w:color="auto" w:sz="4" w:space="0"/>
            </w:tcBorders>
            <w:vAlign w:val="center"/>
          </w:tcPr>
          <w:p>
            <w:pPr>
              <w:pStyle w:val="58"/>
              <w:adjustRightInd w:val="0"/>
              <w:snapToGrid w:val="0"/>
              <w:spacing w:line="440" w:lineRule="exact"/>
              <w:rPr>
                <w:rFonts w:ascii="Times New Roman" w:hAnsi="Times New Roman" w:eastAsia="宋体"/>
                <w:b/>
                <w:bCs/>
                <w:color w:val="000000" w:themeColor="text1"/>
                <w:sz w:val="24"/>
                <w:szCs w:val="24"/>
              </w:rPr>
            </w:pPr>
            <w:r>
              <w:rPr>
                <w:rFonts w:ascii="Times New Roman" w:hAnsi="Times New Roman" w:eastAsia="宋体"/>
                <w:b/>
                <w:bCs/>
                <w:color w:val="000000" w:themeColor="text1"/>
                <w:sz w:val="24"/>
                <w:szCs w:val="24"/>
              </w:rPr>
              <w:t>固</w:t>
            </w:r>
          </w:p>
          <w:p>
            <w:pPr>
              <w:pStyle w:val="58"/>
              <w:adjustRightInd w:val="0"/>
              <w:snapToGrid w:val="0"/>
              <w:spacing w:line="440" w:lineRule="exact"/>
              <w:rPr>
                <w:rFonts w:ascii="Times New Roman" w:hAnsi="Times New Roman" w:eastAsia="宋体"/>
                <w:b/>
                <w:bCs/>
                <w:color w:val="000000" w:themeColor="text1"/>
                <w:sz w:val="24"/>
                <w:szCs w:val="24"/>
              </w:rPr>
            </w:pPr>
            <w:r>
              <w:rPr>
                <w:rFonts w:ascii="Times New Roman" w:hAnsi="Times New Roman" w:eastAsia="宋体"/>
                <w:b/>
                <w:bCs/>
                <w:color w:val="000000" w:themeColor="text1"/>
                <w:sz w:val="24"/>
                <w:szCs w:val="24"/>
              </w:rPr>
              <w:t>体</w:t>
            </w:r>
          </w:p>
          <w:p>
            <w:pPr>
              <w:pStyle w:val="58"/>
              <w:adjustRightInd w:val="0"/>
              <w:snapToGrid w:val="0"/>
              <w:spacing w:line="440" w:lineRule="exact"/>
              <w:rPr>
                <w:rFonts w:ascii="Times New Roman" w:hAnsi="Times New Roman" w:eastAsia="宋体"/>
                <w:b/>
                <w:bCs/>
                <w:color w:val="000000" w:themeColor="text1"/>
                <w:sz w:val="24"/>
                <w:szCs w:val="24"/>
              </w:rPr>
            </w:pPr>
            <w:r>
              <w:rPr>
                <w:rFonts w:ascii="Times New Roman" w:hAnsi="Times New Roman" w:eastAsia="宋体"/>
                <w:b/>
                <w:bCs/>
                <w:color w:val="000000" w:themeColor="text1"/>
                <w:sz w:val="24"/>
                <w:szCs w:val="24"/>
              </w:rPr>
              <w:t>废</w:t>
            </w:r>
          </w:p>
          <w:p>
            <w:pPr>
              <w:pStyle w:val="58"/>
              <w:adjustRightInd w:val="0"/>
              <w:snapToGrid w:val="0"/>
              <w:spacing w:line="440" w:lineRule="exact"/>
              <w:rPr>
                <w:rFonts w:ascii="Times New Roman" w:hAnsi="Times New Roman" w:eastAsia="宋体"/>
                <w:color w:val="000000" w:themeColor="text1"/>
                <w:sz w:val="24"/>
                <w:szCs w:val="24"/>
              </w:rPr>
            </w:pPr>
            <w:r>
              <w:rPr>
                <w:rFonts w:ascii="Times New Roman" w:hAnsi="Times New Roman" w:eastAsia="宋体"/>
                <w:b/>
                <w:bCs/>
                <w:color w:val="000000" w:themeColor="text1"/>
                <w:sz w:val="24"/>
                <w:szCs w:val="24"/>
              </w:rPr>
              <w:t>物</w:t>
            </w:r>
          </w:p>
        </w:tc>
        <w:tc>
          <w:tcPr>
            <w:tcW w:w="1047" w:type="dxa"/>
            <w:tcBorders>
              <w:top w:val="single" w:color="auto" w:sz="4" w:space="0"/>
            </w:tcBorders>
            <w:vAlign w:val="center"/>
          </w:tcPr>
          <w:p>
            <w:pPr>
              <w:spacing w:line="440" w:lineRule="exact"/>
              <w:jc w:val="center"/>
              <w:rPr>
                <w:rFonts w:ascii="Times New Roman" w:hAnsi="Times New Roman" w:eastAsia="宋体"/>
                <w:bCs/>
                <w:color w:val="000000" w:themeColor="text1"/>
                <w:sz w:val="24"/>
              </w:rPr>
            </w:pPr>
            <w:r>
              <w:rPr>
                <w:rFonts w:ascii="Times New Roman" w:hAnsi="Times New Roman" w:eastAsia="宋体"/>
                <w:bCs/>
                <w:color w:val="000000" w:themeColor="text1"/>
                <w:sz w:val="24"/>
              </w:rPr>
              <w:t>质检工序</w:t>
            </w:r>
          </w:p>
        </w:tc>
        <w:tc>
          <w:tcPr>
            <w:tcW w:w="992" w:type="dxa"/>
            <w:tcBorders>
              <w:top w:val="single" w:color="auto" w:sz="4" w:space="0"/>
            </w:tcBorders>
            <w:vAlign w:val="center"/>
          </w:tcPr>
          <w:p>
            <w:pPr>
              <w:spacing w:line="440" w:lineRule="exact"/>
              <w:jc w:val="center"/>
              <w:rPr>
                <w:rFonts w:ascii="Times New Roman" w:hAnsi="Times New Roman" w:eastAsia="宋体"/>
                <w:bCs/>
                <w:color w:val="000000" w:themeColor="text1"/>
                <w:sz w:val="24"/>
              </w:rPr>
            </w:pPr>
            <w:r>
              <w:rPr>
                <w:rFonts w:ascii="Times New Roman" w:hAnsi="Times New Roman" w:eastAsia="宋体"/>
                <w:bCs/>
                <w:color w:val="000000" w:themeColor="text1"/>
                <w:sz w:val="24"/>
              </w:rPr>
              <w:t>不合格产品</w:t>
            </w:r>
          </w:p>
        </w:tc>
        <w:tc>
          <w:tcPr>
            <w:tcW w:w="1985" w:type="dxa"/>
            <w:tcBorders>
              <w:top w:val="single" w:color="auto" w:sz="4" w:space="0"/>
            </w:tcBorders>
            <w:vAlign w:val="center"/>
          </w:tcPr>
          <w:p>
            <w:pPr>
              <w:adjustRightInd w:val="0"/>
              <w:snapToGrid w:val="0"/>
              <w:spacing w:line="440" w:lineRule="exact"/>
              <w:jc w:val="center"/>
              <w:rPr>
                <w:rFonts w:ascii="Times New Roman" w:hAnsi="Times New Roman" w:eastAsia="宋体"/>
                <w:color w:val="000000" w:themeColor="text1"/>
                <w:sz w:val="24"/>
                <w:highlight w:val="yellow"/>
              </w:rPr>
            </w:pPr>
            <w:r>
              <w:rPr>
                <w:rFonts w:ascii="Times New Roman" w:hAnsi="Times New Roman" w:eastAsia="宋体"/>
                <w:color w:val="000000" w:themeColor="text1"/>
                <w:sz w:val="24"/>
              </w:rPr>
              <w:t>集中收集后</w:t>
            </w:r>
            <w:r>
              <w:rPr>
                <w:rFonts w:hint="eastAsia" w:ascii="Times New Roman" w:hAnsi="Times New Roman" w:eastAsia="宋体"/>
                <w:color w:val="000000" w:themeColor="text1"/>
                <w:sz w:val="24"/>
              </w:rPr>
              <w:t>，</w:t>
            </w:r>
            <w:r>
              <w:rPr>
                <w:rFonts w:ascii="Times New Roman" w:hAnsi="Times New Roman" w:eastAsia="宋体"/>
                <w:color w:val="000000" w:themeColor="text1"/>
                <w:sz w:val="24"/>
              </w:rPr>
              <w:t>定期外售</w:t>
            </w:r>
          </w:p>
        </w:tc>
        <w:tc>
          <w:tcPr>
            <w:tcW w:w="4378" w:type="dxa"/>
            <w:vMerge w:val="restart"/>
            <w:tcBorders>
              <w:top w:val="single" w:color="auto" w:sz="4" w:space="0"/>
            </w:tcBorders>
            <w:vAlign w:val="center"/>
          </w:tcPr>
          <w:p>
            <w:pPr>
              <w:spacing w:line="440" w:lineRule="exact"/>
              <w:jc w:val="center"/>
              <w:rPr>
                <w:rFonts w:ascii="Times New Roman" w:hAnsi="Times New Roman" w:eastAsia="宋体"/>
                <w:color w:val="000000" w:themeColor="text1"/>
                <w:spacing w:val="-6"/>
                <w:sz w:val="24"/>
              </w:rPr>
            </w:pPr>
            <w:r>
              <w:rPr>
                <w:rFonts w:ascii="Times New Roman" w:hAnsi="Times New Roman" w:eastAsia="宋体"/>
                <w:color w:val="000000" w:themeColor="text1"/>
                <w:spacing w:val="-6"/>
                <w:sz w:val="24"/>
              </w:rPr>
              <w:t>《一般工业固体废物贮存、处置场污染控制标准》（GB 18599-2001）及</w:t>
            </w:r>
            <w:r>
              <w:rPr>
                <w:rFonts w:hint="eastAsia" w:ascii="Times New Roman" w:hAnsi="Times New Roman" w:eastAsia="宋体"/>
                <w:color w:val="000000" w:themeColor="text1"/>
                <w:spacing w:val="-6"/>
                <w:sz w:val="24"/>
              </w:rPr>
              <w:t>2013年</w:t>
            </w:r>
            <w:r>
              <w:rPr>
                <w:rFonts w:ascii="Times New Roman" w:hAnsi="Times New Roman" w:eastAsia="宋体"/>
                <w:color w:val="000000" w:themeColor="text1"/>
                <w:spacing w:val="-6"/>
                <w:sz w:val="24"/>
              </w:rPr>
              <w:t>修改单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06" w:hRule="atLeast"/>
          <w:jc w:val="center"/>
        </w:trPr>
        <w:tc>
          <w:tcPr>
            <w:tcW w:w="922" w:type="dxa"/>
            <w:vMerge w:val="continue"/>
            <w:vAlign w:val="center"/>
          </w:tcPr>
          <w:p>
            <w:pPr>
              <w:pStyle w:val="23"/>
              <w:spacing w:after="0" w:line="440" w:lineRule="exact"/>
              <w:ind w:left="0" w:leftChars="0" w:firstLine="0" w:firstLineChars="0"/>
              <w:jc w:val="center"/>
              <w:rPr>
                <w:color w:val="000000" w:themeColor="text1"/>
                <w:sz w:val="24"/>
              </w:rPr>
            </w:pPr>
          </w:p>
        </w:tc>
        <w:tc>
          <w:tcPr>
            <w:tcW w:w="1047" w:type="dxa"/>
            <w:tcBorders>
              <w:top w:val="single" w:color="auto" w:sz="4" w:space="0"/>
            </w:tcBorders>
            <w:vAlign w:val="center"/>
          </w:tcPr>
          <w:p>
            <w:pPr>
              <w:spacing w:line="440" w:lineRule="exact"/>
              <w:jc w:val="center"/>
              <w:rPr>
                <w:rFonts w:ascii="Times New Roman" w:hAnsi="Times New Roman" w:eastAsia="宋体"/>
                <w:bCs/>
                <w:color w:val="000000" w:themeColor="text1"/>
                <w:sz w:val="24"/>
              </w:rPr>
            </w:pPr>
            <w:r>
              <w:rPr>
                <w:rFonts w:hint="eastAsia" w:ascii="Times New Roman" w:hAnsi="Times New Roman" w:eastAsia="宋体"/>
                <w:bCs/>
                <w:color w:val="000000" w:themeColor="text1"/>
                <w:sz w:val="24"/>
              </w:rPr>
              <w:t>包装工序</w:t>
            </w:r>
          </w:p>
        </w:tc>
        <w:tc>
          <w:tcPr>
            <w:tcW w:w="992" w:type="dxa"/>
            <w:tcBorders>
              <w:top w:val="single" w:color="auto" w:sz="4" w:space="0"/>
            </w:tcBorders>
            <w:vAlign w:val="center"/>
          </w:tcPr>
          <w:p>
            <w:pPr>
              <w:spacing w:line="440" w:lineRule="exact"/>
              <w:jc w:val="center"/>
              <w:rPr>
                <w:rFonts w:ascii="Times New Roman" w:hAnsi="Times New Roman" w:eastAsia="宋体"/>
                <w:bCs/>
                <w:color w:val="000000" w:themeColor="text1"/>
                <w:sz w:val="24"/>
              </w:rPr>
            </w:pPr>
            <w:r>
              <w:rPr>
                <w:rFonts w:ascii="Times New Roman" w:hAnsi="Times New Roman" w:eastAsia="宋体"/>
                <w:bCs/>
                <w:color w:val="000000" w:themeColor="text1"/>
                <w:sz w:val="24"/>
              </w:rPr>
              <w:t>废包装物</w:t>
            </w:r>
          </w:p>
        </w:tc>
        <w:tc>
          <w:tcPr>
            <w:tcW w:w="1985" w:type="dxa"/>
            <w:vAlign w:val="center"/>
          </w:tcPr>
          <w:p>
            <w:pPr>
              <w:adjustRightInd w:val="0"/>
              <w:snapToGrid w:val="0"/>
              <w:spacing w:line="440" w:lineRule="exact"/>
              <w:jc w:val="center"/>
              <w:rPr>
                <w:rFonts w:ascii="Times New Roman" w:hAnsi="Times New Roman" w:eastAsia="宋体"/>
                <w:color w:val="000000" w:themeColor="text1"/>
                <w:sz w:val="24"/>
              </w:rPr>
            </w:pPr>
            <w:r>
              <w:rPr>
                <w:rFonts w:ascii="Times New Roman" w:hAnsi="Times New Roman" w:eastAsia="宋体"/>
                <w:color w:val="000000" w:themeColor="text1"/>
                <w:sz w:val="24"/>
              </w:rPr>
              <w:t>集中收集后</w:t>
            </w:r>
            <w:r>
              <w:rPr>
                <w:rFonts w:hint="eastAsia" w:ascii="Times New Roman" w:hAnsi="Times New Roman" w:eastAsia="宋体"/>
                <w:color w:val="000000" w:themeColor="text1"/>
                <w:sz w:val="24"/>
              </w:rPr>
              <w:t>，</w:t>
            </w:r>
            <w:r>
              <w:rPr>
                <w:rFonts w:ascii="Times New Roman" w:hAnsi="Times New Roman" w:eastAsia="宋体"/>
                <w:color w:val="000000" w:themeColor="text1"/>
                <w:sz w:val="24"/>
              </w:rPr>
              <w:t>定期外售</w:t>
            </w:r>
          </w:p>
        </w:tc>
        <w:tc>
          <w:tcPr>
            <w:tcW w:w="4378" w:type="dxa"/>
            <w:vMerge w:val="continue"/>
            <w:vAlign w:val="center"/>
          </w:tcPr>
          <w:p>
            <w:pPr>
              <w:pStyle w:val="23"/>
              <w:spacing w:after="0" w:line="440" w:lineRule="exact"/>
              <w:ind w:left="0" w:leftChars="0" w:firstLine="0" w:firstLineChars="0"/>
              <w:jc w:val="center"/>
              <w:rPr>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06" w:hRule="atLeast"/>
          <w:jc w:val="center"/>
        </w:trPr>
        <w:tc>
          <w:tcPr>
            <w:tcW w:w="922" w:type="dxa"/>
            <w:vMerge w:val="continue"/>
            <w:vAlign w:val="center"/>
          </w:tcPr>
          <w:p>
            <w:pPr>
              <w:pStyle w:val="23"/>
              <w:spacing w:after="0" w:line="440" w:lineRule="exact"/>
              <w:ind w:left="0" w:leftChars="0" w:firstLine="0" w:firstLineChars="0"/>
              <w:jc w:val="center"/>
              <w:rPr>
                <w:color w:val="000000" w:themeColor="text1"/>
                <w:sz w:val="24"/>
              </w:rPr>
            </w:pPr>
          </w:p>
        </w:tc>
        <w:tc>
          <w:tcPr>
            <w:tcW w:w="1047" w:type="dxa"/>
            <w:vMerge w:val="restart"/>
            <w:tcBorders>
              <w:top w:val="single" w:color="auto" w:sz="4" w:space="0"/>
            </w:tcBorders>
            <w:vAlign w:val="center"/>
          </w:tcPr>
          <w:p>
            <w:pPr>
              <w:spacing w:line="440" w:lineRule="exact"/>
              <w:jc w:val="center"/>
              <w:rPr>
                <w:rFonts w:ascii="Times New Roman" w:hAnsi="Times New Roman" w:eastAsia="宋体"/>
                <w:bCs/>
                <w:color w:val="000000" w:themeColor="text1"/>
                <w:sz w:val="24"/>
              </w:rPr>
            </w:pPr>
            <w:r>
              <w:rPr>
                <w:rFonts w:hint="eastAsia" w:ascii="Times New Roman" w:hAnsi="Times New Roman" w:eastAsia="宋体"/>
                <w:bCs/>
                <w:color w:val="000000" w:themeColor="text1"/>
                <w:sz w:val="24"/>
              </w:rPr>
              <w:t>废气处理过程</w:t>
            </w:r>
          </w:p>
        </w:tc>
        <w:tc>
          <w:tcPr>
            <w:tcW w:w="992" w:type="dxa"/>
            <w:tcBorders>
              <w:top w:val="single" w:color="auto" w:sz="4" w:space="0"/>
            </w:tcBorders>
            <w:vAlign w:val="center"/>
          </w:tcPr>
          <w:p>
            <w:pPr>
              <w:spacing w:line="440" w:lineRule="exact"/>
              <w:jc w:val="center"/>
              <w:rPr>
                <w:rFonts w:ascii="Times New Roman" w:hAnsi="Times New Roman" w:eastAsia="宋体"/>
                <w:bCs/>
                <w:color w:val="000000" w:themeColor="text1"/>
                <w:sz w:val="24"/>
              </w:rPr>
            </w:pPr>
            <w:r>
              <w:rPr>
                <w:rFonts w:ascii="Times New Roman" w:hAnsi="Times New Roman" w:eastAsia="宋体"/>
                <w:bCs/>
                <w:color w:val="000000" w:themeColor="text1"/>
                <w:sz w:val="24"/>
              </w:rPr>
              <w:t>废催化剂</w:t>
            </w:r>
          </w:p>
        </w:tc>
        <w:tc>
          <w:tcPr>
            <w:tcW w:w="1985" w:type="dxa"/>
            <w:vAlign w:val="center"/>
          </w:tcPr>
          <w:p>
            <w:pPr>
              <w:adjustRightInd w:val="0"/>
              <w:snapToGrid w:val="0"/>
              <w:spacing w:line="440" w:lineRule="exact"/>
              <w:jc w:val="center"/>
              <w:rPr>
                <w:rFonts w:ascii="Times New Roman" w:hAnsi="Times New Roman" w:eastAsia="宋体"/>
                <w:color w:val="000000" w:themeColor="text1"/>
                <w:sz w:val="24"/>
              </w:rPr>
            </w:pPr>
            <w:r>
              <w:rPr>
                <w:rFonts w:ascii="Times New Roman" w:hAnsi="Times New Roman" w:eastAsia="宋体"/>
                <w:color w:val="000000" w:themeColor="text1"/>
                <w:sz w:val="24"/>
              </w:rPr>
              <w:t>集中收集后</w:t>
            </w:r>
            <w:r>
              <w:rPr>
                <w:rFonts w:hint="eastAsia" w:ascii="Times New Roman" w:hAnsi="Times New Roman" w:eastAsia="宋体"/>
                <w:color w:val="000000" w:themeColor="text1"/>
                <w:sz w:val="24"/>
              </w:rPr>
              <w:t>，</w:t>
            </w:r>
            <w:r>
              <w:rPr>
                <w:rFonts w:ascii="Times New Roman" w:hAnsi="Times New Roman" w:eastAsia="宋体"/>
                <w:color w:val="000000" w:themeColor="text1"/>
                <w:sz w:val="24"/>
              </w:rPr>
              <w:t>定期交由厂家回收</w:t>
            </w:r>
          </w:p>
        </w:tc>
        <w:tc>
          <w:tcPr>
            <w:tcW w:w="4378" w:type="dxa"/>
            <w:vMerge w:val="continue"/>
            <w:vAlign w:val="center"/>
          </w:tcPr>
          <w:p>
            <w:pPr>
              <w:pStyle w:val="23"/>
              <w:spacing w:after="0" w:line="440" w:lineRule="exact"/>
              <w:ind w:left="0" w:leftChars="0" w:firstLine="0" w:firstLineChars="0"/>
              <w:jc w:val="center"/>
              <w:rPr>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06" w:hRule="atLeast"/>
          <w:jc w:val="center"/>
        </w:trPr>
        <w:tc>
          <w:tcPr>
            <w:tcW w:w="922" w:type="dxa"/>
            <w:vMerge w:val="continue"/>
            <w:vAlign w:val="center"/>
          </w:tcPr>
          <w:p>
            <w:pPr>
              <w:pStyle w:val="23"/>
              <w:spacing w:after="0" w:line="440" w:lineRule="exact"/>
              <w:ind w:left="0" w:leftChars="0" w:firstLine="0" w:firstLineChars="0"/>
              <w:jc w:val="center"/>
              <w:rPr>
                <w:color w:val="000000" w:themeColor="text1"/>
                <w:sz w:val="24"/>
              </w:rPr>
            </w:pPr>
          </w:p>
        </w:tc>
        <w:tc>
          <w:tcPr>
            <w:tcW w:w="1047" w:type="dxa"/>
            <w:vMerge w:val="continue"/>
            <w:vAlign w:val="center"/>
          </w:tcPr>
          <w:p>
            <w:pPr>
              <w:spacing w:line="440" w:lineRule="exact"/>
              <w:jc w:val="center"/>
              <w:rPr>
                <w:rFonts w:ascii="Times New Roman" w:hAnsi="Times New Roman" w:eastAsia="宋体"/>
                <w:bCs/>
                <w:color w:val="000000" w:themeColor="text1"/>
                <w:sz w:val="24"/>
              </w:rPr>
            </w:pPr>
          </w:p>
        </w:tc>
        <w:tc>
          <w:tcPr>
            <w:tcW w:w="992" w:type="dxa"/>
            <w:tcBorders>
              <w:top w:val="single" w:color="auto" w:sz="4" w:space="0"/>
            </w:tcBorders>
            <w:vAlign w:val="center"/>
          </w:tcPr>
          <w:p>
            <w:pPr>
              <w:spacing w:line="440" w:lineRule="exact"/>
              <w:jc w:val="center"/>
              <w:rPr>
                <w:rFonts w:ascii="Times New Roman" w:hAnsi="Times New Roman" w:eastAsia="宋体"/>
                <w:bCs/>
                <w:color w:val="000000" w:themeColor="text1"/>
                <w:sz w:val="24"/>
              </w:rPr>
            </w:pPr>
            <w:r>
              <w:rPr>
                <w:rFonts w:ascii="Times New Roman" w:hAnsi="Times New Roman" w:eastAsia="宋体"/>
                <w:bCs/>
                <w:color w:val="000000" w:themeColor="text1"/>
                <w:sz w:val="24"/>
              </w:rPr>
              <w:t>废紫外灯管</w:t>
            </w:r>
          </w:p>
        </w:tc>
        <w:tc>
          <w:tcPr>
            <w:tcW w:w="1985" w:type="dxa"/>
            <w:vAlign w:val="center"/>
          </w:tcPr>
          <w:p>
            <w:pPr>
              <w:adjustRightInd w:val="0"/>
              <w:snapToGrid w:val="0"/>
              <w:spacing w:line="440" w:lineRule="exact"/>
              <w:jc w:val="center"/>
              <w:rPr>
                <w:rFonts w:ascii="Times New Roman" w:hAnsi="宋体" w:eastAsia="宋体"/>
                <w:color w:val="000000" w:themeColor="text1"/>
                <w:sz w:val="24"/>
              </w:rPr>
            </w:pPr>
            <w:r>
              <w:rPr>
                <w:rFonts w:hint="eastAsia" w:ascii="Times New Roman" w:hAnsi="宋体" w:eastAsia="宋体"/>
                <w:color w:val="000000" w:themeColor="text1"/>
                <w:sz w:val="24"/>
              </w:rPr>
              <w:t>经收集后，暂存于危废暂存间，定期交由有资质单位处置</w:t>
            </w:r>
          </w:p>
        </w:tc>
        <w:tc>
          <w:tcPr>
            <w:tcW w:w="4378" w:type="dxa"/>
            <w:vMerge w:val="restart"/>
            <w:vAlign w:val="center"/>
          </w:tcPr>
          <w:p>
            <w:pPr>
              <w:pStyle w:val="23"/>
              <w:spacing w:line="440" w:lineRule="exact"/>
              <w:ind w:firstLine="461"/>
              <w:jc w:val="center"/>
              <w:rPr>
                <w:color w:val="000000" w:themeColor="text1"/>
                <w:sz w:val="24"/>
              </w:rPr>
            </w:pPr>
            <w:r>
              <w:rPr>
                <w:rFonts w:hint="eastAsia"/>
                <w:color w:val="000000" w:themeColor="text1"/>
                <w:sz w:val="24"/>
              </w:rPr>
              <w:t>《危险废物贮存污染控制标准》（</w:t>
            </w:r>
            <w:r>
              <w:rPr>
                <w:color w:val="000000" w:themeColor="text1"/>
                <w:sz w:val="24"/>
              </w:rPr>
              <w:t>GB18597-2001</w:t>
            </w:r>
            <w:r>
              <w:rPr>
                <w:rFonts w:hint="eastAsia"/>
                <w:color w:val="000000" w:themeColor="text1"/>
                <w:sz w:val="24"/>
              </w:rPr>
              <w:t>）及2013年修改单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06" w:hRule="atLeast"/>
          <w:jc w:val="center"/>
        </w:trPr>
        <w:tc>
          <w:tcPr>
            <w:tcW w:w="922" w:type="dxa"/>
            <w:vMerge w:val="continue"/>
            <w:vAlign w:val="center"/>
          </w:tcPr>
          <w:p>
            <w:pPr>
              <w:pStyle w:val="23"/>
              <w:spacing w:after="0" w:line="440" w:lineRule="exact"/>
              <w:ind w:left="0" w:leftChars="0" w:firstLine="0" w:firstLineChars="0"/>
              <w:jc w:val="center"/>
              <w:rPr>
                <w:color w:val="000000" w:themeColor="text1"/>
                <w:sz w:val="24"/>
              </w:rPr>
            </w:pPr>
          </w:p>
        </w:tc>
        <w:tc>
          <w:tcPr>
            <w:tcW w:w="1047" w:type="dxa"/>
            <w:vMerge w:val="continue"/>
            <w:vAlign w:val="center"/>
          </w:tcPr>
          <w:p>
            <w:pPr>
              <w:spacing w:line="440" w:lineRule="exact"/>
              <w:jc w:val="center"/>
              <w:rPr>
                <w:rFonts w:ascii="Times New Roman" w:hAnsi="Times New Roman" w:eastAsia="宋体"/>
                <w:bCs/>
                <w:color w:val="000000" w:themeColor="text1"/>
                <w:sz w:val="24"/>
              </w:rPr>
            </w:pPr>
          </w:p>
        </w:tc>
        <w:tc>
          <w:tcPr>
            <w:tcW w:w="992" w:type="dxa"/>
            <w:tcBorders>
              <w:top w:val="single" w:color="auto" w:sz="4" w:space="0"/>
            </w:tcBorders>
            <w:vAlign w:val="center"/>
          </w:tcPr>
          <w:p>
            <w:pPr>
              <w:spacing w:line="440" w:lineRule="exact"/>
              <w:jc w:val="center"/>
              <w:rPr>
                <w:rFonts w:ascii="Times New Roman" w:hAnsi="Times New Roman" w:eastAsia="宋体"/>
                <w:bCs/>
                <w:color w:val="000000" w:themeColor="text1"/>
                <w:sz w:val="24"/>
              </w:rPr>
            </w:pPr>
            <w:r>
              <w:rPr>
                <w:rFonts w:ascii="Times New Roman" w:hAnsi="Times New Roman" w:eastAsia="宋体"/>
                <w:bCs/>
                <w:color w:val="000000" w:themeColor="text1"/>
                <w:sz w:val="24"/>
              </w:rPr>
              <w:t>废活性炭</w:t>
            </w:r>
          </w:p>
        </w:tc>
        <w:tc>
          <w:tcPr>
            <w:tcW w:w="1985" w:type="dxa"/>
            <w:vAlign w:val="center"/>
          </w:tcPr>
          <w:p>
            <w:pPr>
              <w:adjustRightInd w:val="0"/>
              <w:snapToGrid w:val="0"/>
              <w:spacing w:line="440" w:lineRule="exact"/>
              <w:jc w:val="center"/>
              <w:rPr>
                <w:rFonts w:ascii="Times New Roman" w:hAnsi="Times New Roman" w:eastAsia="宋体"/>
                <w:color w:val="000000" w:themeColor="text1"/>
                <w:sz w:val="24"/>
              </w:rPr>
            </w:pPr>
            <w:r>
              <w:rPr>
                <w:rFonts w:hint="eastAsia" w:ascii="Times New Roman" w:hAnsi="宋体" w:eastAsia="宋体"/>
                <w:color w:val="000000" w:themeColor="text1"/>
                <w:sz w:val="24"/>
              </w:rPr>
              <w:t>经收集后，暂存于危废暂存间，定期交由有资质单位处置</w:t>
            </w:r>
          </w:p>
        </w:tc>
        <w:tc>
          <w:tcPr>
            <w:tcW w:w="4378" w:type="dxa"/>
            <w:vMerge w:val="continue"/>
            <w:vAlign w:val="center"/>
          </w:tcPr>
          <w:p>
            <w:pPr>
              <w:pStyle w:val="23"/>
              <w:spacing w:after="0" w:line="440" w:lineRule="exact"/>
              <w:ind w:left="0" w:leftChars="0" w:firstLine="0" w:firstLineChars="0"/>
              <w:jc w:val="center"/>
              <w:rPr>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82" w:hRule="atLeast"/>
          <w:jc w:val="center"/>
        </w:trPr>
        <w:tc>
          <w:tcPr>
            <w:tcW w:w="922" w:type="dxa"/>
            <w:vAlign w:val="center"/>
          </w:tcPr>
          <w:p>
            <w:pPr>
              <w:spacing w:line="440" w:lineRule="exact"/>
              <w:jc w:val="center"/>
              <w:rPr>
                <w:rFonts w:ascii="Times New Roman" w:hAnsi="Times New Roman" w:eastAsia="宋体"/>
                <w:b/>
                <w:bCs/>
                <w:color w:val="000000" w:themeColor="text1"/>
                <w:sz w:val="24"/>
              </w:rPr>
            </w:pPr>
            <w:r>
              <w:rPr>
                <w:rFonts w:ascii="Times New Roman" w:hAnsi="Times New Roman" w:eastAsia="宋体"/>
                <w:b/>
                <w:bCs/>
                <w:color w:val="000000" w:themeColor="text1"/>
                <w:sz w:val="24"/>
              </w:rPr>
              <w:t>噪</w:t>
            </w:r>
          </w:p>
          <w:p>
            <w:pPr>
              <w:spacing w:line="440" w:lineRule="exact"/>
              <w:jc w:val="center"/>
              <w:rPr>
                <w:rFonts w:ascii="Times New Roman" w:hAnsi="Times New Roman" w:eastAsia="宋体"/>
                <w:color w:val="000000" w:themeColor="text1"/>
                <w:sz w:val="24"/>
              </w:rPr>
            </w:pPr>
            <w:r>
              <w:rPr>
                <w:rFonts w:ascii="Times New Roman" w:hAnsi="Times New Roman" w:eastAsia="宋体"/>
                <w:b/>
                <w:bCs/>
                <w:color w:val="000000" w:themeColor="text1"/>
                <w:sz w:val="24"/>
              </w:rPr>
              <w:t>声</w:t>
            </w:r>
          </w:p>
        </w:tc>
        <w:tc>
          <w:tcPr>
            <w:tcW w:w="8402" w:type="dxa"/>
            <w:gridSpan w:val="4"/>
            <w:vAlign w:val="center"/>
          </w:tcPr>
          <w:p>
            <w:pPr>
              <w:spacing w:line="440" w:lineRule="exact"/>
              <w:rPr>
                <w:rFonts w:ascii="Times New Roman" w:hAnsi="Times New Roman" w:eastAsia="宋体"/>
                <w:color w:val="000000" w:themeColor="text1"/>
                <w:sz w:val="24"/>
              </w:rPr>
            </w:pPr>
            <w:r>
              <w:rPr>
                <w:rFonts w:ascii="Times New Roman" w:hAnsi="Times New Roman" w:eastAsia="宋体"/>
                <w:color w:val="000000" w:themeColor="text1"/>
                <w:sz w:val="24"/>
              </w:rPr>
              <w:t xml:space="preserve">   本项目噪声设备主要为</w:t>
            </w:r>
            <w:r>
              <w:rPr>
                <w:rFonts w:hint="eastAsia" w:ascii="Times New Roman" w:hAnsi="宋体" w:eastAsia="宋体"/>
                <w:bCs/>
                <w:color w:val="000000" w:themeColor="text1"/>
                <w:sz w:val="24"/>
              </w:rPr>
              <w:t>高周波塑熔机</w:t>
            </w:r>
            <w:r>
              <w:rPr>
                <w:rFonts w:hint="eastAsia" w:ascii="Times New Roman" w:hAnsi="Times New Roman" w:eastAsia="宋体"/>
                <w:color w:val="000000" w:themeColor="text1"/>
                <w:sz w:val="24"/>
              </w:rPr>
              <w:t>和空压机</w:t>
            </w:r>
            <w:r>
              <w:rPr>
                <w:rFonts w:ascii="Times New Roman" w:hAnsi="Times New Roman" w:eastAsia="宋体"/>
                <w:color w:val="000000" w:themeColor="text1"/>
                <w:sz w:val="24"/>
              </w:rPr>
              <w:t>设备噪声源强为60-75dB（A），经采取</w:t>
            </w:r>
            <w:r>
              <w:rPr>
                <w:rFonts w:hint="eastAsia" w:asciiTheme="minorEastAsia" w:hAnsiTheme="minorEastAsia" w:eastAsiaTheme="minorEastAsia"/>
                <w:color w:val="000000" w:themeColor="text1"/>
                <w:sz w:val="24"/>
              </w:rPr>
              <w:t>基础减振、距离衰减、厂房隔声</w:t>
            </w:r>
            <w:r>
              <w:rPr>
                <w:rFonts w:ascii="Times New Roman" w:hAnsi="Times New Roman" w:eastAsia="宋体"/>
                <w:color w:val="000000" w:themeColor="text1"/>
                <w:kern w:val="0"/>
                <w:sz w:val="24"/>
              </w:rPr>
              <w:t>等</w:t>
            </w:r>
            <w:r>
              <w:rPr>
                <w:rFonts w:ascii="Times New Roman" w:hAnsi="Times New Roman" w:eastAsia="宋体"/>
                <w:color w:val="000000" w:themeColor="text1"/>
                <w:sz w:val="24"/>
              </w:rPr>
              <w:t>措施后，满足《工业企业厂界环境噪声排放标准》（GB12348-2008）</w:t>
            </w:r>
            <w:r>
              <w:rPr>
                <w:rFonts w:hint="eastAsia" w:ascii="Times New Roman" w:hAnsi="Times New Roman" w:eastAsia="宋体"/>
                <w:color w:val="000000" w:themeColor="text1"/>
                <w:sz w:val="24"/>
              </w:rPr>
              <w:t>3</w:t>
            </w:r>
            <w:r>
              <w:rPr>
                <w:rFonts w:ascii="Times New Roman" w:hAnsi="Times New Roman" w:eastAsia="宋体"/>
                <w:color w:val="000000" w:themeColor="text1"/>
                <w:sz w:val="24"/>
              </w:rPr>
              <w:t>类标准的要求。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83" w:hRule="atLeast"/>
          <w:jc w:val="center"/>
        </w:trPr>
        <w:tc>
          <w:tcPr>
            <w:tcW w:w="922" w:type="dxa"/>
            <w:vAlign w:val="center"/>
          </w:tcPr>
          <w:p>
            <w:pPr>
              <w:spacing w:line="440" w:lineRule="exact"/>
              <w:jc w:val="center"/>
              <w:rPr>
                <w:rFonts w:ascii="Times New Roman" w:hAnsi="Times New Roman" w:eastAsia="宋体"/>
                <w:b/>
                <w:bCs/>
                <w:color w:val="000000" w:themeColor="text1"/>
                <w:sz w:val="24"/>
              </w:rPr>
            </w:pPr>
            <w:r>
              <w:rPr>
                <w:rFonts w:ascii="Times New Roman" w:hAnsi="Times New Roman" w:eastAsia="宋体"/>
                <w:b/>
                <w:bCs/>
                <w:color w:val="000000" w:themeColor="text1"/>
                <w:sz w:val="24"/>
              </w:rPr>
              <w:t>其</w:t>
            </w:r>
          </w:p>
          <w:p>
            <w:pPr>
              <w:spacing w:line="440" w:lineRule="exact"/>
              <w:jc w:val="center"/>
              <w:rPr>
                <w:rFonts w:ascii="Times New Roman" w:hAnsi="Times New Roman" w:eastAsia="宋体"/>
                <w:color w:val="000000" w:themeColor="text1"/>
                <w:sz w:val="24"/>
              </w:rPr>
            </w:pPr>
            <w:r>
              <w:rPr>
                <w:rFonts w:ascii="Times New Roman" w:hAnsi="Times New Roman" w:eastAsia="宋体"/>
                <w:b/>
                <w:bCs/>
                <w:color w:val="000000" w:themeColor="text1"/>
                <w:sz w:val="24"/>
              </w:rPr>
              <w:t>他</w:t>
            </w:r>
          </w:p>
        </w:tc>
        <w:tc>
          <w:tcPr>
            <w:tcW w:w="8402" w:type="dxa"/>
            <w:gridSpan w:val="4"/>
            <w:vAlign w:val="center"/>
          </w:tcPr>
          <w:p>
            <w:pPr>
              <w:spacing w:line="440" w:lineRule="exact"/>
              <w:jc w:val="center"/>
              <w:rPr>
                <w:rFonts w:ascii="Times New Roman" w:hAnsi="Times New Roman" w:eastAsia="宋体"/>
                <w:color w:val="000000" w:themeColor="text1"/>
                <w:sz w:val="24"/>
              </w:rPr>
            </w:pPr>
            <w:r>
              <w:rPr>
                <w:rFonts w:ascii="Times New Roman" w:hAnsi="Times New Roman" w:eastAsia="宋体"/>
                <w:color w:val="000000" w:themeColor="text1"/>
                <w:sz w:val="24"/>
              </w:rPr>
              <w:t>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59" w:hRule="atLeast"/>
          <w:jc w:val="center"/>
        </w:trPr>
        <w:tc>
          <w:tcPr>
            <w:tcW w:w="9324" w:type="dxa"/>
            <w:gridSpan w:val="5"/>
          </w:tcPr>
          <w:p>
            <w:pPr>
              <w:spacing w:line="440" w:lineRule="exact"/>
              <w:rPr>
                <w:rFonts w:ascii="Times New Roman" w:hAnsi="Times New Roman" w:eastAsia="宋体"/>
                <w:color w:val="000000" w:themeColor="text1"/>
                <w:sz w:val="24"/>
              </w:rPr>
            </w:pPr>
            <w:r>
              <w:rPr>
                <w:rFonts w:ascii="Times New Roman" w:hAnsi="Times New Roman" w:eastAsia="宋体"/>
                <w:color w:val="000000" w:themeColor="text1"/>
                <w:sz w:val="24"/>
              </w:rPr>
              <w:t>生态保护措施及预期效果</w:t>
            </w:r>
          </w:p>
          <w:p>
            <w:pPr>
              <w:spacing w:line="440" w:lineRule="exact"/>
              <w:ind w:firstLine="463" w:firstLineChars="193"/>
              <w:rPr>
                <w:rFonts w:ascii="Times New Roman" w:hAnsi="Times New Roman" w:eastAsia="宋体"/>
                <w:color w:val="000000" w:themeColor="text1"/>
                <w:sz w:val="24"/>
              </w:rPr>
            </w:pPr>
            <w:r>
              <w:rPr>
                <w:rFonts w:ascii="Times New Roman" w:hAnsi="Times New Roman" w:eastAsia="宋体"/>
                <w:color w:val="000000" w:themeColor="text1"/>
                <w:sz w:val="24"/>
              </w:rPr>
              <w:t>本项目建成后将采取一定的绿化措施，应采取灌木与乔木相结合的方式，生态环境将得到一定程度的恢复。</w:t>
            </w:r>
          </w:p>
          <w:p>
            <w:pPr>
              <w:pStyle w:val="2"/>
              <w:rPr>
                <w:rFonts w:ascii="Times New Roman" w:hAnsi="Times New Roman" w:eastAsia="宋体"/>
                <w:color w:val="000000" w:themeColor="text1"/>
                <w:sz w:val="24"/>
              </w:rPr>
            </w:pPr>
          </w:p>
          <w:p>
            <w:pPr>
              <w:rPr>
                <w:rFonts w:ascii="Times New Roman" w:hAnsi="Times New Roman" w:eastAsia="宋体"/>
                <w:color w:val="000000" w:themeColor="text1"/>
                <w:sz w:val="24"/>
              </w:rPr>
            </w:pPr>
          </w:p>
          <w:p>
            <w:pPr>
              <w:pStyle w:val="2"/>
              <w:rPr>
                <w:rFonts w:ascii="Times New Roman" w:hAnsi="Times New Roman" w:eastAsia="宋体"/>
                <w:color w:val="000000" w:themeColor="text1"/>
                <w:sz w:val="24"/>
              </w:rPr>
            </w:pPr>
          </w:p>
          <w:p>
            <w:pPr>
              <w:rPr>
                <w:rFonts w:ascii="Times New Roman" w:hAnsi="Times New Roman" w:eastAsia="宋体"/>
                <w:color w:val="000000" w:themeColor="text1"/>
                <w:sz w:val="24"/>
              </w:rPr>
            </w:pPr>
          </w:p>
          <w:p>
            <w:pPr>
              <w:pStyle w:val="2"/>
              <w:rPr>
                <w:rFonts w:ascii="Times New Roman" w:hAnsi="Times New Roman" w:eastAsia="宋体"/>
                <w:color w:val="000000" w:themeColor="text1"/>
                <w:sz w:val="24"/>
              </w:rPr>
            </w:pPr>
          </w:p>
          <w:p>
            <w:pPr>
              <w:rPr>
                <w:rFonts w:ascii="Times New Roman" w:hAnsi="Times New Roman" w:eastAsia="宋体"/>
                <w:color w:val="000000" w:themeColor="text1"/>
                <w:sz w:val="24"/>
              </w:rPr>
            </w:pPr>
          </w:p>
          <w:p>
            <w:pPr>
              <w:pStyle w:val="2"/>
              <w:rPr>
                <w:rFonts w:ascii="Times New Roman" w:hAnsi="Times New Roman" w:eastAsia="宋体"/>
                <w:color w:val="000000" w:themeColor="text1"/>
                <w:sz w:val="24"/>
              </w:rPr>
            </w:pPr>
          </w:p>
          <w:p>
            <w:pPr>
              <w:spacing w:line="440" w:lineRule="exact"/>
              <w:ind w:firstLine="463" w:firstLineChars="193"/>
              <w:rPr>
                <w:rFonts w:ascii="Times New Roman" w:hAnsi="Times New Roman" w:eastAsia="宋体"/>
                <w:color w:val="000000" w:themeColor="text1"/>
                <w:sz w:val="24"/>
              </w:rPr>
            </w:pPr>
          </w:p>
          <w:p>
            <w:pPr>
              <w:pStyle w:val="2"/>
              <w:rPr>
                <w:rFonts w:ascii="Times New Roman" w:hAnsi="Times New Roman" w:eastAsia="宋体"/>
                <w:color w:val="000000" w:themeColor="text1"/>
                <w:sz w:val="24"/>
              </w:rPr>
            </w:pPr>
          </w:p>
          <w:p>
            <w:pPr>
              <w:rPr>
                <w:color w:val="000000" w:themeColor="text1"/>
              </w:rPr>
            </w:pPr>
          </w:p>
          <w:p>
            <w:pPr>
              <w:pStyle w:val="2"/>
              <w:rPr>
                <w:color w:val="000000" w:themeColor="text1"/>
              </w:rPr>
            </w:pPr>
          </w:p>
          <w:p>
            <w:pPr>
              <w:rPr>
                <w:color w:val="000000" w:themeColor="text1"/>
              </w:rPr>
            </w:pPr>
          </w:p>
          <w:p>
            <w:pPr>
              <w:pStyle w:val="2"/>
              <w:rPr>
                <w:color w:val="000000" w:themeColor="text1"/>
              </w:rPr>
            </w:pPr>
          </w:p>
          <w:p>
            <w:pPr>
              <w:rPr>
                <w:color w:val="000000" w:themeColor="text1"/>
              </w:rPr>
            </w:pPr>
          </w:p>
          <w:p>
            <w:pPr>
              <w:pStyle w:val="2"/>
              <w:rPr>
                <w:color w:val="000000" w:themeColor="text1"/>
              </w:rPr>
            </w:pPr>
          </w:p>
          <w:p>
            <w:pPr>
              <w:rPr>
                <w:color w:val="000000" w:themeColor="text1"/>
              </w:rPr>
            </w:pPr>
          </w:p>
          <w:p>
            <w:pPr>
              <w:pStyle w:val="2"/>
              <w:rPr>
                <w:color w:val="000000" w:themeColor="text1"/>
              </w:rPr>
            </w:pPr>
          </w:p>
          <w:p>
            <w:pPr>
              <w:rPr>
                <w:color w:val="000000" w:themeColor="text1"/>
              </w:rPr>
            </w:pPr>
          </w:p>
          <w:p>
            <w:pPr>
              <w:rPr>
                <w:color w:val="000000" w:themeColor="text1"/>
              </w:rPr>
            </w:pPr>
          </w:p>
        </w:tc>
      </w:tr>
    </w:tbl>
    <w:p>
      <w:pPr>
        <w:spacing w:line="500" w:lineRule="exact"/>
        <w:outlineLvl w:val="0"/>
        <w:rPr>
          <w:b/>
          <w:color w:val="000000" w:themeColor="text1"/>
          <w:sz w:val="32"/>
          <w:szCs w:val="32"/>
        </w:rPr>
      </w:pPr>
      <w:r>
        <w:rPr>
          <w:rFonts w:hint="eastAsia" w:hAnsi="宋体"/>
          <w:b/>
          <w:color w:val="000000" w:themeColor="text1"/>
          <w:sz w:val="32"/>
          <w:szCs w:val="32"/>
        </w:rPr>
        <w:t>结论与建议</w:t>
      </w:r>
    </w:p>
    <w:tbl>
      <w:tblPr>
        <w:tblStyle w:val="2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24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6" w:hRule="atLeast"/>
          <w:jc w:val="center"/>
        </w:trPr>
        <w:tc>
          <w:tcPr>
            <w:tcW w:w="9242" w:type="dxa"/>
          </w:tcPr>
          <w:p>
            <w:pPr>
              <w:adjustRightInd w:val="0"/>
              <w:snapToGrid w:val="0"/>
              <w:spacing w:line="440" w:lineRule="exact"/>
              <w:rPr>
                <w:rFonts w:ascii="Times New Roman" w:hAnsi="Times New Roman" w:eastAsia="宋体"/>
                <w:b/>
                <w:bCs/>
                <w:color w:val="000000" w:themeColor="text1"/>
                <w:sz w:val="24"/>
              </w:rPr>
            </w:pPr>
            <w:r>
              <w:rPr>
                <w:rFonts w:ascii="Times New Roman" w:hAnsi="Times New Roman" w:eastAsia="宋体"/>
                <w:b/>
                <w:bCs/>
                <w:color w:val="000000" w:themeColor="text1"/>
                <w:sz w:val="24"/>
              </w:rPr>
              <w:t>一、结论</w:t>
            </w:r>
          </w:p>
          <w:p>
            <w:pPr>
              <w:adjustRightInd w:val="0"/>
              <w:snapToGrid w:val="0"/>
              <w:spacing w:line="440" w:lineRule="exact"/>
              <w:ind w:firstLine="482" w:firstLineChars="200"/>
              <w:rPr>
                <w:rFonts w:ascii="Times New Roman" w:hAnsi="Times New Roman" w:eastAsia="宋体"/>
                <w:b/>
                <w:bCs/>
                <w:color w:val="000000" w:themeColor="text1"/>
                <w:sz w:val="24"/>
              </w:rPr>
            </w:pPr>
            <w:r>
              <w:rPr>
                <w:rFonts w:ascii="Times New Roman" w:hAnsi="Times New Roman" w:eastAsia="宋体"/>
                <w:b/>
                <w:bCs/>
                <w:color w:val="000000" w:themeColor="text1"/>
                <w:sz w:val="24"/>
              </w:rPr>
              <w:t>1、项目符合国家产业政策要求</w:t>
            </w:r>
          </w:p>
          <w:p>
            <w:pPr>
              <w:spacing w:line="440" w:lineRule="exact"/>
              <w:ind w:firstLine="480" w:firstLineChars="200"/>
              <w:rPr>
                <w:rFonts w:ascii="Times New Roman" w:hAnsi="Times New Roman" w:eastAsia="宋体"/>
                <w:color w:val="000000" w:themeColor="text1"/>
                <w:sz w:val="24"/>
              </w:rPr>
            </w:pPr>
            <w:r>
              <w:rPr>
                <w:rFonts w:hint="eastAsia" w:ascii="Times New Roman" w:hAnsi="Times New Roman" w:eastAsia="宋体"/>
                <w:color w:val="000000" w:themeColor="text1"/>
                <w:sz w:val="24"/>
              </w:rPr>
              <w:t>本项目为</w:t>
            </w:r>
            <w:r>
              <w:rPr>
                <w:rFonts w:hint="eastAsia" w:ascii="Times New Roman" w:hAnsi="Times New Roman" w:eastAsia="宋体"/>
                <w:bCs/>
                <w:color w:val="000000" w:themeColor="text1"/>
                <w:sz w:val="24"/>
              </w:rPr>
              <w:t>新乡市顺风船科技有限公司年产1200吨塑料磁吸门帘</w:t>
            </w:r>
            <w:r>
              <w:rPr>
                <w:rFonts w:ascii="Times New Roman" w:hAnsi="Times New Roman" w:eastAsia="宋体"/>
                <w:bCs/>
                <w:color w:val="000000" w:themeColor="text1"/>
                <w:sz w:val="24"/>
              </w:rPr>
              <w:t>项目</w:t>
            </w:r>
            <w:r>
              <w:rPr>
                <w:rFonts w:ascii="Times New Roman" w:hAnsi="Times New Roman" w:eastAsia="宋体"/>
                <w:color w:val="000000" w:themeColor="text1"/>
                <w:sz w:val="24"/>
              </w:rPr>
              <w:t>。</w:t>
            </w:r>
            <w:r>
              <w:rPr>
                <w:rFonts w:ascii="Times New Roman" w:hAnsi="Times New Roman" w:eastAsia="宋体"/>
                <w:color w:val="000000" w:themeColor="text1"/>
                <w:kern w:val="0"/>
                <w:sz w:val="24"/>
              </w:rPr>
              <w:t>经查阅</w:t>
            </w:r>
            <w:r>
              <w:rPr>
                <w:rFonts w:ascii="Times New Roman" w:hAnsi="Times New Roman" w:eastAsia="宋体"/>
                <w:color w:val="000000" w:themeColor="text1"/>
                <w:sz w:val="24"/>
              </w:rPr>
              <w:t>《产业结构调整指导目录》（发改委令（2019）第29号）</w:t>
            </w:r>
            <w:r>
              <w:rPr>
                <w:rFonts w:ascii="Times New Roman" w:hAnsi="Times New Roman" w:eastAsia="宋体"/>
                <w:color w:val="000000" w:themeColor="text1"/>
                <w:kern w:val="0"/>
                <w:sz w:val="24"/>
              </w:rPr>
              <w:t>，</w:t>
            </w:r>
            <w:r>
              <w:rPr>
                <w:rFonts w:hint="eastAsia" w:ascii="Times New Roman" w:hAnsi="Times New Roman" w:eastAsia="宋体"/>
                <w:color w:val="000000" w:themeColor="text1"/>
                <w:sz w:val="24"/>
              </w:rPr>
              <w:t>本项目及项目生产工艺、设备、产品均不在限制类、淘汰类之列，属于允许类，符合国家产业政策。</w:t>
            </w:r>
            <w:r>
              <w:rPr>
                <w:rFonts w:ascii="Times New Roman" w:hAnsi="Times New Roman" w:eastAsia="宋体"/>
                <w:color w:val="000000" w:themeColor="text1"/>
                <w:sz w:val="24"/>
              </w:rPr>
              <w:t>本项目已在河南新乡经济技术集聚区管理委员会备案（见附件</w:t>
            </w:r>
            <w:r>
              <w:rPr>
                <w:rFonts w:hint="eastAsia" w:ascii="Times New Roman" w:hAnsi="Times New Roman" w:eastAsia="宋体"/>
                <w:color w:val="000000" w:themeColor="text1"/>
                <w:sz w:val="24"/>
              </w:rPr>
              <w:t>2</w:t>
            </w:r>
            <w:r>
              <w:rPr>
                <w:rFonts w:ascii="Times New Roman" w:hAnsi="Times New Roman" w:eastAsia="宋体"/>
                <w:color w:val="000000" w:themeColor="text1"/>
                <w:sz w:val="24"/>
              </w:rPr>
              <w:t>），</w:t>
            </w:r>
            <w:r>
              <w:rPr>
                <w:rFonts w:ascii="Times New Roman" w:hAnsi="Times New Roman" w:eastAsia="宋体"/>
                <w:bCs/>
                <w:color w:val="000000" w:themeColor="text1"/>
                <w:sz w:val="24"/>
              </w:rPr>
              <w:t>项目代码：</w:t>
            </w:r>
            <w:r>
              <w:rPr>
                <w:rFonts w:ascii="Times New Roman" w:hAnsi="Times New Roman" w:eastAsia="宋体"/>
                <w:color w:val="000000" w:themeColor="text1"/>
                <w:sz w:val="24"/>
              </w:rPr>
              <w:t>2020-4107</w:t>
            </w:r>
            <w:r>
              <w:rPr>
                <w:rFonts w:hint="eastAsia" w:ascii="Times New Roman" w:hAnsi="Times New Roman" w:eastAsia="宋体"/>
                <w:color w:val="000000" w:themeColor="text1"/>
                <w:sz w:val="24"/>
              </w:rPr>
              <w:t>21</w:t>
            </w:r>
            <w:r>
              <w:rPr>
                <w:rFonts w:ascii="Times New Roman" w:hAnsi="Times New Roman" w:eastAsia="宋体"/>
                <w:color w:val="000000" w:themeColor="text1"/>
                <w:sz w:val="24"/>
              </w:rPr>
              <w:t>-</w:t>
            </w:r>
            <w:r>
              <w:rPr>
                <w:rFonts w:hint="eastAsia" w:ascii="Times New Roman" w:hAnsi="Times New Roman" w:eastAsia="宋体"/>
                <w:color w:val="000000" w:themeColor="text1"/>
                <w:sz w:val="24"/>
              </w:rPr>
              <w:t>29</w:t>
            </w:r>
            <w:r>
              <w:rPr>
                <w:rFonts w:ascii="Times New Roman" w:hAnsi="Times New Roman" w:eastAsia="宋体"/>
                <w:color w:val="000000" w:themeColor="text1"/>
                <w:sz w:val="24"/>
              </w:rPr>
              <w:t>-03-0</w:t>
            </w:r>
            <w:r>
              <w:rPr>
                <w:rFonts w:hint="eastAsia" w:ascii="Times New Roman" w:hAnsi="Times New Roman" w:eastAsia="宋体"/>
                <w:color w:val="000000" w:themeColor="text1"/>
                <w:sz w:val="24"/>
              </w:rPr>
              <w:t>64043</w:t>
            </w:r>
            <w:r>
              <w:rPr>
                <w:rFonts w:ascii="Times New Roman" w:hAnsi="Times New Roman" w:eastAsia="宋体"/>
                <w:color w:val="000000" w:themeColor="text1"/>
                <w:sz w:val="24"/>
              </w:rPr>
              <w:t>。</w:t>
            </w:r>
          </w:p>
          <w:p>
            <w:pPr>
              <w:spacing w:line="440" w:lineRule="exact"/>
              <w:ind w:firstLine="482" w:firstLineChars="200"/>
              <w:textAlignment w:val="baseline"/>
              <w:rPr>
                <w:rFonts w:ascii="Times New Roman" w:hAnsi="Times New Roman" w:eastAsia="宋体"/>
                <w:b/>
                <w:color w:val="000000" w:themeColor="text1"/>
                <w:sz w:val="24"/>
              </w:rPr>
            </w:pPr>
            <w:r>
              <w:rPr>
                <w:rFonts w:ascii="Times New Roman" w:hAnsi="Times New Roman" w:eastAsia="宋体"/>
                <w:b/>
                <w:color w:val="000000" w:themeColor="text1"/>
                <w:sz w:val="24"/>
              </w:rPr>
              <w:t>2、项目选址可行性结论</w:t>
            </w:r>
          </w:p>
          <w:p>
            <w:pPr>
              <w:adjustRightInd w:val="0"/>
              <w:snapToGrid w:val="0"/>
              <w:spacing w:line="440" w:lineRule="exact"/>
              <w:ind w:firstLine="480" w:firstLineChars="200"/>
              <w:rPr>
                <w:rFonts w:ascii="Times New Roman" w:hAnsi="Times New Roman" w:eastAsia="宋体"/>
                <w:color w:val="000000" w:themeColor="text1"/>
                <w:sz w:val="24"/>
              </w:rPr>
            </w:pPr>
            <w:r>
              <w:rPr>
                <w:rFonts w:hint="eastAsia" w:ascii="Times New Roman" w:hAnsi="Times New Roman" w:eastAsia="宋体"/>
                <w:bCs/>
                <w:color w:val="000000" w:themeColor="text1"/>
                <w:sz w:val="24"/>
              </w:rPr>
              <w:t>新乡市顺风船科技有限公司年产1200吨塑料磁吸门帘</w:t>
            </w:r>
            <w:r>
              <w:rPr>
                <w:rFonts w:ascii="Times New Roman" w:hAnsi="Times New Roman" w:eastAsia="宋体"/>
                <w:bCs/>
                <w:color w:val="000000" w:themeColor="text1"/>
                <w:sz w:val="24"/>
              </w:rPr>
              <w:t>项目</w:t>
            </w:r>
            <w:r>
              <w:rPr>
                <w:rFonts w:ascii="Times New Roman" w:hAnsi="Times New Roman" w:eastAsia="宋体"/>
                <w:color w:val="000000" w:themeColor="text1"/>
                <w:sz w:val="24"/>
              </w:rPr>
              <w:t>位于</w:t>
            </w:r>
            <w:r>
              <w:rPr>
                <w:rFonts w:ascii="Times New Roman" w:hAnsi="Times New Roman" w:eastAsia="宋体"/>
                <w:bCs/>
                <w:color w:val="000000" w:themeColor="text1"/>
                <w:sz w:val="24"/>
              </w:rPr>
              <w:t>新乡市新乡县七里营镇</w:t>
            </w:r>
            <w:r>
              <w:rPr>
                <w:rFonts w:hint="eastAsia" w:ascii="Times New Roman" w:hAnsi="Times New Roman" w:eastAsia="宋体"/>
                <w:bCs/>
                <w:color w:val="000000" w:themeColor="text1"/>
                <w:sz w:val="24"/>
              </w:rPr>
              <w:t>107国道与胡韦线交叉口中原兴业产业园，</w:t>
            </w:r>
            <w:r>
              <w:rPr>
                <w:rFonts w:ascii="Times New Roman" w:hAnsi="Times New Roman" w:eastAsia="宋体"/>
                <w:color w:val="000000" w:themeColor="text1"/>
                <w:sz w:val="24"/>
              </w:rPr>
              <w:t>利用现有</w:t>
            </w:r>
            <w:r>
              <w:rPr>
                <w:rFonts w:ascii="Times New Roman" w:hAnsi="Times New Roman" w:eastAsia="宋体"/>
                <w:bCs/>
                <w:color w:val="000000" w:themeColor="text1"/>
                <w:sz w:val="24"/>
              </w:rPr>
              <w:t>厂房</w:t>
            </w:r>
            <w:r>
              <w:rPr>
                <w:rFonts w:ascii="Times New Roman" w:hAnsi="Times New Roman" w:eastAsia="宋体"/>
                <w:color w:val="000000" w:themeColor="text1"/>
                <w:sz w:val="24"/>
              </w:rPr>
              <w:t>进行生产</w:t>
            </w:r>
            <w:r>
              <w:rPr>
                <w:rFonts w:ascii="Times New Roman" w:hAnsi="Times New Roman" w:eastAsia="宋体"/>
                <w:bCs/>
                <w:color w:val="000000" w:themeColor="text1"/>
                <w:sz w:val="24"/>
              </w:rPr>
              <w:t>，不新增占地，不办理土地手续。</w:t>
            </w:r>
            <w:r>
              <w:rPr>
                <w:rFonts w:ascii="Times New Roman" w:hAnsi="Times New Roman" w:eastAsia="宋体"/>
                <w:color w:val="000000" w:themeColor="text1"/>
                <w:sz w:val="24"/>
              </w:rPr>
              <w:t>根据</w:t>
            </w:r>
            <w:r>
              <w:rPr>
                <w:rFonts w:hint="eastAsia" w:ascii="Times New Roman" w:hAnsi="Times New Roman" w:eastAsia="宋体"/>
                <w:color w:val="000000" w:themeColor="text1"/>
                <w:sz w:val="24"/>
              </w:rPr>
              <w:t>新乡经济技术产业集聚区总体发展规划（2015-2025）-用地规划图（见附图2（1））可知，本项目所在地为工业用地；</w:t>
            </w:r>
            <w:r>
              <w:rPr>
                <w:rFonts w:ascii="Times New Roman" w:hAnsi="Times New Roman" w:eastAsia="宋体"/>
                <w:color w:val="000000" w:themeColor="text1"/>
                <w:sz w:val="24"/>
              </w:rPr>
              <w:t>根据</w:t>
            </w:r>
            <w:r>
              <w:rPr>
                <w:rFonts w:hint="eastAsia" w:ascii="Times New Roman" w:hAnsi="Times New Roman" w:eastAsia="宋体"/>
                <w:color w:val="000000" w:themeColor="text1"/>
                <w:sz w:val="24"/>
              </w:rPr>
              <w:t>新乡经济技术产业集聚区总体发展规划（2015-2025）-产业布局规划图（见附图2（2））可知，本项目位于纸制品印刷包装产业园。</w:t>
            </w:r>
          </w:p>
          <w:p>
            <w:pPr>
              <w:autoSpaceDE w:val="0"/>
              <w:autoSpaceDN w:val="0"/>
              <w:adjustRightInd w:val="0"/>
              <w:snapToGrid w:val="0"/>
              <w:spacing w:line="440" w:lineRule="exact"/>
              <w:ind w:firstLine="480" w:firstLineChars="200"/>
              <w:rPr>
                <w:rFonts w:ascii="Times New Roman" w:hAnsi="Times New Roman" w:eastAsia="宋体"/>
                <w:snapToGrid w:val="0"/>
                <w:color w:val="000000" w:themeColor="text1"/>
                <w:kern w:val="0"/>
                <w:sz w:val="24"/>
              </w:rPr>
            </w:pPr>
            <w:r>
              <w:rPr>
                <w:rFonts w:ascii="Times New Roman" w:hAnsi="Times New Roman" w:eastAsia="宋体"/>
                <w:bCs/>
                <w:color w:val="000000" w:themeColor="text1"/>
                <w:sz w:val="24"/>
              </w:rPr>
              <w:t>项目营运期</w:t>
            </w:r>
            <w:r>
              <w:rPr>
                <w:rFonts w:ascii="Times New Roman" w:hAnsi="Times New Roman" w:eastAsia="宋体"/>
                <w:color w:val="000000" w:themeColor="text1"/>
                <w:sz w:val="24"/>
              </w:rPr>
              <w:t>压合工序产生的非甲烷总烃经</w:t>
            </w:r>
            <w:r>
              <w:rPr>
                <w:rFonts w:hint="eastAsia" w:ascii="Times New Roman" w:hAnsi="Times New Roman" w:eastAsia="宋体"/>
                <w:color w:val="000000" w:themeColor="text1"/>
                <w:sz w:val="24"/>
              </w:rPr>
              <w:t>封闭集气罩（6个，新建）+“UV光催化氧化（原有）+活性炭吸附（原有）+油烟净化器（原有）+水喷淋（整改新建）”装置（1套）+15m高排气筒排放；</w:t>
            </w:r>
            <w:r>
              <w:rPr>
                <w:rFonts w:hint="eastAsia" w:ascii="Times New Roman" w:eastAsia="宋体"/>
                <w:color w:val="000000" w:themeColor="text1"/>
                <w:sz w:val="24"/>
              </w:rPr>
              <w:t>本项目利用原有职工，不新增职工人数，不新增废水；压合工序冷却水循环使用，不外排；</w:t>
            </w:r>
            <w:r>
              <w:rPr>
                <w:rFonts w:ascii="Times New Roman" w:hAnsi="Times New Roman" w:eastAsia="宋体"/>
                <w:bCs/>
                <w:color w:val="000000" w:themeColor="text1"/>
                <w:sz w:val="24"/>
              </w:rPr>
              <w:t>噪声经采取</w:t>
            </w:r>
            <w:r>
              <w:rPr>
                <w:rFonts w:hint="eastAsia" w:asciiTheme="minorEastAsia" w:hAnsiTheme="minorEastAsia" w:eastAsiaTheme="minorEastAsia"/>
                <w:color w:val="000000" w:themeColor="text1"/>
                <w:sz w:val="24"/>
              </w:rPr>
              <w:t>基础减振、距离衰减、厂房隔声</w:t>
            </w:r>
            <w:r>
              <w:rPr>
                <w:rFonts w:ascii="Times New Roman" w:hAnsi="Times New Roman" w:eastAsia="宋体"/>
                <w:color w:val="000000" w:themeColor="text1"/>
                <w:kern w:val="0"/>
                <w:sz w:val="24"/>
              </w:rPr>
              <w:t>等</w:t>
            </w:r>
            <w:r>
              <w:rPr>
                <w:rFonts w:ascii="Times New Roman" w:hAnsi="Times New Roman" w:eastAsia="宋体"/>
                <w:bCs/>
                <w:color w:val="000000" w:themeColor="text1"/>
                <w:sz w:val="24"/>
              </w:rPr>
              <w:t>措施后能满足</w:t>
            </w:r>
            <w:r>
              <w:rPr>
                <w:rFonts w:ascii="Times New Roman" w:hAnsi="Times New Roman" w:eastAsia="宋体"/>
                <w:snapToGrid w:val="0"/>
                <w:color w:val="000000" w:themeColor="text1"/>
                <w:kern w:val="0"/>
                <w:sz w:val="24"/>
              </w:rPr>
              <w:t>《工业企业厂界环境噪声排放标准》（GB12348-2008）</w:t>
            </w:r>
            <w:r>
              <w:rPr>
                <w:rFonts w:hint="eastAsia" w:ascii="Times New Roman" w:hAnsi="Times New Roman" w:eastAsia="宋体"/>
                <w:snapToGrid w:val="0"/>
                <w:color w:val="000000" w:themeColor="text1"/>
                <w:kern w:val="0"/>
                <w:sz w:val="24"/>
              </w:rPr>
              <w:t>3</w:t>
            </w:r>
            <w:r>
              <w:rPr>
                <w:rFonts w:ascii="Times New Roman" w:hAnsi="Times New Roman" w:eastAsia="宋体"/>
                <w:snapToGrid w:val="0"/>
                <w:color w:val="000000" w:themeColor="text1"/>
                <w:kern w:val="0"/>
                <w:sz w:val="24"/>
              </w:rPr>
              <w:t>类标准；固体废物得到妥善处置。对周围环境的影响可以接受。</w:t>
            </w:r>
          </w:p>
          <w:p>
            <w:pPr>
              <w:autoSpaceDE w:val="0"/>
              <w:autoSpaceDN w:val="0"/>
              <w:adjustRightInd w:val="0"/>
              <w:snapToGrid w:val="0"/>
              <w:spacing w:line="440" w:lineRule="exact"/>
              <w:ind w:firstLine="480" w:firstLineChars="200"/>
              <w:rPr>
                <w:rFonts w:ascii="Times New Roman" w:hAnsi="Times New Roman" w:eastAsia="宋体"/>
                <w:color w:val="000000" w:themeColor="text1"/>
                <w:sz w:val="24"/>
              </w:rPr>
            </w:pPr>
            <w:r>
              <w:rPr>
                <w:rFonts w:ascii="Times New Roman" w:hAnsi="Times New Roman" w:eastAsia="宋体"/>
                <w:bCs/>
                <w:color w:val="000000" w:themeColor="text1"/>
                <w:sz w:val="24"/>
              </w:rPr>
              <w:t>终上所述，</w:t>
            </w:r>
            <w:r>
              <w:rPr>
                <w:rFonts w:ascii="Times New Roman" w:hAnsi="Times New Roman" w:eastAsia="宋体"/>
                <w:color w:val="000000" w:themeColor="text1"/>
                <w:sz w:val="24"/>
              </w:rPr>
              <w:t>评价认为本项目选址可行。</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line="440" w:lineRule="exact"/>
              <w:ind w:firstLine="482" w:firstLineChars="200"/>
              <w:rPr>
                <w:rFonts w:ascii="Times New Roman" w:hAnsi="Times New Roman" w:eastAsia="宋体"/>
                <w:b/>
                <w:color w:val="000000" w:themeColor="text1"/>
                <w:sz w:val="24"/>
              </w:rPr>
            </w:pPr>
            <w:r>
              <w:rPr>
                <w:rFonts w:ascii="Times New Roman" w:hAnsi="Times New Roman" w:eastAsia="宋体"/>
                <w:b/>
                <w:color w:val="000000" w:themeColor="text1"/>
                <w:sz w:val="24"/>
              </w:rPr>
              <w:t>3、项目营运过程中产生的各项污染物均采取了有效的处置措施，可以满足相应的排放标准要求</w:t>
            </w:r>
          </w:p>
          <w:p>
            <w:pPr>
              <w:spacing w:line="440" w:lineRule="exact"/>
              <w:ind w:firstLine="480" w:firstLineChars="200"/>
              <w:rPr>
                <w:rFonts w:ascii="Times New Roman" w:hAnsi="Times New Roman" w:eastAsia="宋体"/>
                <w:b/>
                <w:color w:val="000000" w:themeColor="text1"/>
                <w:sz w:val="24"/>
              </w:rPr>
            </w:pPr>
            <w:r>
              <w:rPr>
                <w:rFonts w:ascii="Times New Roman" w:hAnsi="Times New Roman" w:eastAsia="宋体"/>
                <w:bCs/>
                <w:color w:val="000000" w:themeColor="text1"/>
                <w:sz w:val="24"/>
              </w:rPr>
              <w:t>（1）废气</w:t>
            </w:r>
          </w:p>
          <w:p>
            <w:pPr>
              <w:adjustRightInd w:val="0"/>
              <w:snapToGrid w:val="0"/>
              <w:spacing w:line="440" w:lineRule="exact"/>
              <w:ind w:firstLine="480" w:firstLineChars="200"/>
              <w:textAlignment w:val="baseline"/>
              <w:rPr>
                <w:rFonts w:ascii="Times New Roman" w:hAnsi="Times New Roman" w:eastAsia="宋体"/>
                <w:color w:val="000000" w:themeColor="text1"/>
                <w:sz w:val="24"/>
              </w:rPr>
            </w:pPr>
            <w:r>
              <w:rPr>
                <w:rFonts w:ascii="Times New Roman" w:hAnsi="Times New Roman" w:eastAsia="宋体"/>
                <w:color w:val="000000" w:themeColor="text1"/>
                <w:kern w:val="0"/>
                <w:sz w:val="24"/>
              </w:rPr>
              <w:t>本项目废气主要为</w:t>
            </w:r>
            <w:r>
              <w:rPr>
                <w:rFonts w:hint="eastAsia" w:ascii="Times New Roman" w:hAnsi="Times New Roman" w:eastAsia="宋体"/>
                <w:color w:val="000000" w:themeColor="text1"/>
                <w:sz w:val="24"/>
              </w:rPr>
              <w:t>压合工序产生的非甲烷总烃；</w:t>
            </w:r>
          </w:p>
          <w:p>
            <w:pPr>
              <w:adjustRightInd w:val="0"/>
              <w:snapToGrid w:val="0"/>
              <w:spacing w:line="440" w:lineRule="exact"/>
              <w:ind w:firstLine="480" w:firstLineChars="200"/>
              <w:textAlignment w:val="baseline"/>
              <w:rPr>
                <w:rFonts w:ascii="Times New Roman" w:hAnsi="Times New Roman" w:eastAsia="宋体"/>
                <w:color w:val="000000" w:themeColor="text1"/>
                <w:sz w:val="24"/>
              </w:rPr>
            </w:pPr>
            <w:r>
              <w:rPr>
                <w:rFonts w:hint="eastAsia" w:ascii="Times New Roman" w:hAnsi="Times New Roman" w:eastAsia="宋体"/>
                <w:color w:val="000000" w:themeColor="text1"/>
                <w:sz w:val="24"/>
              </w:rPr>
              <w:t>本项目压合工序产生的非甲烷总烃</w:t>
            </w:r>
            <w:r>
              <w:rPr>
                <w:rFonts w:ascii="Times New Roman" w:hAnsi="Times New Roman" w:eastAsia="宋体"/>
                <w:color w:val="000000" w:themeColor="text1"/>
                <w:sz w:val="24"/>
              </w:rPr>
              <w:t>经</w:t>
            </w:r>
            <w:r>
              <w:rPr>
                <w:rFonts w:hint="eastAsia" w:ascii="Times New Roman" w:hAnsi="Times New Roman" w:eastAsia="宋体"/>
                <w:color w:val="000000" w:themeColor="text1"/>
                <w:sz w:val="24"/>
              </w:rPr>
              <w:t>封闭罩（6个，新建，</w:t>
            </w:r>
            <w:r>
              <w:rPr>
                <w:rFonts w:ascii="Times New Roman" w:hAnsi="Times New Roman" w:eastAsia="宋体"/>
                <w:color w:val="000000" w:themeColor="text1"/>
                <w:spacing w:val="-5"/>
                <w:sz w:val="24"/>
              </w:rPr>
              <w:t>收集效率为95%</w:t>
            </w:r>
            <w:r>
              <w:rPr>
                <w:rFonts w:hint="eastAsia" w:ascii="Times New Roman" w:hAnsi="Times New Roman" w:eastAsia="宋体"/>
                <w:color w:val="000000" w:themeColor="text1"/>
                <w:sz w:val="24"/>
              </w:rPr>
              <w:t>）+“</w:t>
            </w:r>
            <w:r>
              <w:rPr>
                <w:rFonts w:ascii="Times New Roman" w:hAnsi="Times New Roman" w:eastAsia="宋体"/>
                <w:color w:val="000000" w:themeColor="text1"/>
                <w:sz w:val="24"/>
              </w:rPr>
              <w:t>UV光催化氧化</w:t>
            </w:r>
            <w:r>
              <w:rPr>
                <w:rFonts w:hint="eastAsia" w:ascii="Times New Roman" w:hAnsi="Times New Roman" w:eastAsia="宋体"/>
                <w:color w:val="000000" w:themeColor="text1"/>
                <w:sz w:val="24"/>
              </w:rPr>
              <w:t>（原有）</w:t>
            </w:r>
            <w:r>
              <w:rPr>
                <w:rFonts w:ascii="Times New Roman" w:hAnsi="Times New Roman" w:eastAsia="宋体"/>
                <w:color w:val="000000" w:themeColor="text1"/>
                <w:sz w:val="24"/>
              </w:rPr>
              <w:t>+活性炭吸附</w:t>
            </w:r>
            <w:r>
              <w:rPr>
                <w:rFonts w:hint="eastAsia" w:ascii="Times New Roman" w:hAnsi="Times New Roman" w:eastAsia="宋体"/>
                <w:color w:val="000000" w:themeColor="text1"/>
                <w:sz w:val="24"/>
              </w:rPr>
              <w:t>（原有）+油烟净化器（原有）+水喷淋（整改新建）”装置</w:t>
            </w:r>
            <w:r>
              <w:rPr>
                <w:rFonts w:hint="eastAsia" w:ascii="Times New Roman" w:hAnsi="Times New Roman" w:eastAsia="宋体"/>
                <w:bCs/>
                <w:color w:val="000000" w:themeColor="text1"/>
                <w:sz w:val="24"/>
              </w:rPr>
              <w:t>（1套，</w:t>
            </w:r>
            <w:r>
              <w:rPr>
                <w:rFonts w:hint="eastAsia" w:ascii="Times New Roman" w:hAnsi="Times New Roman" w:eastAsia="宋体"/>
                <w:color w:val="000000" w:themeColor="text1"/>
                <w:sz w:val="24"/>
              </w:rPr>
              <w:t>非甲烷总烃净化效率为80%</w:t>
            </w:r>
            <w:r>
              <w:rPr>
                <w:rFonts w:hint="eastAsia" w:ascii="Times New Roman" w:hAnsi="Times New Roman" w:eastAsia="宋体"/>
                <w:bCs/>
                <w:color w:val="000000" w:themeColor="text1"/>
                <w:sz w:val="24"/>
              </w:rPr>
              <w:t>）</w:t>
            </w:r>
            <w:r>
              <w:rPr>
                <w:rFonts w:ascii="Times New Roman" w:hAnsi="Times New Roman" w:eastAsia="宋体"/>
                <w:color w:val="000000" w:themeColor="text1"/>
                <w:sz w:val="24"/>
              </w:rPr>
              <w:t>+</w:t>
            </w:r>
            <w:r>
              <w:rPr>
                <w:rFonts w:hint="eastAsia" w:ascii="Times New Roman" w:hAnsi="Times New Roman" w:eastAsia="宋体"/>
                <w:color w:val="000000" w:themeColor="text1"/>
                <w:spacing w:val="-4"/>
                <w:sz w:val="24"/>
              </w:rPr>
              <w:t>15m排气筒排放</w:t>
            </w:r>
            <w:r>
              <w:rPr>
                <w:rFonts w:hint="eastAsia" w:ascii="Times New Roman" w:hAnsi="Times New Roman" w:eastAsia="宋体"/>
                <w:color w:val="000000" w:themeColor="text1"/>
                <w:sz w:val="24"/>
              </w:rPr>
              <w:t>。非甲烷总烃</w:t>
            </w:r>
            <w:r>
              <w:rPr>
                <w:rFonts w:ascii="Times New Roman" w:hAnsi="Times New Roman" w:eastAsia="宋体"/>
                <w:color w:val="000000" w:themeColor="text1"/>
                <w:sz w:val="24"/>
              </w:rPr>
              <w:t>的排放量为</w:t>
            </w:r>
            <w:r>
              <w:rPr>
                <w:rFonts w:hint="eastAsia" w:ascii="Times New Roman" w:hAnsi="Times New Roman" w:eastAsia="宋体"/>
                <w:color w:val="000000" w:themeColor="text1"/>
                <w:sz w:val="24"/>
              </w:rPr>
              <w:t>0.0543t/a，</w:t>
            </w:r>
            <w:r>
              <w:rPr>
                <w:rFonts w:ascii="Times New Roman" w:hAnsi="Times New Roman" w:eastAsia="宋体"/>
                <w:color w:val="000000" w:themeColor="text1"/>
                <w:sz w:val="24"/>
              </w:rPr>
              <w:t>排放速率为</w:t>
            </w:r>
            <w:r>
              <w:rPr>
                <w:rFonts w:hint="eastAsia" w:ascii="Times New Roman" w:hAnsi="Times New Roman" w:eastAsia="宋体"/>
                <w:color w:val="000000" w:themeColor="text1"/>
                <w:sz w:val="24"/>
              </w:rPr>
              <w:t>0.0302kg/h，</w:t>
            </w:r>
            <w:r>
              <w:rPr>
                <w:rFonts w:ascii="Times New Roman" w:hAnsi="Times New Roman" w:eastAsia="宋体"/>
                <w:color w:val="000000" w:themeColor="text1"/>
                <w:sz w:val="24"/>
              </w:rPr>
              <w:t>排放浓度为</w:t>
            </w:r>
            <w:r>
              <w:rPr>
                <w:rFonts w:hint="eastAsia" w:ascii="Times New Roman" w:hAnsi="Times New Roman" w:eastAsia="宋体"/>
                <w:color w:val="000000" w:themeColor="text1"/>
                <w:sz w:val="24"/>
              </w:rPr>
              <w:t>15.1mg/m</w:t>
            </w:r>
            <w:r>
              <w:rPr>
                <w:rFonts w:hint="eastAsia" w:ascii="Times New Roman" w:hAnsi="Times New Roman" w:eastAsia="宋体"/>
                <w:color w:val="000000" w:themeColor="text1"/>
                <w:sz w:val="24"/>
                <w:vertAlign w:val="superscript"/>
              </w:rPr>
              <w:t>3</w:t>
            </w:r>
            <w:r>
              <w:rPr>
                <w:rFonts w:hint="eastAsia" w:ascii="Times New Roman" w:hAnsi="Times New Roman" w:eastAsia="宋体"/>
                <w:color w:val="000000" w:themeColor="text1"/>
                <w:sz w:val="24"/>
              </w:rPr>
              <w:t>，</w:t>
            </w:r>
            <w:r>
              <w:rPr>
                <w:rFonts w:hint="eastAsia" w:ascii="Times New Roman" w:eastAsia="宋体"/>
                <w:color w:val="000000" w:themeColor="text1"/>
                <w:sz w:val="24"/>
              </w:rPr>
              <w:t>能够满足</w:t>
            </w:r>
            <w:r>
              <w:rPr>
                <w:rFonts w:hint="eastAsia" w:ascii="Times New Roman" w:eastAsia="宋体"/>
                <w:b/>
                <w:color w:val="000000" w:themeColor="text1"/>
                <w:sz w:val="24"/>
                <w:u w:val="single"/>
              </w:rPr>
              <w:t>《关于全省开展工业企业挥发性有机物专项治理工作中排放建议值的通知》（豫环攻坚办</w:t>
            </w:r>
            <w:r>
              <w:rPr>
                <w:rFonts w:hint="eastAsia" w:ascii="Times New Roman" w:hAnsi="Times New Roman" w:eastAsia="宋体"/>
                <w:b/>
                <w:color w:val="000000" w:themeColor="text1"/>
                <w:sz w:val="24"/>
                <w:u w:val="single"/>
              </w:rPr>
              <w:t>[2017]162</w:t>
            </w:r>
            <w:r>
              <w:rPr>
                <w:rFonts w:hint="eastAsia" w:ascii="Times New Roman" w:eastAsia="宋体"/>
                <w:b/>
                <w:color w:val="000000" w:themeColor="text1"/>
                <w:sz w:val="24"/>
                <w:u w:val="single"/>
              </w:rPr>
              <w:t>号文）中工业企业挥发性有机物排放口非甲烷总烃排放建议值（有机废气排放口</w:t>
            </w:r>
            <w:r>
              <w:rPr>
                <w:rFonts w:hint="eastAsia" w:ascii="Times New Roman" w:hAnsi="Times New Roman" w:eastAsia="宋体"/>
                <w:b/>
                <w:color w:val="000000" w:themeColor="text1"/>
                <w:sz w:val="24"/>
                <w:u w:val="single"/>
              </w:rPr>
              <w:t>80mg/m</w:t>
            </w:r>
            <w:r>
              <w:rPr>
                <w:rFonts w:hint="eastAsia" w:ascii="Times New Roman" w:hAnsi="Times New Roman" w:eastAsia="宋体"/>
                <w:b/>
                <w:color w:val="000000" w:themeColor="text1"/>
                <w:sz w:val="24"/>
                <w:u w:val="single"/>
                <w:vertAlign w:val="superscript"/>
              </w:rPr>
              <w:t>3</w:t>
            </w:r>
            <w:r>
              <w:rPr>
                <w:rFonts w:hint="eastAsia" w:ascii="Times New Roman" w:eastAsia="宋体"/>
                <w:b/>
                <w:color w:val="000000" w:themeColor="text1"/>
                <w:sz w:val="24"/>
                <w:u w:val="single"/>
              </w:rPr>
              <w:t>）和《烧碱、聚氯乙烯工业污染物排放标准》</w:t>
            </w:r>
            <w:r>
              <w:rPr>
                <w:rFonts w:ascii="Times New Roman" w:eastAsia="宋体"/>
                <w:b/>
                <w:color w:val="000000" w:themeColor="text1"/>
                <w:sz w:val="24"/>
                <w:u w:val="single"/>
              </w:rPr>
              <w:t>（</w:t>
            </w:r>
            <w:r>
              <w:rPr>
                <w:rFonts w:ascii="Times New Roman" w:hAnsi="Times New Roman" w:eastAsia="宋体"/>
                <w:b/>
                <w:color w:val="000000" w:themeColor="text1"/>
                <w:sz w:val="24"/>
                <w:u w:val="single"/>
              </w:rPr>
              <w:t>GB</w:t>
            </w:r>
            <w:r>
              <w:rPr>
                <w:rFonts w:hint="eastAsia" w:ascii="Times New Roman" w:hAnsi="Times New Roman" w:eastAsia="宋体"/>
                <w:b/>
                <w:color w:val="000000" w:themeColor="text1"/>
                <w:sz w:val="24"/>
                <w:u w:val="single"/>
              </w:rPr>
              <w:t>15581</w:t>
            </w:r>
            <w:r>
              <w:rPr>
                <w:rFonts w:ascii="Times New Roman" w:hAnsi="Times New Roman" w:eastAsia="宋体"/>
                <w:b/>
                <w:color w:val="000000" w:themeColor="text1"/>
                <w:sz w:val="24"/>
                <w:u w:val="single"/>
              </w:rPr>
              <w:t>-</w:t>
            </w:r>
            <w:r>
              <w:rPr>
                <w:rFonts w:hint="eastAsia" w:ascii="Times New Roman" w:hAnsi="Times New Roman" w:eastAsia="宋体"/>
                <w:b/>
                <w:color w:val="000000" w:themeColor="text1"/>
                <w:sz w:val="24"/>
                <w:u w:val="single"/>
              </w:rPr>
              <w:t>2016</w:t>
            </w:r>
            <w:r>
              <w:rPr>
                <w:rFonts w:ascii="Times New Roman" w:eastAsia="宋体"/>
                <w:b/>
                <w:color w:val="000000" w:themeColor="text1"/>
                <w:sz w:val="24"/>
                <w:u w:val="single"/>
              </w:rPr>
              <w:t>）表</w:t>
            </w:r>
            <w:r>
              <w:rPr>
                <w:rFonts w:hint="eastAsia" w:ascii="Times New Roman" w:hAnsi="Times New Roman" w:eastAsia="宋体"/>
                <w:b/>
                <w:color w:val="000000" w:themeColor="text1"/>
                <w:sz w:val="24"/>
                <w:u w:val="single"/>
              </w:rPr>
              <w:t>4</w:t>
            </w:r>
            <w:r>
              <w:rPr>
                <w:rFonts w:hint="eastAsia" w:ascii="Times New Roman" w:eastAsia="宋体"/>
                <w:b/>
                <w:color w:val="000000" w:themeColor="text1"/>
                <w:sz w:val="24"/>
                <w:u w:val="single"/>
              </w:rPr>
              <w:t>标准（非甲烷总烃</w:t>
            </w:r>
            <w:r>
              <w:rPr>
                <w:rFonts w:hint="eastAsia" w:ascii="Times New Roman" w:eastAsia="宋体"/>
                <w:b/>
                <w:bCs/>
                <w:color w:val="000000" w:themeColor="text1"/>
                <w:sz w:val="24"/>
                <w:u w:val="single"/>
              </w:rPr>
              <w:t>排放限值</w:t>
            </w:r>
            <w:r>
              <w:rPr>
                <w:rFonts w:hint="eastAsia" w:ascii="Times New Roman" w:hAnsi="Times New Roman" w:eastAsia="宋体"/>
                <w:b/>
                <w:bCs/>
                <w:color w:val="000000" w:themeColor="text1"/>
                <w:sz w:val="24"/>
                <w:u w:val="single"/>
              </w:rPr>
              <w:t>20</w:t>
            </w:r>
            <w:r>
              <w:rPr>
                <w:rFonts w:ascii="Times New Roman" w:hAnsi="Times New Roman" w:eastAsia="宋体"/>
                <w:b/>
                <w:bCs/>
                <w:color w:val="000000" w:themeColor="text1"/>
                <w:sz w:val="24"/>
                <w:u w:val="single"/>
              </w:rPr>
              <w:t>mg/m</w:t>
            </w:r>
            <w:r>
              <w:rPr>
                <w:rFonts w:ascii="Times New Roman" w:hAnsi="Times New Roman" w:eastAsia="宋体"/>
                <w:b/>
                <w:bCs/>
                <w:color w:val="000000" w:themeColor="text1"/>
                <w:sz w:val="24"/>
                <w:u w:val="single"/>
                <w:vertAlign w:val="superscript"/>
              </w:rPr>
              <w:t>3</w:t>
            </w:r>
            <w:r>
              <w:rPr>
                <w:rFonts w:hint="eastAsia" w:ascii="Times New Roman" w:eastAsia="宋体"/>
                <w:b/>
                <w:color w:val="000000" w:themeColor="text1"/>
                <w:sz w:val="24"/>
                <w:u w:val="single"/>
              </w:rPr>
              <w:t>）的要求。</w:t>
            </w:r>
            <w:r>
              <w:rPr>
                <w:rFonts w:hint="eastAsia" w:ascii="Times New Roman" w:hAnsi="Times New Roman" w:eastAsia="宋体"/>
                <w:b/>
                <w:color w:val="000000" w:themeColor="text1"/>
                <w:sz w:val="24"/>
                <w:u w:val="single"/>
              </w:rPr>
              <w:t>压合工序有机废气的处理效率为80%，可以满足</w:t>
            </w:r>
            <w:r>
              <w:rPr>
                <w:rFonts w:ascii="Times New Roman" w:hAnsi="Times New Roman" w:eastAsia="宋体"/>
                <w:b/>
                <w:color w:val="000000" w:themeColor="text1"/>
                <w:sz w:val="24"/>
                <w:u w:val="single"/>
                <w:lang w:val="pt-BR"/>
              </w:rPr>
              <w:t>《</w:t>
            </w:r>
            <w:r>
              <w:rPr>
                <w:rFonts w:ascii="Times New Roman" w:hAnsi="Times New Roman" w:eastAsia="宋体"/>
                <w:b/>
                <w:color w:val="000000" w:themeColor="text1"/>
                <w:sz w:val="24"/>
                <w:u w:val="single"/>
              </w:rPr>
              <w:t>新乡市2020年大气污染防治攻坚战实施方案</w:t>
            </w:r>
            <w:r>
              <w:rPr>
                <w:rFonts w:ascii="Times New Roman" w:hAnsi="Times New Roman" w:eastAsia="宋体"/>
                <w:b/>
                <w:color w:val="000000" w:themeColor="text1"/>
                <w:sz w:val="24"/>
                <w:u w:val="single"/>
                <w:lang w:val="pt-BR"/>
              </w:rPr>
              <w:t>》</w:t>
            </w:r>
            <w:r>
              <w:rPr>
                <w:rFonts w:ascii="Times New Roman" w:hAnsi="Times New Roman" w:eastAsia="宋体"/>
                <w:b/>
                <w:color w:val="000000" w:themeColor="text1"/>
                <w:sz w:val="24"/>
                <w:u w:val="single"/>
              </w:rPr>
              <w:t>（新环攻坚办〔2020〕10号）</w:t>
            </w:r>
            <w:r>
              <w:rPr>
                <w:rFonts w:hint="eastAsia" w:ascii="Times New Roman" w:hAnsi="Times New Roman" w:eastAsia="宋体"/>
                <w:b/>
                <w:color w:val="000000" w:themeColor="text1"/>
                <w:sz w:val="24"/>
                <w:u w:val="single"/>
              </w:rPr>
              <w:t>（七）深化挥发性有机物污染治理要求（36.加强废气收集和处理：</w:t>
            </w:r>
            <w:r>
              <w:rPr>
                <w:rFonts w:ascii="Times New Roman" w:hAnsi="Times New Roman" w:eastAsia="宋体"/>
                <w:b/>
                <w:color w:val="000000" w:themeColor="text1"/>
                <w:sz w:val="24"/>
                <w:u w:val="single"/>
              </w:rPr>
              <w:t>VOCs</w:t>
            </w:r>
            <w:r>
              <w:rPr>
                <w:rFonts w:ascii="Times New Roman" w:eastAsia="宋体"/>
                <w:b/>
                <w:color w:val="000000" w:themeColor="text1"/>
                <w:kern w:val="0"/>
                <w:sz w:val="24"/>
                <w:u w:val="single"/>
                <w:shd w:val="clear" w:color="auto" w:fill="FFFFFF"/>
              </w:rPr>
              <w:t>去除效率不低于</w:t>
            </w:r>
            <w:r>
              <w:rPr>
                <w:rFonts w:ascii="Times New Roman" w:hAnsi="Times New Roman" w:eastAsia="宋体"/>
                <w:b/>
                <w:color w:val="000000" w:themeColor="text1"/>
                <w:kern w:val="0"/>
                <w:sz w:val="24"/>
                <w:u w:val="single"/>
                <w:shd w:val="clear" w:color="auto" w:fill="FFFFFF"/>
              </w:rPr>
              <w:t>80%</w:t>
            </w:r>
            <w:r>
              <w:rPr>
                <w:rFonts w:hint="eastAsia" w:ascii="Times New Roman" w:hAnsi="Times New Roman" w:eastAsia="宋体"/>
                <w:b/>
                <w:color w:val="000000" w:themeColor="text1"/>
                <w:sz w:val="24"/>
                <w:u w:val="single"/>
              </w:rPr>
              <w:t>）。</w:t>
            </w:r>
          </w:p>
          <w:p>
            <w:pPr>
              <w:pStyle w:val="131"/>
              <w:spacing w:line="440" w:lineRule="exact"/>
              <w:ind w:firstLine="480" w:firstLineChars="200"/>
              <w:jc w:val="both"/>
              <w:rPr>
                <w:rFonts w:ascii="Times New Roman" w:hAnsi="Times New Roman" w:eastAsia="宋体"/>
                <w:bCs/>
                <w:color w:val="000000" w:themeColor="text1"/>
              </w:rPr>
            </w:pPr>
            <w:r>
              <w:rPr>
                <w:rFonts w:hint="eastAsia" w:ascii="Times New Roman" w:hAnsi="Times New Roman" w:eastAsia="宋体"/>
                <w:color w:val="000000" w:themeColor="text1"/>
              </w:rPr>
              <w:t>未经集气罩收集的非甲烷总烃产生量为</w:t>
            </w:r>
            <w:r>
              <w:rPr>
                <w:rFonts w:ascii="Times New Roman" w:hAnsi="Times New Roman" w:eastAsia="宋体"/>
                <w:color w:val="000000" w:themeColor="text1"/>
              </w:rPr>
              <w:t>0.</w:t>
            </w:r>
            <w:r>
              <w:rPr>
                <w:rFonts w:hint="eastAsia" w:ascii="Times New Roman" w:hAnsi="Times New Roman" w:eastAsia="宋体"/>
                <w:color w:val="000000" w:themeColor="text1"/>
              </w:rPr>
              <w:t>0143</w:t>
            </w:r>
            <w:r>
              <w:rPr>
                <w:rFonts w:ascii="Times New Roman" w:hAnsi="Times New Roman" w:eastAsia="宋体"/>
                <w:color w:val="000000" w:themeColor="text1"/>
              </w:rPr>
              <w:t>t/a</w:t>
            </w:r>
            <w:r>
              <w:rPr>
                <w:rFonts w:hint="eastAsia" w:ascii="Times New Roman" w:hAnsi="Times New Roman" w:eastAsia="宋体"/>
                <w:color w:val="000000" w:themeColor="text1"/>
              </w:rPr>
              <w:t>（即</w:t>
            </w:r>
            <w:r>
              <w:rPr>
                <w:rFonts w:ascii="Times New Roman" w:hAnsi="Times New Roman" w:eastAsia="宋体"/>
                <w:color w:val="000000" w:themeColor="text1"/>
              </w:rPr>
              <w:t>0.</w:t>
            </w:r>
            <w:r>
              <w:rPr>
                <w:rFonts w:hint="eastAsia" w:ascii="Times New Roman" w:hAnsi="Times New Roman" w:eastAsia="宋体"/>
                <w:color w:val="000000" w:themeColor="text1"/>
              </w:rPr>
              <w:t>0079</w:t>
            </w:r>
            <w:r>
              <w:rPr>
                <w:rFonts w:ascii="Times New Roman" w:hAnsi="Times New Roman" w:eastAsia="宋体"/>
                <w:color w:val="000000" w:themeColor="text1"/>
              </w:rPr>
              <w:t>kg/h</w:t>
            </w:r>
            <w:r>
              <w:rPr>
                <w:rFonts w:hint="eastAsia" w:ascii="Times New Roman" w:hAnsi="Times New Roman" w:eastAsia="宋体"/>
                <w:color w:val="000000" w:themeColor="text1"/>
              </w:rPr>
              <w:t>），以无组织形式外排</w:t>
            </w:r>
            <w:r>
              <w:rPr>
                <w:rFonts w:hint="eastAsia" w:ascii="Times New Roman" w:hAnsi="Times New Roman" w:eastAsia="宋体"/>
                <w:bCs/>
                <w:color w:val="000000" w:themeColor="text1"/>
              </w:rPr>
              <w:t>，能够满足</w:t>
            </w:r>
            <w:r>
              <w:rPr>
                <w:rFonts w:hint="eastAsia" w:ascii="Times New Roman" w:eastAsia="宋体"/>
                <w:b/>
                <w:color w:val="000000" w:themeColor="text1"/>
                <w:u w:val="single"/>
              </w:rPr>
              <w:t>《关于全省开展工业企业挥发性有机物专项治理工作中排放建议值的通知》（豫环攻坚办</w:t>
            </w:r>
            <w:r>
              <w:rPr>
                <w:rFonts w:hint="eastAsia" w:ascii="Times New Roman" w:hAnsi="Times New Roman" w:eastAsia="宋体"/>
                <w:b/>
                <w:color w:val="000000" w:themeColor="text1"/>
                <w:u w:val="single"/>
              </w:rPr>
              <w:t>[2017]162</w:t>
            </w:r>
            <w:r>
              <w:rPr>
                <w:rFonts w:hint="eastAsia" w:ascii="Times New Roman" w:eastAsia="宋体"/>
                <w:b/>
                <w:color w:val="000000" w:themeColor="text1"/>
                <w:u w:val="single"/>
              </w:rPr>
              <w:t>号文）（生产车间或生产设备边界挥发性有机物排放建议值非甲烷总烃4.0</w:t>
            </w:r>
            <w:r>
              <w:rPr>
                <w:rFonts w:hint="eastAsia" w:ascii="Times New Roman" w:hAnsi="Times New Roman" w:eastAsia="宋体"/>
                <w:b/>
                <w:color w:val="000000" w:themeColor="text1"/>
                <w:u w:val="single"/>
              </w:rPr>
              <w:t>mg/m</w:t>
            </w:r>
            <w:r>
              <w:rPr>
                <w:rFonts w:hint="eastAsia" w:ascii="Times New Roman" w:hAnsi="Times New Roman" w:eastAsia="宋体"/>
                <w:b/>
                <w:color w:val="000000" w:themeColor="text1"/>
                <w:u w:val="single"/>
                <w:vertAlign w:val="superscript"/>
              </w:rPr>
              <w:t>3</w:t>
            </w:r>
            <w:r>
              <w:rPr>
                <w:rFonts w:hint="eastAsia" w:ascii="Times New Roman" w:eastAsia="宋体"/>
                <w:b/>
                <w:color w:val="000000" w:themeColor="text1"/>
                <w:u w:val="single"/>
              </w:rPr>
              <w:t>，工业企业边界挥发性有机物排放建议值非甲烷总烃2.0</w:t>
            </w:r>
            <w:r>
              <w:rPr>
                <w:rFonts w:hint="eastAsia" w:ascii="Times New Roman" w:hAnsi="Times New Roman" w:eastAsia="宋体"/>
                <w:b/>
                <w:color w:val="000000" w:themeColor="text1"/>
                <w:u w:val="single"/>
              </w:rPr>
              <w:t>mg/m</w:t>
            </w:r>
            <w:r>
              <w:rPr>
                <w:rFonts w:hint="eastAsia" w:ascii="Times New Roman" w:hAnsi="Times New Roman" w:eastAsia="宋体"/>
                <w:b/>
                <w:color w:val="000000" w:themeColor="text1"/>
                <w:u w:val="single"/>
                <w:vertAlign w:val="superscript"/>
              </w:rPr>
              <w:t>3</w:t>
            </w:r>
            <w:r>
              <w:rPr>
                <w:rFonts w:hint="eastAsia" w:ascii="Times New Roman" w:eastAsia="宋体"/>
                <w:b/>
                <w:color w:val="000000" w:themeColor="text1"/>
                <w:u w:val="single"/>
              </w:rPr>
              <w:t>）。</w:t>
            </w:r>
          </w:p>
          <w:p>
            <w:pPr>
              <w:adjustRightInd w:val="0"/>
              <w:snapToGrid w:val="0"/>
              <w:spacing w:line="440" w:lineRule="exact"/>
              <w:ind w:firstLine="480" w:firstLineChars="200"/>
              <w:textAlignment w:val="baseline"/>
              <w:rPr>
                <w:rFonts w:ascii="Times New Roman" w:hAnsi="Times New Roman" w:eastAsia="宋体"/>
                <w:color w:val="000000" w:themeColor="text1"/>
                <w:sz w:val="24"/>
                <w:lang w:val="en-GB"/>
              </w:rPr>
            </w:pPr>
            <w:r>
              <w:rPr>
                <w:rFonts w:ascii="Times New Roman" w:hAnsi="Times New Roman" w:eastAsia="宋体"/>
                <w:color w:val="000000" w:themeColor="text1"/>
                <w:sz w:val="24"/>
                <w:lang w:val="en-GB"/>
              </w:rPr>
              <w:t>（</w:t>
            </w:r>
            <w:r>
              <w:rPr>
                <w:rFonts w:ascii="Times New Roman" w:hAnsi="Times New Roman" w:eastAsia="宋体"/>
                <w:color w:val="000000" w:themeColor="text1"/>
                <w:sz w:val="24"/>
              </w:rPr>
              <w:t>2</w:t>
            </w:r>
            <w:r>
              <w:rPr>
                <w:rFonts w:ascii="Times New Roman" w:hAnsi="Times New Roman" w:eastAsia="宋体"/>
                <w:color w:val="000000" w:themeColor="text1"/>
                <w:sz w:val="24"/>
                <w:lang w:val="en-GB"/>
              </w:rPr>
              <w:t>）水环境影响分析结论</w:t>
            </w:r>
          </w:p>
          <w:p>
            <w:pPr>
              <w:adjustRightInd w:val="0"/>
              <w:snapToGrid w:val="0"/>
              <w:spacing w:line="440" w:lineRule="exact"/>
              <w:ind w:firstLine="480" w:firstLineChars="200"/>
              <w:rPr>
                <w:rFonts w:ascii="Times New Roman" w:hAnsi="Times New Roman" w:eastAsia="宋体"/>
                <w:color w:val="000000" w:themeColor="text1"/>
                <w:sz w:val="24"/>
              </w:rPr>
            </w:pPr>
            <w:r>
              <w:rPr>
                <w:rFonts w:ascii="Times New Roman" w:hAnsi="Times New Roman" w:eastAsia="宋体"/>
                <w:color w:val="000000" w:themeColor="text1"/>
                <w:sz w:val="24"/>
              </w:rPr>
              <w:t>项目模具冷却水循环使用不外排</w:t>
            </w:r>
            <w:r>
              <w:rPr>
                <w:rFonts w:hint="eastAsia" w:ascii="Times New Roman" w:hAnsi="Times New Roman" w:eastAsia="宋体"/>
                <w:color w:val="000000" w:themeColor="text1"/>
                <w:sz w:val="24"/>
              </w:rPr>
              <w:t>，</w:t>
            </w:r>
            <w:r>
              <w:rPr>
                <w:rFonts w:ascii="Times New Roman" w:hAnsi="Times New Roman" w:eastAsia="宋体"/>
                <w:color w:val="000000" w:themeColor="text1"/>
                <w:sz w:val="24"/>
              </w:rPr>
              <w:t>定期补充</w:t>
            </w:r>
            <w:r>
              <w:rPr>
                <w:rFonts w:hint="eastAsia" w:ascii="Times New Roman" w:hAnsi="Times New Roman" w:eastAsia="宋体"/>
                <w:color w:val="000000" w:themeColor="text1"/>
                <w:sz w:val="24"/>
              </w:rPr>
              <w:t>；</w:t>
            </w:r>
            <w:r>
              <w:rPr>
                <w:rFonts w:ascii="Times New Roman" w:hAnsi="Times New Roman" w:eastAsia="宋体"/>
                <w:color w:val="000000" w:themeColor="text1"/>
                <w:sz w:val="24"/>
              </w:rPr>
              <w:t>循环水量为</w:t>
            </w:r>
            <w:r>
              <w:rPr>
                <w:rFonts w:hint="eastAsia" w:ascii="Times New Roman" w:hAnsi="Times New Roman" w:eastAsia="宋体"/>
                <w:color w:val="000000" w:themeColor="text1"/>
                <w:sz w:val="24"/>
              </w:rPr>
              <w:t>0.2m</w:t>
            </w:r>
            <w:r>
              <w:rPr>
                <w:rFonts w:hint="eastAsia" w:ascii="Times New Roman" w:hAnsi="Times New Roman" w:eastAsia="宋体"/>
                <w:color w:val="000000" w:themeColor="text1"/>
                <w:sz w:val="24"/>
                <w:vertAlign w:val="superscript"/>
              </w:rPr>
              <w:t>3</w:t>
            </w:r>
            <w:r>
              <w:rPr>
                <w:rFonts w:hint="eastAsia" w:ascii="Times New Roman" w:hAnsi="Times New Roman" w:eastAsia="宋体"/>
                <w:color w:val="000000" w:themeColor="text1"/>
                <w:sz w:val="24"/>
              </w:rPr>
              <w:t>，补充量为0.02m</w:t>
            </w:r>
            <w:r>
              <w:rPr>
                <w:rFonts w:hint="eastAsia" w:ascii="Times New Roman" w:hAnsi="Times New Roman" w:eastAsia="宋体"/>
                <w:color w:val="000000" w:themeColor="text1"/>
                <w:sz w:val="24"/>
                <w:vertAlign w:val="superscript"/>
              </w:rPr>
              <w:t>3</w:t>
            </w:r>
            <w:r>
              <w:rPr>
                <w:rFonts w:hint="eastAsia" w:ascii="Times New Roman" w:hAnsi="Times New Roman" w:eastAsia="宋体"/>
                <w:color w:val="000000" w:themeColor="text1"/>
                <w:sz w:val="24"/>
              </w:rPr>
              <w:t>/d（6m</w:t>
            </w:r>
            <w:r>
              <w:rPr>
                <w:rFonts w:hint="eastAsia" w:ascii="Times New Roman" w:hAnsi="Times New Roman" w:eastAsia="宋体"/>
                <w:color w:val="000000" w:themeColor="text1"/>
                <w:sz w:val="24"/>
                <w:vertAlign w:val="superscript"/>
              </w:rPr>
              <w:t>3</w:t>
            </w:r>
            <w:r>
              <w:rPr>
                <w:rFonts w:hint="eastAsia" w:ascii="Times New Roman" w:hAnsi="Times New Roman" w:eastAsia="宋体"/>
                <w:color w:val="000000" w:themeColor="text1"/>
                <w:sz w:val="24"/>
              </w:rPr>
              <w:t>/a）。本项目利用原有职工，不新增职工人数。故本项目无生活污水产生。原有工程生活污水</w:t>
            </w:r>
            <w:r>
              <w:rPr>
                <w:rFonts w:ascii="Times New Roman" w:hAnsi="Times New Roman" w:eastAsia="宋体"/>
                <w:color w:val="000000" w:themeColor="text1"/>
                <w:sz w:val="24"/>
              </w:rPr>
              <w:t>经防渗漏化粪池处理后，排放至</w:t>
            </w:r>
            <w:r>
              <w:rPr>
                <w:rFonts w:hint="eastAsia" w:ascii="Times New Roman" w:hAnsi="Times New Roman" w:eastAsia="宋体"/>
                <w:color w:val="000000" w:themeColor="text1"/>
                <w:sz w:val="24"/>
              </w:rPr>
              <w:t>贾屯污水处理厂</w:t>
            </w:r>
            <w:r>
              <w:rPr>
                <w:rFonts w:ascii="Times New Roman" w:hAnsi="Times New Roman" w:eastAsia="宋体"/>
                <w:color w:val="000000" w:themeColor="text1"/>
                <w:sz w:val="24"/>
              </w:rPr>
              <w:t>处理</w:t>
            </w:r>
            <w:r>
              <w:rPr>
                <w:rFonts w:hint="eastAsia" w:ascii="Times New Roman" w:hAnsi="Times New Roman" w:eastAsia="宋体"/>
                <w:color w:val="000000" w:themeColor="text1"/>
                <w:sz w:val="24"/>
              </w:rPr>
              <w:t>。</w:t>
            </w:r>
          </w:p>
          <w:p>
            <w:pPr>
              <w:adjustRightInd w:val="0"/>
              <w:snapToGrid w:val="0"/>
              <w:spacing w:line="440" w:lineRule="exact"/>
              <w:ind w:firstLine="480" w:firstLineChars="200"/>
              <w:textAlignment w:val="baseline"/>
              <w:rPr>
                <w:rFonts w:ascii="Times New Roman" w:hAnsi="Times New Roman" w:eastAsia="宋体"/>
                <w:color w:val="000000" w:themeColor="text1"/>
                <w:sz w:val="24"/>
              </w:rPr>
            </w:pPr>
            <w:r>
              <w:rPr>
                <w:rFonts w:ascii="Times New Roman" w:hAnsi="宋体" w:eastAsia="宋体"/>
                <w:color w:val="000000" w:themeColor="text1"/>
                <w:sz w:val="24"/>
              </w:rPr>
              <w:t>本项目属于</w:t>
            </w:r>
            <w:r>
              <w:rPr>
                <w:rFonts w:hint="eastAsia" w:ascii="Times New Roman" w:hAnsi="宋体" w:eastAsia="宋体"/>
                <w:color w:val="000000" w:themeColor="text1"/>
                <w:sz w:val="24"/>
              </w:rPr>
              <w:t>塑料制品项目，不涉及电镀或喷漆工艺</w:t>
            </w:r>
            <w:r>
              <w:rPr>
                <w:rFonts w:ascii="Times New Roman" w:hAnsi="Times New Roman" w:eastAsia="宋体"/>
                <w:color w:val="000000" w:themeColor="text1"/>
                <w:sz w:val="24"/>
              </w:rPr>
              <w:t>。根据《环境影响评价技术导则——地下水环境》（HJ610-2016），本项目为1</w:t>
            </w:r>
            <w:r>
              <w:rPr>
                <w:rFonts w:hint="eastAsia" w:ascii="Times New Roman" w:hAnsi="Times New Roman" w:eastAsia="宋体"/>
                <w:color w:val="000000" w:themeColor="text1"/>
                <w:sz w:val="24"/>
              </w:rPr>
              <w:t>16、塑料制品</w:t>
            </w:r>
            <w:r>
              <w:rPr>
                <w:rFonts w:ascii="Times New Roman" w:hAnsi="Times New Roman" w:eastAsia="宋体"/>
                <w:color w:val="000000" w:themeColor="text1"/>
                <w:sz w:val="24"/>
              </w:rPr>
              <w:t>制造，编制环境影响报告表的项目</w:t>
            </w:r>
            <w:r>
              <w:rPr>
                <w:rFonts w:hint="eastAsia" w:ascii="Times New Roman" w:hAnsi="Times New Roman" w:eastAsia="宋体"/>
                <w:color w:val="000000" w:themeColor="text1"/>
                <w:sz w:val="24"/>
              </w:rPr>
              <w:t>，</w:t>
            </w:r>
            <w:r>
              <w:rPr>
                <w:rFonts w:ascii="Times New Roman" w:hAnsi="Times New Roman" w:eastAsia="宋体"/>
                <w:color w:val="000000" w:themeColor="text1"/>
                <w:sz w:val="24"/>
              </w:rPr>
              <w:t>属于IV类建设项目，因此不需对地下水环境影响进行分析。</w:t>
            </w:r>
          </w:p>
          <w:p>
            <w:pPr>
              <w:adjustRightInd w:val="0"/>
              <w:snapToGrid w:val="0"/>
              <w:spacing w:line="440" w:lineRule="exact"/>
              <w:ind w:firstLine="480" w:firstLineChars="200"/>
              <w:rPr>
                <w:rFonts w:ascii="Times New Roman" w:hAnsi="Times New Roman" w:eastAsia="宋体"/>
                <w:b/>
                <w:color w:val="000000" w:themeColor="text1"/>
                <w:sz w:val="24"/>
                <w:lang w:val="en-GB"/>
              </w:rPr>
            </w:pPr>
            <w:r>
              <w:rPr>
                <w:rFonts w:ascii="Times New Roman" w:hAnsi="Times New Roman" w:eastAsia="宋体"/>
                <w:color w:val="000000" w:themeColor="text1"/>
                <w:sz w:val="24"/>
                <w:lang w:val="en-GB"/>
              </w:rPr>
              <w:t>（</w:t>
            </w:r>
            <w:r>
              <w:rPr>
                <w:rFonts w:ascii="Times New Roman" w:hAnsi="Times New Roman" w:eastAsia="宋体"/>
                <w:color w:val="000000" w:themeColor="text1"/>
                <w:sz w:val="24"/>
              </w:rPr>
              <w:t>3</w:t>
            </w:r>
            <w:r>
              <w:rPr>
                <w:rFonts w:ascii="Times New Roman" w:hAnsi="Times New Roman" w:eastAsia="宋体"/>
                <w:color w:val="000000" w:themeColor="text1"/>
                <w:sz w:val="24"/>
                <w:lang w:val="en-GB"/>
              </w:rPr>
              <w:t>）声环境影响分析结论</w:t>
            </w:r>
          </w:p>
          <w:p>
            <w:pPr>
              <w:widowControl/>
              <w:spacing w:line="440" w:lineRule="exact"/>
              <w:ind w:firstLine="480" w:firstLineChars="200"/>
              <w:rPr>
                <w:rFonts w:ascii="Times New Roman" w:hAnsi="Times New Roman" w:eastAsia="宋体"/>
                <w:bCs/>
                <w:color w:val="000000" w:themeColor="text1"/>
                <w:sz w:val="24"/>
              </w:rPr>
            </w:pPr>
            <w:r>
              <w:rPr>
                <w:rFonts w:ascii="Times New Roman" w:hAnsi="Times New Roman" w:eastAsia="宋体"/>
                <w:color w:val="000000" w:themeColor="text1"/>
                <w:sz w:val="24"/>
              </w:rPr>
              <w:t>本项目的噪声源主要为</w:t>
            </w:r>
            <w:r>
              <w:rPr>
                <w:rFonts w:hint="eastAsia" w:ascii="Times New Roman" w:hAnsi="宋体" w:eastAsia="宋体"/>
                <w:bCs/>
                <w:color w:val="000000" w:themeColor="text1"/>
                <w:sz w:val="24"/>
              </w:rPr>
              <w:t>高周波塑熔机</w:t>
            </w:r>
            <w:r>
              <w:rPr>
                <w:rFonts w:hint="eastAsia" w:ascii="Times New Roman" w:hAnsi="Times New Roman" w:eastAsia="宋体"/>
                <w:color w:val="000000" w:themeColor="text1"/>
                <w:sz w:val="24"/>
              </w:rPr>
              <w:t>和空压机</w:t>
            </w:r>
            <w:r>
              <w:rPr>
                <w:rFonts w:ascii="Times New Roman" w:hAnsi="Times New Roman" w:eastAsia="宋体"/>
                <w:color w:val="000000" w:themeColor="text1"/>
                <w:sz w:val="24"/>
              </w:rPr>
              <w:t>设备，噪声级在60~75dB(A)之间，经采取</w:t>
            </w:r>
            <w:r>
              <w:rPr>
                <w:rFonts w:hint="eastAsia" w:asciiTheme="minorEastAsia" w:hAnsiTheme="minorEastAsia" w:eastAsiaTheme="minorEastAsia"/>
                <w:color w:val="000000" w:themeColor="text1"/>
                <w:sz w:val="24"/>
              </w:rPr>
              <w:t>基础减振、距离衰减、厂房隔声</w:t>
            </w:r>
            <w:r>
              <w:rPr>
                <w:rFonts w:ascii="Times New Roman" w:hAnsi="Times New Roman" w:eastAsia="宋体"/>
                <w:color w:val="000000" w:themeColor="text1"/>
                <w:kern w:val="0"/>
                <w:sz w:val="24"/>
              </w:rPr>
              <w:t>等</w:t>
            </w:r>
            <w:r>
              <w:rPr>
                <w:rFonts w:ascii="Times New Roman" w:hAnsi="Times New Roman" w:eastAsia="宋体"/>
                <w:color w:val="000000" w:themeColor="text1"/>
                <w:sz w:val="24"/>
              </w:rPr>
              <w:t>措施后，</w:t>
            </w:r>
            <w:r>
              <w:rPr>
                <w:rFonts w:ascii="Times New Roman" w:hAnsi="Times New Roman" w:eastAsia="宋体"/>
                <w:color w:val="000000" w:themeColor="text1"/>
                <w:sz w:val="24"/>
                <w:lang w:val="zh-CN"/>
              </w:rPr>
              <w:t>厂界噪声可满足《工业企业厂界环境噪声排放标准》（</w:t>
            </w:r>
            <w:r>
              <w:rPr>
                <w:rFonts w:ascii="Times New Roman" w:hAnsi="Times New Roman" w:eastAsia="宋体"/>
                <w:color w:val="000000" w:themeColor="text1"/>
                <w:sz w:val="24"/>
              </w:rPr>
              <w:t>GB12348-2008</w:t>
            </w:r>
            <w:r>
              <w:rPr>
                <w:rFonts w:ascii="Times New Roman" w:hAnsi="Times New Roman" w:eastAsia="宋体"/>
                <w:color w:val="000000" w:themeColor="text1"/>
                <w:sz w:val="24"/>
                <w:lang w:val="zh-CN"/>
              </w:rPr>
              <w:t>）中的</w:t>
            </w:r>
            <w:r>
              <w:rPr>
                <w:rFonts w:hint="eastAsia" w:ascii="Times New Roman" w:hAnsi="Times New Roman" w:eastAsia="宋体"/>
                <w:color w:val="000000" w:themeColor="text1"/>
                <w:sz w:val="24"/>
              </w:rPr>
              <w:t>3</w:t>
            </w:r>
            <w:r>
              <w:rPr>
                <w:rFonts w:ascii="Times New Roman" w:hAnsi="Times New Roman" w:eastAsia="宋体"/>
                <w:color w:val="000000" w:themeColor="text1"/>
                <w:sz w:val="24"/>
                <w:lang w:val="zh-CN"/>
              </w:rPr>
              <w:t>类标准的要求。</w:t>
            </w:r>
            <w:r>
              <w:rPr>
                <w:rFonts w:ascii="Times New Roman" w:hAnsi="Times New Roman" w:eastAsia="宋体"/>
                <w:color w:val="000000" w:themeColor="text1"/>
                <w:sz w:val="24"/>
              </w:rPr>
              <w:t>环评建议加强高噪声设备日常</w:t>
            </w:r>
            <w:r>
              <w:rPr>
                <w:rFonts w:ascii="Times New Roman" w:hAnsi="Times New Roman" w:eastAsia="宋体"/>
                <w:color w:val="000000" w:themeColor="text1"/>
                <w:sz w:val="24"/>
                <w:lang w:val="zh-CN"/>
              </w:rPr>
              <w:t>维护，使之处于良好的运转状态</w:t>
            </w:r>
            <w:r>
              <w:rPr>
                <w:rFonts w:ascii="Times New Roman" w:hAnsi="Times New Roman" w:eastAsia="宋体"/>
                <w:color w:val="000000" w:themeColor="text1"/>
                <w:sz w:val="24"/>
              </w:rPr>
              <w:t>，周围均为工业企业</w:t>
            </w:r>
            <w:r>
              <w:rPr>
                <w:rFonts w:hint="eastAsia" w:ascii="Times New Roman" w:hAnsi="Times New Roman" w:eastAsia="宋体"/>
                <w:color w:val="000000" w:themeColor="text1"/>
                <w:sz w:val="24"/>
              </w:rPr>
              <w:t>、</w:t>
            </w:r>
            <w:r>
              <w:rPr>
                <w:rFonts w:ascii="Times New Roman" w:hAnsi="Times New Roman" w:eastAsia="宋体"/>
                <w:color w:val="000000" w:themeColor="text1"/>
                <w:sz w:val="24"/>
              </w:rPr>
              <w:t>空地和农田，因此本项目生产对周围的声环境影响较小。</w:t>
            </w:r>
          </w:p>
          <w:p>
            <w:pPr>
              <w:adjustRightInd w:val="0"/>
              <w:snapToGrid w:val="0"/>
              <w:spacing w:line="440" w:lineRule="exact"/>
              <w:ind w:firstLine="480" w:firstLineChars="200"/>
              <w:rPr>
                <w:rFonts w:ascii="Times New Roman" w:hAnsi="Times New Roman" w:eastAsia="宋体"/>
                <w:b/>
                <w:color w:val="000000" w:themeColor="text1"/>
                <w:sz w:val="24"/>
              </w:rPr>
            </w:pPr>
            <w:r>
              <w:rPr>
                <w:rFonts w:ascii="Times New Roman" w:hAnsi="Times New Roman" w:eastAsia="宋体"/>
                <w:color w:val="000000" w:themeColor="text1"/>
                <w:sz w:val="24"/>
                <w:lang w:val="en-GB"/>
              </w:rPr>
              <w:t>（</w:t>
            </w:r>
            <w:r>
              <w:rPr>
                <w:rFonts w:ascii="Times New Roman" w:hAnsi="Times New Roman" w:eastAsia="宋体"/>
                <w:color w:val="000000" w:themeColor="text1"/>
                <w:sz w:val="24"/>
              </w:rPr>
              <w:t>4</w:t>
            </w:r>
            <w:r>
              <w:rPr>
                <w:rFonts w:ascii="Times New Roman" w:hAnsi="Times New Roman" w:eastAsia="宋体"/>
                <w:color w:val="000000" w:themeColor="text1"/>
                <w:sz w:val="24"/>
                <w:lang w:val="en-GB"/>
              </w:rPr>
              <w:t>）</w:t>
            </w:r>
            <w:r>
              <w:rPr>
                <w:rFonts w:ascii="Times New Roman" w:hAnsi="Times New Roman" w:eastAsia="宋体"/>
                <w:color w:val="000000" w:themeColor="text1"/>
                <w:sz w:val="24"/>
              </w:rPr>
              <w:t>固废</w:t>
            </w:r>
            <w:r>
              <w:rPr>
                <w:rFonts w:ascii="Times New Roman" w:hAnsi="Times New Roman" w:eastAsia="宋体"/>
                <w:color w:val="000000" w:themeColor="text1"/>
                <w:sz w:val="24"/>
                <w:lang w:val="en-GB"/>
              </w:rPr>
              <w:t>影响分析结论</w:t>
            </w:r>
          </w:p>
          <w:p>
            <w:pPr>
              <w:adjustRightInd w:val="0"/>
              <w:snapToGrid w:val="0"/>
              <w:spacing w:line="440" w:lineRule="exact"/>
              <w:ind w:firstLine="480" w:firstLineChars="200"/>
              <w:rPr>
                <w:rFonts w:ascii="Times New Roman" w:hAnsi="Times New Roman" w:eastAsia="宋体"/>
                <w:color w:val="000000" w:themeColor="text1"/>
                <w:sz w:val="24"/>
              </w:rPr>
            </w:pPr>
            <w:r>
              <w:rPr>
                <w:rFonts w:ascii="Times New Roman" w:hAnsi="Times New Roman" w:eastAsia="宋体"/>
                <w:color w:val="000000" w:themeColor="text1"/>
                <w:sz w:val="24"/>
                <w:lang w:val="zh-CN"/>
              </w:rPr>
              <w:t>本项目固废主要有</w:t>
            </w:r>
            <w:r>
              <w:rPr>
                <w:rFonts w:ascii="Times New Roman" w:hAnsi="Times New Roman" w:eastAsia="宋体"/>
                <w:color w:val="000000" w:themeColor="text1"/>
                <w:sz w:val="24"/>
              </w:rPr>
              <w:t>质检工序产生的不合格产品</w:t>
            </w:r>
            <w:r>
              <w:rPr>
                <w:rFonts w:hint="eastAsia" w:ascii="Times New Roman" w:hAnsi="Times New Roman" w:eastAsia="宋体"/>
                <w:color w:val="000000" w:themeColor="text1"/>
                <w:sz w:val="24"/>
              </w:rPr>
              <w:t>、</w:t>
            </w:r>
            <w:r>
              <w:rPr>
                <w:rFonts w:ascii="Times New Roman" w:hAnsi="Times New Roman" w:eastAsia="宋体"/>
                <w:color w:val="000000" w:themeColor="text1"/>
                <w:sz w:val="24"/>
              </w:rPr>
              <w:t>包装工序产生的废包装物</w:t>
            </w:r>
            <w:r>
              <w:rPr>
                <w:rFonts w:hint="eastAsia" w:ascii="Times New Roman" w:hAnsi="Times New Roman" w:eastAsia="宋体"/>
                <w:color w:val="000000" w:themeColor="text1"/>
                <w:sz w:val="24"/>
              </w:rPr>
              <w:t>、</w:t>
            </w:r>
            <w:r>
              <w:rPr>
                <w:rFonts w:ascii="Times New Roman" w:hAnsi="Times New Roman" w:eastAsia="宋体"/>
                <w:color w:val="000000" w:themeColor="text1"/>
                <w:sz w:val="24"/>
              </w:rPr>
              <w:t>废气处理过程产生的废催化剂</w:t>
            </w:r>
            <w:r>
              <w:rPr>
                <w:rFonts w:hint="eastAsia" w:ascii="Times New Roman" w:hAnsi="Times New Roman" w:eastAsia="宋体"/>
                <w:color w:val="000000" w:themeColor="text1"/>
                <w:sz w:val="24"/>
              </w:rPr>
              <w:t>、</w:t>
            </w:r>
            <w:r>
              <w:rPr>
                <w:rFonts w:ascii="Times New Roman" w:hAnsi="Times New Roman" w:eastAsia="宋体"/>
                <w:color w:val="000000" w:themeColor="text1"/>
                <w:sz w:val="24"/>
              </w:rPr>
              <w:t>废紫外灯管</w:t>
            </w:r>
            <w:r>
              <w:rPr>
                <w:rFonts w:hint="eastAsia" w:ascii="Times New Roman" w:hAnsi="Times New Roman" w:eastAsia="宋体"/>
                <w:color w:val="000000" w:themeColor="text1"/>
                <w:sz w:val="24"/>
              </w:rPr>
              <w:t>、</w:t>
            </w:r>
            <w:r>
              <w:rPr>
                <w:rFonts w:ascii="Times New Roman" w:hAnsi="Times New Roman" w:eastAsia="宋体"/>
                <w:color w:val="000000" w:themeColor="text1"/>
                <w:sz w:val="24"/>
              </w:rPr>
              <w:t>废活性炭</w:t>
            </w:r>
            <w:r>
              <w:rPr>
                <w:rFonts w:hint="eastAsia" w:ascii="Times New Roman" w:hAnsi="Times New Roman" w:eastAsia="宋体"/>
                <w:color w:val="000000" w:themeColor="text1"/>
                <w:sz w:val="24"/>
              </w:rPr>
              <w:t>。</w:t>
            </w:r>
          </w:p>
          <w:p>
            <w:pPr>
              <w:pStyle w:val="2"/>
              <w:spacing w:line="440" w:lineRule="exact"/>
              <w:ind w:firstLine="480" w:firstLineChars="200"/>
              <w:jc w:val="both"/>
              <w:rPr>
                <w:rFonts w:ascii="Times New Roman" w:hAnsi="Times New Roman" w:eastAsia="宋体"/>
                <w:color w:val="000000" w:themeColor="text1"/>
                <w:sz w:val="24"/>
              </w:rPr>
            </w:pPr>
            <w:r>
              <w:rPr>
                <w:rFonts w:ascii="Times New Roman" w:hAnsi="Times New Roman" w:eastAsia="宋体"/>
                <w:color w:val="000000" w:themeColor="text1"/>
                <w:sz w:val="24"/>
              </w:rPr>
              <w:t>不合格产品</w:t>
            </w:r>
            <w:r>
              <w:rPr>
                <w:rFonts w:hint="eastAsia" w:ascii="Times New Roman" w:hAnsi="Times New Roman" w:eastAsia="宋体"/>
                <w:color w:val="000000" w:themeColor="text1"/>
                <w:sz w:val="24"/>
              </w:rPr>
              <w:t>、</w:t>
            </w:r>
            <w:r>
              <w:rPr>
                <w:rFonts w:ascii="Times New Roman" w:hAnsi="Times New Roman" w:eastAsia="宋体"/>
                <w:color w:val="000000" w:themeColor="text1"/>
                <w:sz w:val="24"/>
              </w:rPr>
              <w:t>废包装物和废催化剂均为一般固废</w:t>
            </w:r>
            <w:r>
              <w:rPr>
                <w:rFonts w:hint="eastAsia" w:ascii="Times New Roman" w:hAnsi="Times New Roman" w:eastAsia="宋体"/>
                <w:color w:val="000000" w:themeColor="text1"/>
                <w:sz w:val="24"/>
              </w:rPr>
              <w:t>。不合格品</w:t>
            </w:r>
            <w:r>
              <w:rPr>
                <w:rFonts w:ascii="Times New Roman" w:hAnsi="Times New Roman" w:eastAsia="宋体"/>
                <w:color w:val="000000" w:themeColor="text1"/>
                <w:sz w:val="24"/>
              </w:rPr>
              <w:t>集中收集后定期外售。废包装物集中收集后定期外售。废催化剂集中收集后交由厂家回收</w:t>
            </w:r>
            <w:r>
              <w:rPr>
                <w:rFonts w:hint="eastAsia" w:ascii="Times New Roman" w:hAnsi="Times New Roman" w:eastAsia="宋体"/>
                <w:color w:val="000000" w:themeColor="text1"/>
                <w:sz w:val="24"/>
              </w:rPr>
              <w:t>。</w:t>
            </w:r>
            <w:r>
              <w:rPr>
                <w:rFonts w:ascii="Times New Roman" w:hAnsi="Times New Roman" w:eastAsia="宋体"/>
                <w:color w:val="000000" w:themeColor="text1"/>
                <w:sz w:val="24"/>
              </w:rPr>
              <w:t>本项目依托原有工程的一般固废暂存间</w:t>
            </w:r>
            <w:r>
              <w:rPr>
                <w:rFonts w:hint="eastAsia" w:ascii="Times New Roman" w:eastAsia="宋体"/>
                <w:color w:val="000000" w:themeColor="text1"/>
                <w:sz w:val="24"/>
              </w:rPr>
              <w:t>（面积为25</w:t>
            </w:r>
            <w:r>
              <w:rPr>
                <w:rFonts w:ascii="Times New Roman" w:hAnsi="Times New Roman" w:eastAsia="宋体"/>
                <w:color w:val="000000" w:themeColor="text1"/>
                <w:sz w:val="24"/>
              </w:rPr>
              <w:t>m</w:t>
            </w:r>
            <w:r>
              <w:rPr>
                <w:rFonts w:ascii="Times New Roman" w:hAnsi="Times New Roman" w:eastAsia="宋体"/>
                <w:color w:val="000000" w:themeColor="text1"/>
                <w:sz w:val="24"/>
                <w:vertAlign w:val="superscript"/>
              </w:rPr>
              <w:t>2</w:t>
            </w:r>
            <w:r>
              <w:rPr>
                <w:rFonts w:hint="eastAsia" w:ascii="Times New Roman" w:eastAsia="宋体"/>
                <w:color w:val="000000" w:themeColor="text1"/>
                <w:sz w:val="24"/>
              </w:rPr>
              <w:t>），一般固废</w:t>
            </w:r>
            <w:r>
              <w:rPr>
                <w:rFonts w:ascii="Times New Roman" w:hAnsi="Times New Roman" w:eastAsia="宋体"/>
                <w:color w:val="000000" w:themeColor="text1"/>
                <w:sz w:val="24"/>
                <w:lang w:val="zh-CN"/>
              </w:rPr>
              <w:t>暂存间设置满足《一般工业固体废物</w:t>
            </w:r>
            <w:r>
              <w:rPr>
                <w:rFonts w:ascii="Times New Roman" w:hAnsi="Times New Roman" w:eastAsia="宋体"/>
                <w:color w:val="000000" w:themeColor="text1"/>
                <w:sz w:val="24"/>
              </w:rPr>
              <w:t>贮存、处理场污染控制标准》(GB18599-2001)及其2013年修改单的要求</w:t>
            </w:r>
            <w:r>
              <w:rPr>
                <w:rFonts w:hint="eastAsia" w:ascii="Times New Roman" w:hAnsi="Times New Roman" w:eastAsia="宋体"/>
                <w:color w:val="000000" w:themeColor="text1"/>
                <w:sz w:val="24"/>
              </w:rPr>
              <w:t>。</w:t>
            </w:r>
          </w:p>
          <w:p>
            <w:pPr>
              <w:pStyle w:val="2"/>
              <w:spacing w:line="440" w:lineRule="exact"/>
              <w:ind w:firstLine="480" w:firstLineChars="200"/>
              <w:jc w:val="both"/>
              <w:rPr>
                <w:rFonts w:ascii="Times New Roman" w:hAnsi="Times New Roman" w:eastAsia="宋体"/>
                <w:color w:val="000000" w:themeColor="text1"/>
                <w:sz w:val="24"/>
              </w:rPr>
            </w:pPr>
            <w:r>
              <w:rPr>
                <w:rFonts w:hint="eastAsia" w:ascii="Times New Roman" w:eastAsia="宋体"/>
                <w:color w:val="000000" w:themeColor="text1"/>
                <w:sz w:val="24"/>
              </w:rPr>
              <w:t>本项目废紫外灯管和废活性炭属于危险废物，废紫外灯管和</w:t>
            </w:r>
            <w:r>
              <w:rPr>
                <w:rFonts w:ascii="Times New Roman" w:eastAsia="宋体"/>
                <w:color w:val="000000" w:themeColor="text1"/>
                <w:kern w:val="0"/>
                <w:sz w:val="24"/>
                <w:szCs w:val="22"/>
              </w:rPr>
              <w:t>废活性炭</w:t>
            </w:r>
            <w:r>
              <w:rPr>
                <w:rFonts w:hint="eastAsia" w:ascii="Times New Roman" w:eastAsia="宋体"/>
                <w:color w:val="000000" w:themeColor="text1"/>
                <w:kern w:val="0"/>
                <w:sz w:val="24"/>
              </w:rPr>
              <w:t>经收集后，暂存于原有工程危废暂存间（</w:t>
            </w:r>
            <w:r>
              <w:rPr>
                <w:rFonts w:hint="eastAsia" w:ascii="Times New Roman" w:hAnsi="Times New Roman" w:eastAsia="宋体"/>
                <w:color w:val="000000" w:themeColor="text1"/>
                <w:kern w:val="0"/>
                <w:sz w:val="24"/>
              </w:rPr>
              <w:t>10m</w:t>
            </w:r>
            <w:r>
              <w:rPr>
                <w:rFonts w:hint="eastAsia" w:ascii="Times New Roman" w:hAnsi="Times New Roman" w:eastAsia="宋体"/>
                <w:color w:val="000000" w:themeColor="text1"/>
                <w:kern w:val="0"/>
                <w:sz w:val="24"/>
                <w:vertAlign w:val="superscript"/>
              </w:rPr>
              <w:t>2</w:t>
            </w:r>
            <w:r>
              <w:rPr>
                <w:rFonts w:hint="eastAsia" w:ascii="Times New Roman" w:eastAsia="宋体"/>
                <w:color w:val="000000" w:themeColor="text1"/>
                <w:kern w:val="0"/>
                <w:sz w:val="24"/>
              </w:rPr>
              <w:t>），定期交由有资质的单位处理。危废</w:t>
            </w:r>
            <w:r>
              <w:rPr>
                <w:rFonts w:ascii="Times New Roman" w:hAnsi="Times New Roman" w:eastAsia="宋体"/>
                <w:color w:val="000000" w:themeColor="text1"/>
                <w:sz w:val="24"/>
                <w:lang w:val="zh-CN"/>
              </w:rPr>
              <w:t>暂存间设置满足</w:t>
            </w:r>
            <w:r>
              <w:rPr>
                <w:rFonts w:hint="eastAsia" w:ascii="Times New Roman" w:eastAsia="宋体"/>
                <w:color w:val="000000" w:themeColor="text1"/>
                <w:sz w:val="24"/>
              </w:rPr>
              <w:t>《危险废物贮存污染控制标准》（</w:t>
            </w:r>
            <w:r>
              <w:rPr>
                <w:rFonts w:ascii="Times New Roman" w:hAnsi="Times New Roman" w:eastAsia="宋体"/>
                <w:color w:val="000000" w:themeColor="text1"/>
                <w:sz w:val="24"/>
              </w:rPr>
              <w:t>GB18597-2001</w:t>
            </w:r>
            <w:r>
              <w:rPr>
                <w:rFonts w:hint="eastAsia" w:ascii="Times New Roman" w:eastAsia="宋体"/>
                <w:color w:val="000000" w:themeColor="text1"/>
                <w:sz w:val="24"/>
              </w:rPr>
              <w:t>）及</w:t>
            </w:r>
            <w:r>
              <w:rPr>
                <w:rFonts w:hint="eastAsia" w:ascii="Times New Roman" w:hAnsi="Times New Roman" w:eastAsia="宋体"/>
                <w:color w:val="000000" w:themeColor="text1"/>
                <w:sz w:val="24"/>
              </w:rPr>
              <w:t>2013</w:t>
            </w:r>
            <w:r>
              <w:rPr>
                <w:rFonts w:hint="eastAsia" w:ascii="Times New Roman" w:eastAsia="宋体"/>
                <w:color w:val="000000" w:themeColor="text1"/>
                <w:sz w:val="24"/>
              </w:rPr>
              <w:t>年修改单。</w:t>
            </w:r>
          </w:p>
          <w:p>
            <w:pPr>
              <w:adjustRightInd w:val="0"/>
              <w:snapToGrid w:val="0"/>
              <w:spacing w:line="440" w:lineRule="exact"/>
              <w:ind w:firstLine="480" w:firstLineChars="200"/>
              <w:rPr>
                <w:rFonts w:ascii="Times New Roman" w:hAnsi="Times New Roman" w:eastAsia="宋体"/>
                <w:color w:val="000000" w:themeColor="text1"/>
                <w:sz w:val="24"/>
              </w:rPr>
            </w:pPr>
            <w:r>
              <w:rPr>
                <w:rFonts w:ascii="Times New Roman" w:hAnsi="Times New Roman" w:eastAsia="宋体"/>
                <w:bCs/>
                <w:color w:val="000000" w:themeColor="text1"/>
                <w:sz w:val="24"/>
              </w:rPr>
              <w:t>（</w:t>
            </w:r>
            <w:r>
              <w:rPr>
                <w:rFonts w:hint="eastAsia" w:ascii="Times New Roman" w:hAnsi="Times New Roman" w:eastAsia="宋体"/>
                <w:bCs/>
                <w:color w:val="000000" w:themeColor="text1"/>
                <w:sz w:val="24"/>
              </w:rPr>
              <w:t>5</w:t>
            </w:r>
            <w:r>
              <w:rPr>
                <w:rFonts w:ascii="Times New Roman" w:hAnsi="Times New Roman" w:eastAsia="宋体"/>
                <w:bCs/>
                <w:color w:val="000000" w:themeColor="text1"/>
                <w:sz w:val="24"/>
              </w:rPr>
              <w:t>）</w:t>
            </w:r>
            <w:r>
              <w:rPr>
                <w:rFonts w:ascii="Times New Roman" w:hAnsi="Times New Roman" w:eastAsia="宋体"/>
                <w:color w:val="000000" w:themeColor="text1"/>
                <w:sz w:val="24"/>
              </w:rPr>
              <w:t>卫生防护距离</w:t>
            </w:r>
          </w:p>
          <w:p>
            <w:pPr>
              <w:spacing w:line="440" w:lineRule="exact"/>
              <w:ind w:firstLine="480" w:firstLineChars="200"/>
              <w:rPr>
                <w:rFonts w:ascii="Times New Roman" w:hAnsi="Times New Roman" w:eastAsia="宋体"/>
                <w:color w:val="000000" w:themeColor="text1"/>
                <w:sz w:val="24"/>
              </w:rPr>
            </w:pPr>
            <w:r>
              <w:rPr>
                <w:rFonts w:hint="eastAsia" w:ascii="Times New Roman" w:eastAsia="宋体"/>
                <w:color w:val="000000" w:themeColor="text1"/>
                <w:sz w:val="24"/>
              </w:rPr>
              <w:t>本项目非甲烷总烃的卫生防护距离为50m，根据</w:t>
            </w:r>
            <w:r>
              <w:rPr>
                <w:rFonts w:hint="eastAsia" w:ascii="Times New Roman" w:hAnsi="Times New Roman" w:eastAsia="宋体"/>
                <w:color w:val="000000" w:themeColor="text1"/>
                <w:sz w:val="24"/>
              </w:rPr>
              <w:t>《新乡市顺风船科技有限公司年产1000吨PVC塑料制品项目环境影响报告表》</w:t>
            </w:r>
            <w:r>
              <w:rPr>
                <w:rFonts w:ascii="Times New Roman" w:hAnsi="Times New Roman" w:eastAsia="宋体"/>
                <w:color w:val="000000" w:themeColor="text1"/>
                <w:sz w:val="24"/>
              </w:rPr>
              <w:t>可知，企业原有工程生产车间</w:t>
            </w:r>
            <w:r>
              <w:rPr>
                <w:rFonts w:hint="eastAsia" w:ascii="Times New Roman" w:hAnsi="Times New Roman" w:eastAsia="宋体"/>
                <w:color w:val="000000" w:themeColor="text1"/>
                <w:sz w:val="24"/>
              </w:rPr>
              <w:t>1</w:t>
            </w:r>
            <w:r>
              <w:rPr>
                <w:rFonts w:ascii="Times New Roman" w:hAnsi="Times New Roman" w:eastAsia="宋体"/>
                <w:color w:val="000000" w:themeColor="text1"/>
                <w:sz w:val="24"/>
              </w:rPr>
              <w:t>的卫生防护距离为</w:t>
            </w:r>
            <w:r>
              <w:rPr>
                <w:rFonts w:hint="eastAsia" w:ascii="Times New Roman" w:hAnsi="Times New Roman" w:eastAsia="宋体"/>
                <w:color w:val="000000" w:themeColor="text1"/>
                <w:sz w:val="24"/>
              </w:rPr>
              <w:t>100</w:t>
            </w:r>
            <w:r>
              <w:rPr>
                <w:rFonts w:ascii="Times New Roman" w:hAnsi="Times New Roman" w:eastAsia="宋体"/>
                <w:color w:val="000000" w:themeColor="text1"/>
                <w:sz w:val="24"/>
              </w:rPr>
              <w:t>m。根据</w:t>
            </w:r>
            <w:r>
              <w:rPr>
                <w:rFonts w:hint="eastAsia" w:ascii="Times New Roman" w:hAnsi="Times New Roman" w:eastAsia="宋体"/>
                <w:color w:val="000000" w:themeColor="text1"/>
                <w:sz w:val="24"/>
              </w:rPr>
              <w:t>《新乡市顺风船科技有限公司年产2800吨新型环保钙锌稳定剂项目环境影响报告表》可知，</w:t>
            </w:r>
            <w:r>
              <w:rPr>
                <w:rFonts w:ascii="Times New Roman" w:hAnsi="Times New Roman" w:eastAsia="宋体"/>
                <w:color w:val="000000" w:themeColor="text1"/>
                <w:sz w:val="24"/>
              </w:rPr>
              <w:t>企业原有工程生产车间</w:t>
            </w:r>
            <w:r>
              <w:rPr>
                <w:rFonts w:hint="eastAsia" w:ascii="Times New Roman" w:hAnsi="Times New Roman" w:eastAsia="宋体"/>
                <w:color w:val="000000" w:themeColor="text1"/>
                <w:sz w:val="24"/>
              </w:rPr>
              <w:t>2</w:t>
            </w:r>
            <w:r>
              <w:rPr>
                <w:rFonts w:ascii="Times New Roman" w:hAnsi="Times New Roman" w:eastAsia="宋体"/>
                <w:color w:val="000000" w:themeColor="text1"/>
                <w:sz w:val="24"/>
              </w:rPr>
              <w:t>的卫生防护距离为</w:t>
            </w:r>
            <w:r>
              <w:rPr>
                <w:rFonts w:hint="eastAsia" w:ascii="Times New Roman" w:hAnsi="Times New Roman" w:eastAsia="宋体"/>
                <w:color w:val="000000" w:themeColor="text1"/>
                <w:sz w:val="24"/>
              </w:rPr>
              <w:t>50</w:t>
            </w:r>
            <w:r>
              <w:rPr>
                <w:rFonts w:ascii="Times New Roman" w:hAnsi="Times New Roman" w:eastAsia="宋体"/>
                <w:color w:val="000000" w:themeColor="text1"/>
                <w:sz w:val="24"/>
              </w:rPr>
              <w:t>m。结合厂区平面布置，原有工程厂区确定的卫生防护距离为东厂界外</w:t>
            </w:r>
            <w:r>
              <w:rPr>
                <w:rFonts w:hint="eastAsia" w:ascii="Times New Roman" w:hAnsi="Times New Roman" w:eastAsia="宋体"/>
                <w:color w:val="000000" w:themeColor="text1"/>
                <w:sz w:val="24"/>
              </w:rPr>
              <w:t>95</w:t>
            </w:r>
            <w:r>
              <w:rPr>
                <w:rFonts w:ascii="Times New Roman" w:hAnsi="Times New Roman" w:eastAsia="宋体"/>
                <w:color w:val="000000" w:themeColor="text1"/>
                <w:sz w:val="24"/>
              </w:rPr>
              <w:t>m、南厂界外</w:t>
            </w:r>
            <w:r>
              <w:rPr>
                <w:rFonts w:hint="eastAsia" w:ascii="Times New Roman" w:hAnsi="Times New Roman" w:eastAsia="宋体"/>
                <w:color w:val="000000" w:themeColor="text1"/>
                <w:sz w:val="24"/>
              </w:rPr>
              <w:t>96</w:t>
            </w:r>
            <w:r>
              <w:rPr>
                <w:rFonts w:ascii="Times New Roman" w:hAnsi="Times New Roman" w:eastAsia="宋体"/>
                <w:color w:val="000000" w:themeColor="text1"/>
                <w:sz w:val="24"/>
              </w:rPr>
              <w:t>m、西厂界外</w:t>
            </w:r>
            <w:r>
              <w:rPr>
                <w:rFonts w:hint="eastAsia" w:ascii="Times New Roman" w:hAnsi="Times New Roman" w:eastAsia="宋体"/>
                <w:color w:val="000000" w:themeColor="text1"/>
                <w:sz w:val="24"/>
              </w:rPr>
              <w:t>95</w:t>
            </w:r>
            <w:r>
              <w:rPr>
                <w:rFonts w:ascii="Times New Roman" w:hAnsi="Times New Roman" w:eastAsia="宋体"/>
                <w:color w:val="000000" w:themeColor="text1"/>
                <w:sz w:val="24"/>
              </w:rPr>
              <w:t>m、北厂界外</w:t>
            </w:r>
            <w:r>
              <w:rPr>
                <w:rFonts w:hint="eastAsia" w:ascii="Times New Roman" w:hAnsi="Times New Roman" w:eastAsia="宋体"/>
                <w:color w:val="000000" w:themeColor="text1"/>
                <w:sz w:val="24"/>
              </w:rPr>
              <w:t>97</w:t>
            </w:r>
            <w:r>
              <w:rPr>
                <w:rFonts w:ascii="Times New Roman" w:hAnsi="Times New Roman" w:eastAsia="宋体"/>
                <w:color w:val="000000" w:themeColor="text1"/>
                <w:sz w:val="24"/>
              </w:rPr>
              <w:t>m。经现场调查，原有工程卫生防护距离范围内无居民区、学校、医院等环境保护目标，卫生防护距离可以满足要求。</w:t>
            </w:r>
          </w:p>
          <w:p>
            <w:pPr>
              <w:adjustRightInd w:val="0"/>
              <w:snapToGrid w:val="0"/>
              <w:spacing w:line="440" w:lineRule="exact"/>
              <w:ind w:firstLine="480" w:firstLineChars="200"/>
              <w:rPr>
                <w:rFonts w:ascii="Times New Roman" w:hAnsi="Times New Roman" w:eastAsia="宋体"/>
                <w:bCs/>
                <w:color w:val="000000" w:themeColor="text1"/>
                <w:sz w:val="24"/>
              </w:rPr>
            </w:pPr>
            <w:r>
              <w:rPr>
                <w:rFonts w:ascii="Times New Roman" w:hAnsi="Times New Roman" w:eastAsia="宋体"/>
                <w:color w:val="000000" w:themeColor="text1"/>
                <w:sz w:val="24"/>
              </w:rPr>
              <w:t>本项目建设完成后</w:t>
            </w:r>
            <w:r>
              <w:rPr>
                <w:rFonts w:hint="eastAsia" w:ascii="Times New Roman" w:hAnsi="Times New Roman" w:eastAsia="宋体"/>
                <w:color w:val="000000" w:themeColor="text1"/>
                <w:sz w:val="24"/>
              </w:rPr>
              <w:t>，</w:t>
            </w:r>
            <w:r>
              <w:rPr>
                <w:rFonts w:hint="eastAsia" w:ascii="Times New Roman" w:eastAsia="宋体"/>
                <w:bCs/>
                <w:color w:val="000000" w:themeColor="text1"/>
                <w:sz w:val="24"/>
              </w:rPr>
              <w:t>全厂卫生防护距离为</w:t>
            </w:r>
            <w:r>
              <w:rPr>
                <w:rFonts w:ascii="Times New Roman" w:hAnsi="Times New Roman" w:eastAsia="宋体"/>
                <w:color w:val="000000" w:themeColor="text1"/>
                <w:sz w:val="24"/>
              </w:rPr>
              <w:t>东厂界外</w:t>
            </w:r>
            <w:r>
              <w:rPr>
                <w:rFonts w:hint="eastAsia" w:ascii="Times New Roman" w:hAnsi="Times New Roman" w:eastAsia="宋体"/>
                <w:color w:val="000000" w:themeColor="text1"/>
                <w:sz w:val="24"/>
              </w:rPr>
              <w:t>95</w:t>
            </w:r>
            <w:r>
              <w:rPr>
                <w:rFonts w:ascii="Times New Roman" w:hAnsi="Times New Roman" w:eastAsia="宋体"/>
                <w:color w:val="000000" w:themeColor="text1"/>
                <w:sz w:val="24"/>
              </w:rPr>
              <w:t>m、南厂界外</w:t>
            </w:r>
            <w:r>
              <w:rPr>
                <w:rFonts w:hint="eastAsia" w:ascii="Times New Roman" w:hAnsi="Times New Roman" w:eastAsia="宋体"/>
                <w:color w:val="000000" w:themeColor="text1"/>
                <w:sz w:val="24"/>
              </w:rPr>
              <w:t>96</w:t>
            </w:r>
            <w:r>
              <w:rPr>
                <w:rFonts w:ascii="Times New Roman" w:hAnsi="Times New Roman" w:eastAsia="宋体"/>
                <w:color w:val="000000" w:themeColor="text1"/>
                <w:sz w:val="24"/>
              </w:rPr>
              <w:t>m、西厂界外</w:t>
            </w:r>
            <w:r>
              <w:rPr>
                <w:rFonts w:hint="eastAsia" w:ascii="Times New Roman" w:hAnsi="Times New Roman" w:eastAsia="宋体"/>
                <w:color w:val="000000" w:themeColor="text1"/>
                <w:sz w:val="24"/>
              </w:rPr>
              <w:t>95</w:t>
            </w:r>
            <w:r>
              <w:rPr>
                <w:rFonts w:ascii="Times New Roman" w:hAnsi="Times New Roman" w:eastAsia="宋体"/>
                <w:color w:val="000000" w:themeColor="text1"/>
                <w:sz w:val="24"/>
              </w:rPr>
              <w:t>m、北厂界外</w:t>
            </w:r>
            <w:r>
              <w:rPr>
                <w:rFonts w:hint="eastAsia" w:ascii="Times New Roman" w:hAnsi="Times New Roman" w:eastAsia="宋体"/>
                <w:color w:val="000000" w:themeColor="text1"/>
                <w:sz w:val="24"/>
              </w:rPr>
              <w:t>97</w:t>
            </w:r>
            <w:r>
              <w:rPr>
                <w:rFonts w:ascii="Times New Roman" w:hAnsi="Times New Roman" w:eastAsia="宋体"/>
                <w:color w:val="000000" w:themeColor="text1"/>
                <w:sz w:val="24"/>
              </w:rPr>
              <w:t>m。</w:t>
            </w:r>
            <w:r>
              <w:rPr>
                <w:rFonts w:ascii="Times New Roman" w:hAnsi="Times New Roman" w:eastAsia="宋体"/>
                <w:bCs/>
                <w:color w:val="000000" w:themeColor="text1"/>
                <w:sz w:val="24"/>
              </w:rPr>
              <w:t>卫生防护距离不发生改变</w:t>
            </w:r>
            <w:r>
              <w:rPr>
                <w:rFonts w:hint="eastAsia" w:ascii="Times New Roman" w:eastAsia="宋体"/>
                <w:bCs/>
                <w:color w:val="000000" w:themeColor="text1"/>
                <w:sz w:val="24"/>
              </w:rPr>
              <w:t>。</w:t>
            </w:r>
          </w:p>
          <w:p>
            <w:pPr>
              <w:adjustRightInd w:val="0"/>
              <w:snapToGrid w:val="0"/>
              <w:spacing w:line="440" w:lineRule="exact"/>
              <w:ind w:firstLine="480" w:firstLineChars="200"/>
              <w:rPr>
                <w:rFonts w:ascii="Times New Roman" w:hAnsi="Times New Roman" w:eastAsia="宋体"/>
                <w:color w:val="000000" w:themeColor="text1"/>
                <w:sz w:val="24"/>
              </w:rPr>
            </w:pPr>
            <w:r>
              <w:rPr>
                <w:rFonts w:ascii="Times New Roman" w:hAnsi="Times New Roman" w:eastAsia="宋体"/>
                <w:bCs/>
                <w:color w:val="000000" w:themeColor="text1"/>
                <w:sz w:val="24"/>
              </w:rPr>
              <w:t>（</w:t>
            </w:r>
            <w:r>
              <w:rPr>
                <w:rFonts w:hint="eastAsia" w:ascii="Times New Roman" w:hAnsi="Times New Roman" w:eastAsia="宋体"/>
                <w:bCs/>
                <w:color w:val="000000" w:themeColor="text1"/>
                <w:sz w:val="24"/>
              </w:rPr>
              <w:t>6</w:t>
            </w:r>
            <w:r>
              <w:rPr>
                <w:rFonts w:ascii="Times New Roman" w:hAnsi="Times New Roman" w:eastAsia="宋体"/>
                <w:bCs/>
                <w:color w:val="000000" w:themeColor="text1"/>
                <w:sz w:val="24"/>
              </w:rPr>
              <w:t>）</w:t>
            </w:r>
            <w:r>
              <w:rPr>
                <w:rFonts w:ascii="Times New Roman" w:hAnsi="Times New Roman" w:eastAsia="宋体"/>
                <w:color w:val="000000" w:themeColor="text1"/>
                <w:sz w:val="24"/>
              </w:rPr>
              <w:t>环保投资</w:t>
            </w:r>
          </w:p>
          <w:p>
            <w:pPr>
              <w:pStyle w:val="23"/>
              <w:spacing w:after="0" w:line="440" w:lineRule="exact"/>
              <w:ind w:left="0" w:leftChars="0" w:firstLine="480" w:firstLineChars="200"/>
              <w:rPr>
                <w:color w:val="000000" w:themeColor="text1"/>
                <w:sz w:val="24"/>
              </w:rPr>
            </w:pPr>
            <w:r>
              <w:rPr>
                <w:color w:val="000000" w:themeColor="text1"/>
                <w:sz w:val="24"/>
              </w:rPr>
              <w:t>本项目总投资为</w:t>
            </w:r>
            <w:r>
              <w:rPr>
                <w:rFonts w:hint="eastAsia"/>
                <w:color w:val="000000" w:themeColor="text1"/>
                <w:sz w:val="24"/>
              </w:rPr>
              <w:t>50</w:t>
            </w:r>
            <w:r>
              <w:rPr>
                <w:color w:val="000000" w:themeColor="text1"/>
                <w:sz w:val="24"/>
              </w:rPr>
              <w:t>万元，其中环保投资为</w:t>
            </w:r>
            <w:r>
              <w:rPr>
                <w:rFonts w:hint="eastAsia"/>
                <w:color w:val="000000" w:themeColor="text1"/>
                <w:sz w:val="24"/>
              </w:rPr>
              <w:t>3</w:t>
            </w:r>
            <w:r>
              <w:rPr>
                <w:color w:val="000000" w:themeColor="text1"/>
                <w:sz w:val="24"/>
              </w:rPr>
              <w:t>万元，约占总投资的</w:t>
            </w:r>
            <w:r>
              <w:rPr>
                <w:rFonts w:hint="eastAsia"/>
                <w:color w:val="000000" w:themeColor="text1"/>
                <w:sz w:val="24"/>
              </w:rPr>
              <w:t>6</w:t>
            </w:r>
            <w:r>
              <w:rPr>
                <w:color w:val="000000" w:themeColor="text1"/>
                <w:sz w:val="24"/>
              </w:rPr>
              <w:t>%。建设单位应落实环保资金投资到位，确保做到各项污染物达标排放。</w:t>
            </w:r>
          </w:p>
          <w:p>
            <w:pPr>
              <w:adjustRightInd w:val="0"/>
              <w:snapToGrid w:val="0"/>
              <w:spacing w:line="440" w:lineRule="exact"/>
              <w:ind w:firstLine="482" w:firstLineChars="200"/>
              <w:rPr>
                <w:rFonts w:ascii="Times New Roman" w:hAnsi="Times New Roman" w:eastAsia="宋体"/>
                <w:b/>
                <w:color w:val="000000" w:themeColor="text1"/>
                <w:sz w:val="24"/>
              </w:rPr>
            </w:pPr>
            <w:r>
              <w:rPr>
                <w:rFonts w:ascii="Times New Roman" w:hAnsi="Times New Roman" w:eastAsia="宋体"/>
                <w:b/>
                <w:color w:val="000000" w:themeColor="text1"/>
                <w:sz w:val="24"/>
              </w:rPr>
              <w:t>4、总量控制指标</w:t>
            </w:r>
          </w:p>
          <w:p>
            <w:pPr>
              <w:spacing w:line="440" w:lineRule="exact"/>
              <w:ind w:firstLine="480" w:firstLineChars="200"/>
              <w:rPr>
                <w:rFonts w:ascii="Times New Roman" w:hAnsi="Times New Roman" w:eastAsia="宋体"/>
                <w:color w:val="000000" w:themeColor="text1"/>
              </w:rPr>
            </w:pPr>
            <w:r>
              <w:rPr>
                <w:rFonts w:ascii="Times New Roman" w:hAnsi="Times New Roman" w:eastAsia="宋体"/>
                <w:color w:val="000000" w:themeColor="text1"/>
                <w:sz w:val="24"/>
              </w:rPr>
              <w:t>本项目污染物总量控制指标：非甲烷总烃</w:t>
            </w:r>
            <w:r>
              <w:rPr>
                <w:rFonts w:hint="eastAsia" w:ascii="Times New Roman" w:hAnsi="Times New Roman" w:eastAsia="宋体"/>
                <w:color w:val="000000" w:themeColor="text1"/>
                <w:sz w:val="24"/>
              </w:rPr>
              <w:t>0.0686t/a（</w:t>
            </w:r>
            <w:r>
              <w:rPr>
                <w:rFonts w:ascii="Times New Roman" w:hAnsi="Times New Roman" w:eastAsia="宋体"/>
                <w:color w:val="000000" w:themeColor="text1"/>
                <w:sz w:val="24"/>
              </w:rPr>
              <w:t>有组织</w:t>
            </w:r>
            <w:r>
              <w:rPr>
                <w:rFonts w:hint="eastAsia" w:ascii="Times New Roman" w:hAnsi="Times New Roman" w:eastAsia="宋体"/>
                <w:color w:val="000000" w:themeColor="text1"/>
                <w:sz w:val="24"/>
              </w:rPr>
              <w:t>0.0543t/a，无组织0.0143t/a）</w:t>
            </w:r>
            <w:r>
              <w:rPr>
                <w:rFonts w:ascii="Times New Roman" w:hAnsi="Times New Roman" w:eastAsia="宋体"/>
                <w:color w:val="000000" w:themeColor="text1"/>
                <w:sz w:val="24"/>
              </w:rPr>
              <w:t>。</w:t>
            </w:r>
          </w:p>
          <w:p>
            <w:pPr>
              <w:adjustRightInd w:val="0"/>
              <w:snapToGrid w:val="0"/>
              <w:spacing w:line="440" w:lineRule="exact"/>
              <w:ind w:firstLine="480" w:firstLineChars="200"/>
              <w:rPr>
                <w:rFonts w:ascii="Times New Roman" w:hAnsi="Times New Roman" w:eastAsia="宋体"/>
                <w:color w:val="000000" w:themeColor="text1"/>
                <w:sz w:val="24"/>
              </w:rPr>
            </w:pPr>
            <w:r>
              <w:rPr>
                <w:rFonts w:ascii="Times New Roman" w:hAnsi="Times New Roman" w:eastAsia="宋体"/>
                <w:color w:val="000000" w:themeColor="text1"/>
                <w:sz w:val="24"/>
              </w:rPr>
              <w:t>根据《河南省生态环境厅关于印发建设项目主要污染物排放总量指标管理工作内部规程通知》规定，建设项目环境影响文件中应明确建设项目主要污染物总量排放指标及替代削减方案。本项目属于扩建项目，本项目建设完成后新增污染物排放量为COD0t/a，NH</w:t>
            </w:r>
            <w:r>
              <w:rPr>
                <w:rFonts w:ascii="Times New Roman" w:hAnsi="Times New Roman" w:eastAsia="宋体"/>
                <w:color w:val="000000" w:themeColor="text1"/>
                <w:sz w:val="24"/>
                <w:vertAlign w:val="subscript"/>
              </w:rPr>
              <w:t>3</w:t>
            </w:r>
            <w:r>
              <w:rPr>
                <w:rFonts w:ascii="Times New Roman" w:hAnsi="Times New Roman" w:eastAsia="宋体"/>
                <w:color w:val="000000" w:themeColor="text1"/>
                <w:sz w:val="24"/>
              </w:rPr>
              <w:t>-N0t/a，SO</w:t>
            </w:r>
            <w:r>
              <w:rPr>
                <w:rFonts w:ascii="Times New Roman" w:hAnsi="Times New Roman" w:eastAsia="宋体"/>
                <w:color w:val="000000" w:themeColor="text1"/>
                <w:sz w:val="24"/>
                <w:vertAlign w:val="subscript"/>
              </w:rPr>
              <w:t>2</w:t>
            </w:r>
            <w:r>
              <w:rPr>
                <w:rFonts w:ascii="Times New Roman" w:hAnsi="Times New Roman" w:eastAsia="宋体"/>
                <w:color w:val="000000" w:themeColor="text1"/>
                <w:sz w:val="24"/>
              </w:rPr>
              <w:t>0t/a，NO</w:t>
            </w:r>
            <w:r>
              <w:rPr>
                <w:rFonts w:ascii="Times New Roman" w:hAnsi="Times New Roman" w:eastAsia="宋体"/>
                <w:color w:val="000000" w:themeColor="text1"/>
                <w:sz w:val="24"/>
                <w:vertAlign w:val="subscript"/>
              </w:rPr>
              <w:t>X</w:t>
            </w:r>
            <w:r>
              <w:rPr>
                <w:rFonts w:ascii="Times New Roman" w:hAnsi="Times New Roman" w:eastAsia="宋体"/>
                <w:color w:val="000000" w:themeColor="text1"/>
                <w:sz w:val="24"/>
              </w:rPr>
              <w:t>0t/a，VOCs0</w:t>
            </w:r>
            <w:r>
              <w:rPr>
                <w:rFonts w:hint="eastAsia" w:ascii="Times New Roman" w:hAnsi="Times New Roman" w:eastAsia="宋体"/>
                <w:color w:val="000000" w:themeColor="text1"/>
                <w:sz w:val="24"/>
              </w:rPr>
              <w:t>.0686</w:t>
            </w:r>
            <w:r>
              <w:rPr>
                <w:rFonts w:ascii="Times New Roman" w:hAnsi="Times New Roman" w:eastAsia="宋体"/>
                <w:color w:val="000000" w:themeColor="text1"/>
                <w:sz w:val="24"/>
              </w:rPr>
              <w:t>t/a</w:t>
            </w:r>
            <w:r>
              <w:rPr>
                <w:rFonts w:hint="eastAsia" w:ascii="Times New Roman" w:hAnsi="Times New Roman" w:eastAsia="宋体"/>
                <w:color w:val="000000" w:themeColor="text1"/>
                <w:sz w:val="24"/>
              </w:rPr>
              <w:t>（</w:t>
            </w:r>
            <w:r>
              <w:rPr>
                <w:rFonts w:ascii="Times New Roman" w:hAnsi="Times New Roman" w:eastAsia="宋体"/>
                <w:color w:val="000000" w:themeColor="text1"/>
                <w:sz w:val="24"/>
              </w:rPr>
              <w:t>有组织</w:t>
            </w:r>
            <w:r>
              <w:rPr>
                <w:rFonts w:hint="eastAsia" w:ascii="Times New Roman" w:hAnsi="Times New Roman" w:eastAsia="宋体"/>
                <w:color w:val="000000" w:themeColor="text1"/>
                <w:sz w:val="24"/>
              </w:rPr>
              <w:t>0.0543t/a，无组织0.0143t/a）</w:t>
            </w:r>
            <w:r>
              <w:rPr>
                <w:rFonts w:ascii="Times New Roman" w:hAnsi="Times New Roman" w:eastAsia="宋体"/>
                <w:color w:val="000000" w:themeColor="text1"/>
                <w:sz w:val="24"/>
              </w:rPr>
              <w:t>。</w:t>
            </w:r>
          </w:p>
          <w:p>
            <w:pPr>
              <w:pStyle w:val="2"/>
              <w:spacing w:line="440" w:lineRule="exact"/>
              <w:ind w:firstLine="480" w:firstLineChars="200"/>
              <w:jc w:val="both"/>
              <w:rPr>
                <w:rFonts w:ascii="Times New Roman" w:hAnsi="Times New Roman" w:eastAsia="宋体"/>
                <w:color w:val="000000" w:themeColor="text1"/>
                <w:sz w:val="24"/>
              </w:rPr>
            </w:pPr>
            <w:r>
              <w:rPr>
                <w:rFonts w:ascii="Times New Roman" w:hAnsi="Times New Roman" w:eastAsia="宋体"/>
                <w:color w:val="000000" w:themeColor="text1"/>
                <w:sz w:val="24"/>
              </w:rPr>
              <w:t>本项目建设完成后</w:t>
            </w:r>
            <w:r>
              <w:rPr>
                <w:rFonts w:hint="eastAsia" w:ascii="Times New Roman" w:hAnsi="Times New Roman" w:eastAsia="宋体"/>
                <w:color w:val="000000" w:themeColor="text1"/>
                <w:sz w:val="24"/>
              </w:rPr>
              <w:t>，全厂污染物总量控制指标为有组织颗粒物</w:t>
            </w:r>
            <w:r>
              <w:rPr>
                <w:rFonts w:ascii="Times New Roman" w:hAnsi="Times New Roman" w:eastAsia="宋体"/>
                <w:color w:val="000000" w:themeColor="text1"/>
                <w:sz w:val="24"/>
              </w:rPr>
              <w:t>0.0</w:t>
            </w:r>
            <w:r>
              <w:rPr>
                <w:rFonts w:hint="eastAsia" w:ascii="Times New Roman" w:hAnsi="Times New Roman" w:eastAsia="宋体"/>
                <w:color w:val="000000" w:themeColor="text1"/>
                <w:sz w:val="24"/>
              </w:rPr>
              <w:t>156</w:t>
            </w:r>
            <w:r>
              <w:rPr>
                <w:rFonts w:ascii="Times New Roman" w:hAnsi="Times New Roman" w:eastAsia="宋体"/>
                <w:color w:val="000000" w:themeColor="text1"/>
                <w:sz w:val="24"/>
              </w:rPr>
              <w:t>t/a</w:t>
            </w:r>
            <w:r>
              <w:rPr>
                <w:rFonts w:hint="eastAsia" w:ascii="Times New Roman" w:hAnsi="Times New Roman" w:eastAsia="宋体"/>
                <w:color w:val="000000" w:themeColor="text1"/>
                <w:sz w:val="24"/>
              </w:rPr>
              <w:t>、VOCs0.4158t/a（</w:t>
            </w:r>
            <w:r>
              <w:rPr>
                <w:rFonts w:ascii="Times New Roman" w:hAnsi="Times New Roman" w:eastAsia="宋体"/>
                <w:color w:val="000000" w:themeColor="text1"/>
                <w:sz w:val="24"/>
              </w:rPr>
              <w:t>有组织</w:t>
            </w:r>
            <w:r>
              <w:rPr>
                <w:rFonts w:hint="eastAsia" w:ascii="Times New Roman" w:hAnsi="Times New Roman" w:eastAsia="宋体"/>
                <w:color w:val="000000" w:themeColor="text1"/>
                <w:sz w:val="24"/>
              </w:rPr>
              <w:t>0.4015t/a，无组织0.0143t/a）、</w:t>
            </w:r>
            <w:r>
              <w:rPr>
                <w:rFonts w:ascii="Times New Roman" w:hAnsi="Times New Roman" w:eastAsia="宋体"/>
                <w:color w:val="000000" w:themeColor="text1"/>
                <w:sz w:val="24"/>
              </w:rPr>
              <w:t>COD0.</w:t>
            </w:r>
            <w:r>
              <w:rPr>
                <w:rFonts w:hint="eastAsia" w:ascii="Times New Roman" w:hAnsi="Times New Roman" w:eastAsia="宋体"/>
                <w:color w:val="000000" w:themeColor="text1"/>
                <w:sz w:val="24"/>
              </w:rPr>
              <w:t>0252</w:t>
            </w:r>
            <w:r>
              <w:rPr>
                <w:rFonts w:ascii="Times New Roman" w:hAnsi="Times New Roman" w:eastAsia="宋体"/>
                <w:color w:val="000000" w:themeColor="text1"/>
                <w:sz w:val="24"/>
              </w:rPr>
              <w:t>t/a</w:t>
            </w:r>
            <w:r>
              <w:rPr>
                <w:rFonts w:hint="eastAsia" w:ascii="Times New Roman" w:hAnsi="Times New Roman" w:eastAsia="宋体"/>
                <w:color w:val="000000" w:themeColor="text1"/>
                <w:sz w:val="24"/>
              </w:rPr>
              <w:t>、</w:t>
            </w:r>
            <w:r>
              <w:rPr>
                <w:rFonts w:ascii="Times New Roman" w:hAnsi="Times New Roman" w:eastAsia="宋体"/>
                <w:color w:val="000000" w:themeColor="text1"/>
                <w:sz w:val="24"/>
              </w:rPr>
              <w:t>NH</w:t>
            </w:r>
            <w:r>
              <w:rPr>
                <w:rFonts w:ascii="Times New Roman" w:hAnsi="Times New Roman" w:eastAsia="宋体"/>
                <w:color w:val="000000" w:themeColor="text1"/>
                <w:sz w:val="24"/>
                <w:vertAlign w:val="subscript"/>
              </w:rPr>
              <w:t>3</w:t>
            </w:r>
            <w:r>
              <w:rPr>
                <w:rFonts w:ascii="Times New Roman" w:hAnsi="Times New Roman" w:eastAsia="宋体"/>
                <w:color w:val="000000" w:themeColor="text1"/>
                <w:sz w:val="24"/>
              </w:rPr>
              <w:t>-N0.0</w:t>
            </w:r>
            <w:r>
              <w:rPr>
                <w:rFonts w:hint="eastAsia" w:ascii="Times New Roman" w:hAnsi="Times New Roman" w:eastAsia="宋体"/>
                <w:color w:val="000000" w:themeColor="text1"/>
                <w:sz w:val="24"/>
              </w:rPr>
              <w:t>026</w:t>
            </w:r>
            <w:r>
              <w:rPr>
                <w:rFonts w:ascii="Times New Roman" w:hAnsi="Times New Roman" w:eastAsia="宋体"/>
                <w:color w:val="000000" w:themeColor="text1"/>
                <w:sz w:val="24"/>
              </w:rPr>
              <w:t>t/a</w:t>
            </w:r>
            <w:r>
              <w:rPr>
                <w:rFonts w:hint="eastAsia" w:ascii="Times New Roman" w:eastAsia="宋体"/>
                <w:color w:val="000000" w:themeColor="text1"/>
                <w:sz w:val="24"/>
              </w:rPr>
              <w:t>、</w:t>
            </w:r>
            <w:r>
              <w:rPr>
                <w:rFonts w:hint="eastAsia" w:ascii="Times New Roman" w:hAnsi="Times New Roman" w:eastAsia="宋体"/>
                <w:color w:val="000000" w:themeColor="text1"/>
                <w:sz w:val="24"/>
              </w:rPr>
              <w:t>TP0.0002t/a。</w:t>
            </w:r>
          </w:p>
          <w:p>
            <w:pPr>
              <w:adjustRightInd w:val="0"/>
              <w:snapToGrid w:val="0"/>
              <w:spacing w:line="440" w:lineRule="exact"/>
              <w:ind w:firstLine="482" w:firstLineChars="200"/>
              <w:rPr>
                <w:rFonts w:ascii="Times New Roman" w:hAnsi="Times New Roman" w:eastAsia="宋体"/>
                <w:b/>
                <w:color w:val="000000" w:themeColor="text1"/>
                <w:sz w:val="24"/>
              </w:rPr>
            </w:pPr>
            <w:r>
              <w:rPr>
                <w:rFonts w:ascii="Times New Roman" w:hAnsi="Times New Roman" w:eastAsia="宋体"/>
                <w:b/>
                <w:bCs/>
                <w:color w:val="000000" w:themeColor="text1"/>
                <w:sz w:val="24"/>
              </w:rPr>
              <w:t>二、建议</w:t>
            </w:r>
          </w:p>
          <w:p>
            <w:pPr>
              <w:widowControl/>
              <w:spacing w:line="440" w:lineRule="exact"/>
              <w:ind w:firstLine="480" w:firstLineChars="200"/>
              <w:rPr>
                <w:rFonts w:ascii="Times New Roman" w:hAnsi="Times New Roman" w:eastAsia="宋体"/>
                <w:color w:val="000000" w:themeColor="text1"/>
                <w:sz w:val="24"/>
              </w:rPr>
            </w:pPr>
            <w:r>
              <w:rPr>
                <w:rFonts w:ascii="Times New Roman" w:hAnsi="Times New Roman" w:eastAsia="宋体"/>
                <w:color w:val="000000" w:themeColor="text1"/>
                <w:sz w:val="24"/>
              </w:rPr>
              <w:t>（1）加强环境管理，保证各种环保设施正常运行。</w:t>
            </w:r>
          </w:p>
          <w:p>
            <w:pPr>
              <w:widowControl/>
              <w:spacing w:line="440" w:lineRule="exact"/>
              <w:ind w:firstLine="480" w:firstLineChars="200"/>
              <w:rPr>
                <w:rFonts w:ascii="Times New Roman" w:hAnsi="Times New Roman" w:eastAsia="宋体"/>
                <w:color w:val="000000" w:themeColor="text1"/>
                <w:sz w:val="24"/>
              </w:rPr>
            </w:pPr>
            <w:r>
              <w:rPr>
                <w:rFonts w:ascii="Times New Roman" w:hAnsi="Times New Roman" w:eastAsia="宋体"/>
                <w:color w:val="000000" w:themeColor="text1"/>
                <w:sz w:val="24"/>
              </w:rPr>
              <w:t>（2）建筑设计时安全系数要按规定，保证施工质量，不能有安全隐患。</w:t>
            </w:r>
          </w:p>
          <w:p>
            <w:pPr>
              <w:spacing w:line="440" w:lineRule="exact"/>
              <w:ind w:firstLine="480" w:firstLineChars="200"/>
              <w:rPr>
                <w:rFonts w:ascii="Times New Roman" w:hAnsi="Times New Roman" w:eastAsia="宋体"/>
                <w:color w:val="000000" w:themeColor="text1"/>
                <w:sz w:val="24"/>
              </w:rPr>
            </w:pPr>
            <w:r>
              <w:rPr>
                <w:rFonts w:ascii="Times New Roman" w:hAnsi="Times New Roman" w:eastAsia="宋体"/>
                <w:color w:val="000000" w:themeColor="text1"/>
                <w:sz w:val="24"/>
              </w:rPr>
              <w:t>（3）尽快完善厂区建设，并做好厂区绿化工作。加强环境意识教育，制定环保设施操作管理规程，建立健全各项环保岗位责任制，确保环保设施正常、稳定运行。</w:t>
            </w:r>
          </w:p>
          <w:p>
            <w:pPr>
              <w:spacing w:line="440" w:lineRule="exact"/>
              <w:ind w:firstLine="480" w:firstLineChars="200"/>
              <w:rPr>
                <w:rFonts w:ascii="Times New Roman" w:hAnsi="Times New Roman" w:eastAsia="宋体"/>
                <w:color w:val="000000" w:themeColor="text1"/>
                <w:sz w:val="24"/>
              </w:rPr>
            </w:pPr>
            <w:r>
              <w:rPr>
                <w:rFonts w:ascii="Times New Roman" w:hAnsi="Times New Roman" w:eastAsia="宋体"/>
                <w:color w:val="000000" w:themeColor="text1"/>
                <w:sz w:val="24"/>
              </w:rPr>
              <w:t>（4）加强职工操作培训，提高职工技术水平和环保意识。</w:t>
            </w:r>
          </w:p>
          <w:p>
            <w:pPr>
              <w:spacing w:line="440" w:lineRule="exact"/>
              <w:ind w:firstLine="480" w:firstLineChars="200"/>
              <w:rPr>
                <w:rFonts w:ascii="Times New Roman" w:hAnsi="Times New Roman" w:eastAsia="宋体"/>
                <w:color w:val="000000" w:themeColor="text1"/>
                <w:sz w:val="24"/>
              </w:rPr>
            </w:pPr>
            <w:r>
              <w:rPr>
                <w:rFonts w:ascii="Times New Roman" w:hAnsi="Times New Roman" w:eastAsia="宋体"/>
                <w:color w:val="000000" w:themeColor="text1"/>
                <w:sz w:val="24"/>
              </w:rPr>
              <w:t>（5）严格执行环保“三同时”制度，项目建成后及时向环境保护主管部门申请环保验收。</w:t>
            </w:r>
          </w:p>
          <w:p>
            <w:pPr>
              <w:adjustRightInd w:val="0"/>
              <w:snapToGrid w:val="0"/>
              <w:spacing w:line="440" w:lineRule="exact"/>
              <w:ind w:firstLine="482" w:firstLineChars="200"/>
              <w:rPr>
                <w:rFonts w:ascii="Times New Roman" w:hAnsi="Times New Roman" w:eastAsia="宋体"/>
                <w:b/>
                <w:bCs/>
                <w:color w:val="000000" w:themeColor="text1"/>
                <w:sz w:val="24"/>
              </w:rPr>
            </w:pPr>
            <w:r>
              <w:rPr>
                <w:rFonts w:ascii="Times New Roman" w:hAnsi="Times New Roman" w:eastAsia="宋体"/>
                <w:b/>
                <w:bCs/>
                <w:color w:val="000000" w:themeColor="text1"/>
                <w:sz w:val="24"/>
              </w:rPr>
              <w:t>三、环评总结论</w:t>
            </w:r>
          </w:p>
          <w:p>
            <w:pPr>
              <w:widowControl/>
              <w:spacing w:line="440" w:lineRule="exact"/>
              <w:ind w:firstLine="480" w:firstLineChars="200"/>
              <w:rPr>
                <w:rFonts w:ascii="Times New Roman" w:hAnsi="Times New Roman" w:eastAsia="宋体"/>
                <w:bCs/>
                <w:color w:val="000000" w:themeColor="text1"/>
                <w:kern w:val="0"/>
                <w:sz w:val="24"/>
              </w:rPr>
            </w:pPr>
            <w:r>
              <w:rPr>
                <w:rFonts w:hint="eastAsia" w:ascii="Times New Roman" w:hAnsi="Times New Roman" w:eastAsia="宋体"/>
                <w:bCs/>
                <w:color w:val="000000" w:themeColor="text1"/>
                <w:sz w:val="24"/>
              </w:rPr>
              <w:t>新乡市顺风船科技有限公司年产1200吨塑料磁吸门帘</w:t>
            </w:r>
            <w:r>
              <w:rPr>
                <w:rFonts w:ascii="Times New Roman" w:hAnsi="Times New Roman" w:eastAsia="宋体"/>
                <w:bCs/>
                <w:color w:val="000000" w:themeColor="text1"/>
                <w:sz w:val="24"/>
              </w:rPr>
              <w:t>项目</w:t>
            </w:r>
            <w:r>
              <w:rPr>
                <w:rFonts w:ascii="Times New Roman" w:hAnsi="Times New Roman" w:eastAsia="宋体"/>
                <w:bCs/>
                <w:color w:val="000000" w:themeColor="text1"/>
                <w:kern w:val="0"/>
                <w:sz w:val="24"/>
              </w:rPr>
              <w:t>位于</w:t>
            </w:r>
            <w:r>
              <w:rPr>
                <w:rFonts w:ascii="Times New Roman" w:hAnsi="Times New Roman" w:eastAsia="宋体"/>
                <w:bCs/>
                <w:color w:val="000000" w:themeColor="text1"/>
                <w:sz w:val="24"/>
              </w:rPr>
              <w:t>新乡市新乡县七里营镇</w:t>
            </w:r>
            <w:r>
              <w:rPr>
                <w:rFonts w:hint="eastAsia" w:ascii="Times New Roman" w:hAnsi="Times New Roman" w:eastAsia="宋体"/>
                <w:bCs/>
                <w:color w:val="000000" w:themeColor="text1"/>
                <w:sz w:val="24"/>
              </w:rPr>
              <w:t>107国道与胡韦线交叉口中原兴业产业园</w:t>
            </w:r>
            <w:r>
              <w:rPr>
                <w:rFonts w:ascii="Times New Roman" w:hAnsi="Times New Roman" w:eastAsia="宋体"/>
                <w:bCs/>
                <w:color w:val="000000" w:themeColor="text1"/>
                <w:kern w:val="0"/>
                <w:sz w:val="24"/>
              </w:rPr>
              <w:t>，项目属于允许类，符合国家产业政策，选址符合</w:t>
            </w:r>
            <w:r>
              <w:rPr>
                <w:rFonts w:hint="eastAsia" w:ascii="Times New Roman" w:hAnsi="Times New Roman" w:eastAsia="宋体"/>
                <w:color w:val="000000" w:themeColor="text1"/>
                <w:sz w:val="24"/>
              </w:rPr>
              <w:t>新乡经济技术产业集聚区总体发展规划</w:t>
            </w:r>
            <w:r>
              <w:rPr>
                <w:rFonts w:ascii="Times New Roman" w:hAnsi="Times New Roman" w:eastAsia="宋体"/>
                <w:bCs/>
                <w:color w:val="000000" w:themeColor="text1"/>
                <w:kern w:val="0"/>
                <w:sz w:val="24"/>
              </w:rPr>
              <w:t>。项目产生的污染物经采用合理的环保措施治理后，均可做到妥善治理和处置，对周围环境影响小，可以实现其经济效益、社会效益和环境效益的协调发展。因此，从环保角度分析，项目建设可行。</w:t>
            </w:r>
          </w:p>
          <w:p>
            <w:pPr>
              <w:tabs>
                <w:tab w:val="left" w:pos="540"/>
              </w:tabs>
              <w:adjustRightInd w:val="0"/>
              <w:snapToGrid w:val="0"/>
              <w:spacing w:line="440" w:lineRule="exact"/>
              <w:ind w:right="480"/>
              <w:rPr>
                <w:rFonts w:ascii="Times New Roman" w:hAnsi="Times New Roman" w:eastAsia="宋体"/>
                <w:color w:val="000000" w:themeColor="text1"/>
                <w:sz w:val="24"/>
              </w:rPr>
            </w:pPr>
          </w:p>
          <w:p>
            <w:pPr>
              <w:tabs>
                <w:tab w:val="left" w:pos="540"/>
              </w:tabs>
              <w:adjustRightInd w:val="0"/>
              <w:snapToGrid w:val="0"/>
              <w:spacing w:line="440" w:lineRule="exact"/>
              <w:ind w:right="120" w:firstLine="480" w:firstLineChars="200"/>
              <w:jc w:val="right"/>
              <w:rPr>
                <w:rFonts w:ascii="Times New Roman" w:hAnsi="Times New Roman" w:eastAsia="宋体"/>
                <w:color w:val="000000" w:themeColor="text1"/>
                <w:sz w:val="24"/>
              </w:rPr>
            </w:pPr>
          </w:p>
          <w:p>
            <w:pPr>
              <w:pStyle w:val="2"/>
              <w:rPr>
                <w:color w:val="000000" w:themeColor="text1"/>
              </w:rPr>
            </w:pPr>
          </w:p>
          <w:p>
            <w:pPr>
              <w:rPr>
                <w:color w:val="000000" w:themeColor="text1"/>
              </w:rPr>
            </w:pPr>
          </w:p>
          <w:p>
            <w:pPr>
              <w:rPr>
                <w:color w:val="000000" w:themeColor="text1"/>
              </w:rPr>
            </w:pPr>
          </w:p>
          <w:p>
            <w:pPr>
              <w:tabs>
                <w:tab w:val="left" w:pos="540"/>
              </w:tabs>
              <w:adjustRightInd w:val="0"/>
              <w:snapToGrid w:val="0"/>
              <w:spacing w:line="440" w:lineRule="exact"/>
              <w:ind w:firstLine="480" w:firstLineChars="200"/>
              <w:jc w:val="right"/>
              <w:rPr>
                <w:rFonts w:ascii="Times New Roman" w:hAnsi="Times New Roman" w:eastAsia="宋体"/>
                <w:color w:val="000000" w:themeColor="text1"/>
                <w:sz w:val="24"/>
              </w:rPr>
            </w:pPr>
            <w:r>
              <w:rPr>
                <w:rFonts w:ascii="Times New Roman" w:hAnsi="Times New Roman" w:eastAsia="宋体"/>
                <w:color w:val="000000" w:themeColor="text1"/>
                <w:sz w:val="24"/>
              </w:rPr>
              <w:t>新乡市译洋环境技术有限公司</w:t>
            </w:r>
          </w:p>
          <w:p>
            <w:pPr>
              <w:pStyle w:val="23"/>
              <w:spacing w:after="0" w:line="570" w:lineRule="exact"/>
              <w:ind w:firstLine="461"/>
              <w:rPr>
                <w:color w:val="000000" w:themeColor="text1"/>
                <w:sz w:val="24"/>
              </w:rPr>
            </w:pPr>
            <w:r>
              <w:rPr>
                <w:color w:val="000000" w:themeColor="text1"/>
                <w:sz w:val="24"/>
              </w:rPr>
              <w:t xml:space="preserve">                                                  2020年</w:t>
            </w:r>
            <w:r>
              <w:rPr>
                <w:rFonts w:hint="eastAsia"/>
                <w:color w:val="000000" w:themeColor="text1"/>
                <w:sz w:val="24"/>
              </w:rPr>
              <w:t>9</w:t>
            </w:r>
            <w:r>
              <w:rPr>
                <w:color w:val="000000" w:themeColor="text1"/>
                <w:sz w:val="24"/>
              </w:rPr>
              <w:t>月</w:t>
            </w:r>
          </w:p>
          <w:p>
            <w:pPr>
              <w:pStyle w:val="23"/>
              <w:spacing w:after="0" w:line="570" w:lineRule="exact"/>
              <w:ind w:firstLine="461"/>
              <w:rPr>
                <w:color w:val="000000" w:themeColor="text1"/>
                <w:sz w:val="24"/>
              </w:rPr>
            </w:pPr>
          </w:p>
          <w:p>
            <w:pPr>
              <w:pStyle w:val="23"/>
              <w:spacing w:after="0" w:line="570" w:lineRule="exact"/>
              <w:ind w:firstLine="461"/>
              <w:rPr>
                <w:color w:val="000000" w:themeColor="text1"/>
                <w:sz w:val="24"/>
              </w:rPr>
            </w:pPr>
          </w:p>
          <w:p>
            <w:pPr>
              <w:pStyle w:val="23"/>
              <w:spacing w:after="0" w:line="570" w:lineRule="exact"/>
              <w:ind w:firstLine="461"/>
              <w:rPr>
                <w:color w:val="000000" w:themeColor="text1"/>
                <w:sz w:val="24"/>
              </w:rPr>
            </w:pPr>
          </w:p>
          <w:p>
            <w:pPr>
              <w:pStyle w:val="23"/>
              <w:spacing w:after="0" w:line="570" w:lineRule="exact"/>
              <w:ind w:firstLine="461"/>
              <w:rPr>
                <w:color w:val="000000" w:themeColor="text1"/>
                <w:sz w:val="24"/>
              </w:rPr>
            </w:pPr>
          </w:p>
          <w:p>
            <w:pPr>
              <w:pStyle w:val="23"/>
              <w:spacing w:after="0" w:line="570" w:lineRule="exact"/>
              <w:ind w:firstLine="461"/>
              <w:rPr>
                <w:color w:val="000000" w:themeColor="text1"/>
                <w:sz w:val="24"/>
              </w:rPr>
            </w:pPr>
          </w:p>
          <w:p>
            <w:pPr>
              <w:pStyle w:val="23"/>
              <w:spacing w:after="0" w:line="570" w:lineRule="exact"/>
              <w:ind w:firstLine="461"/>
              <w:rPr>
                <w:color w:val="000000" w:themeColor="text1"/>
                <w:sz w:val="24"/>
              </w:rPr>
            </w:pPr>
          </w:p>
          <w:p>
            <w:pPr>
              <w:pStyle w:val="23"/>
              <w:spacing w:after="0" w:line="570" w:lineRule="exact"/>
              <w:ind w:firstLine="461"/>
              <w:rPr>
                <w:color w:val="000000" w:themeColor="text1"/>
                <w:sz w:val="24"/>
              </w:rPr>
            </w:pPr>
          </w:p>
          <w:p>
            <w:pPr>
              <w:pStyle w:val="23"/>
              <w:spacing w:after="0" w:line="570" w:lineRule="exact"/>
              <w:ind w:firstLine="461"/>
              <w:rPr>
                <w:color w:val="000000" w:themeColor="text1"/>
                <w:sz w:val="24"/>
              </w:rPr>
            </w:pPr>
          </w:p>
          <w:p>
            <w:pPr>
              <w:pStyle w:val="23"/>
              <w:spacing w:after="0" w:line="570" w:lineRule="exact"/>
              <w:ind w:firstLine="461"/>
              <w:rPr>
                <w:color w:val="000000" w:themeColor="text1"/>
                <w:sz w:val="24"/>
              </w:rPr>
            </w:pPr>
          </w:p>
          <w:p>
            <w:pPr>
              <w:pStyle w:val="23"/>
              <w:spacing w:after="0" w:line="570" w:lineRule="exact"/>
              <w:ind w:firstLine="461"/>
              <w:rPr>
                <w:color w:val="000000" w:themeColor="text1"/>
                <w:sz w:val="24"/>
              </w:rPr>
            </w:pPr>
          </w:p>
          <w:p>
            <w:pPr>
              <w:pStyle w:val="23"/>
              <w:spacing w:after="0" w:line="570" w:lineRule="exact"/>
              <w:ind w:firstLine="461"/>
              <w:rPr>
                <w:color w:val="000000" w:themeColor="text1"/>
                <w:sz w:val="24"/>
              </w:rPr>
            </w:pPr>
          </w:p>
          <w:p>
            <w:pPr>
              <w:pStyle w:val="23"/>
              <w:spacing w:after="0" w:line="570" w:lineRule="exact"/>
              <w:ind w:firstLine="461"/>
              <w:rPr>
                <w:color w:val="000000" w:themeColor="text1"/>
                <w:sz w:val="24"/>
              </w:rPr>
            </w:pPr>
          </w:p>
          <w:p>
            <w:pPr>
              <w:pStyle w:val="23"/>
              <w:spacing w:after="0" w:line="570" w:lineRule="exact"/>
              <w:ind w:left="0" w:leftChars="0" w:firstLine="0" w:firstLineChars="0"/>
              <w:rPr>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68" w:hRule="atLeast"/>
          <w:jc w:val="center"/>
        </w:trPr>
        <w:tc>
          <w:tcPr>
            <w:tcW w:w="9242" w:type="dxa"/>
          </w:tcPr>
          <w:p>
            <w:pPr>
              <w:spacing w:line="480" w:lineRule="exact"/>
              <w:rPr>
                <w:rFonts w:ascii="Times New Roman" w:hAnsi="Times New Roman" w:eastAsia="宋体"/>
                <w:color w:val="000000" w:themeColor="text1"/>
                <w:sz w:val="24"/>
              </w:rPr>
            </w:pPr>
            <w:r>
              <w:rPr>
                <w:rFonts w:ascii="Times New Roman" w:hAnsi="Times New Roman" w:eastAsia="宋体"/>
                <w:color w:val="000000" w:themeColor="text1"/>
                <w:sz w:val="24"/>
              </w:rPr>
              <w:t>预审意见：</w:t>
            </w:r>
          </w:p>
          <w:p>
            <w:pPr>
              <w:spacing w:line="480" w:lineRule="exact"/>
              <w:rPr>
                <w:rFonts w:ascii="Times New Roman" w:hAnsi="Times New Roman" w:eastAsia="宋体"/>
                <w:color w:val="000000" w:themeColor="text1"/>
                <w:sz w:val="24"/>
              </w:rPr>
            </w:pPr>
          </w:p>
          <w:p>
            <w:pPr>
              <w:spacing w:line="480" w:lineRule="exact"/>
              <w:rPr>
                <w:rFonts w:ascii="Times New Roman" w:hAnsi="Times New Roman" w:eastAsia="宋体"/>
                <w:color w:val="000000" w:themeColor="text1"/>
                <w:sz w:val="24"/>
              </w:rPr>
            </w:pPr>
          </w:p>
          <w:p>
            <w:pPr>
              <w:spacing w:line="480" w:lineRule="exact"/>
              <w:rPr>
                <w:rFonts w:ascii="Times New Roman" w:hAnsi="Times New Roman" w:eastAsia="宋体"/>
                <w:color w:val="000000" w:themeColor="text1"/>
                <w:sz w:val="24"/>
              </w:rPr>
            </w:pPr>
          </w:p>
          <w:p>
            <w:pPr>
              <w:spacing w:line="480" w:lineRule="exact"/>
              <w:rPr>
                <w:rFonts w:ascii="Times New Roman" w:hAnsi="Times New Roman" w:eastAsia="宋体"/>
                <w:color w:val="000000" w:themeColor="text1"/>
                <w:sz w:val="24"/>
              </w:rPr>
            </w:pPr>
          </w:p>
          <w:p>
            <w:pPr>
              <w:spacing w:line="480" w:lineRule="exact"/>
              <w:rPr>
                <w:rFonts w:ascii="Times New Roman" w:hAnsi="Times New Roman" w:eastAsia="宋体"/>
                <w:color w:val="000000" w:themeColor="text1"/>
                <w:sz w:val="24"/>
              </w:rPr>
            </w:pPr>
          </w:p>
          <w:p>
            <w:pPr>
              <w:spacing w:line="480" w:lineRule="exact"/>
              <w:rPr>
                <w:rFonts w:ascii="Times New Roman" w:hAnsi="Times New Roman" w:eastAsia="宋体"/>
                <w:color w:val="000000" w:themeColor="text1"/>
                <w:sz w:val="24"/>
              </w:rPr>
            </w:pPr>
          </w:p>
          <w:p>
            <w:pPr>
              <w:spacing w:line="480" w:lineRule="exact"/>
              <w:rPr>
                <w:rFonts w:ascii="Times New Roman" w:hAnsi="Times New Roman" w:eastAsia="宋体"/>
                <w:color w:val="000000" w:themeColor="text1"/>
                <w:sz w:val="24"/>
              </w:rPr>
            </w:pPr>
          </w:p>
          <w:p>
            <w:pPr>
              <w:spacing w:line="480" w:lineRule="exact"/>
              <w:rPr>
                <w:rFonts w:ascii="Times New Roman" w:hAnsi="Times New Roman" w:eastAsia="宋体"/>
                <w:color w:val="000000" w:themeColor="text1"/>
                <w:sz w:val="24"/>
              </w:rPr>
            </w:pPr>
          </w:p>
          <w:p>
            <w:pPr>
              <w:spacing w:line="480" w:lineRule="exact"/>
              <w:ind w:firstLine="6496" w:firstLineChars="2707"/>
              <w:rPr>
                <w:rFonts w:ascii="Times New Roman" w:hAnsi="Times New Roman" w:eastAsia="宋体"/>
                <w:color w:val="000000" w:themeColor="text1"/>
                <w:sz w:val="24"/>
              </w:rPr>
            </w:pPr>
            <w:r>
              <w:rPr>
                <w:rFonts w:ascii="Times New Roman" w:hAnsi="Times New Roman" w:eastAsia="宋体"/>
                <w:color w:val="000000" w:themeColor="text1"/>
                <w:sz w:val="24"/>
              </w:rPr>
              <w:t>公    章</w:t>
            </w:r>
          </w:p>
          <w:p>
            <w:pPr>
              <w:spacing w:line="480" w:lineRule="exact"/>
              <w:ind w:firstLine="6496" w:firstLineChars="2707"/>
              <w:rPr>
                <w:rFonts w:ascii="Times New Roman" w:hAnsi="Times New Roman" w:eastAsia="宋体"/>
                <w:color w:val="000000" w:themeColor="text1"/>
                <w:sz w:val="24"/>
              </w:rPr>
            </w:pPr>
          </w:p>
          <w:p>
            <w:pPr>
              <w:spacing w:line="480" w:lineRule="exact"/>
              <w:rPr>
                <w:rFonts w:ascii="Times New Roman" w:hAnsi="Times New Roman" w:eastAsia="宋体"/>
                <w:color w:val="000000" w:themeColor="text1"/>
                <w:sz w:val="24"/>
              </w:rPr>
            </w:pPr>
            <w:r>
              <w:rPr>
                <w:rFonts w:ascii="Times New Roman" w:hAnsi="Times New Roman" w:eastAsia="宋体"/>
                <w:color w:val="000000" w:themeColor="text1"/>
                <w:sz w:val="24"/>
              </w:rPr>
              <w:t>经办人：                                           年     月    日</w:t>
            </w:r>
          </w:p>
          <w:p>
            <w:pPr>
              <w:spacing w:line="480" w:lineRule="exact"/>
              <w:rPr>
                <w:rFonts w:ascii="Times New Roman" w:hAnsi="Times New Roman" w:eastAsia="宋体"/>
                <w:color w:val="000000" w:themeColor="text1"/>
                <w:sz w:val="24"/>
              </w:rPr>
            </w:pPr>
            <w:r>
              <w:rPr>
                <w:rFonts w:ascii="Times New Roman" w:hAnsi="Times New Roman" w:eastAsia="宋体"/>
                <w:color w:val="000000" w:themeColor="text1"/>
                <w:sz w:val="24"/>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86" w:hRule="atLeast"/>
          <w:jc w:val="center"/>
        </w:trPr>
        <w:tc>
          <w:tcPr>
            <w:tcW w:w="9242" w:type="dxa"/>
          </w:tcPr>
          <w:p>
            <w:pPr>
              <w:rPr>
                <w:rFonts w:ascii="Times New Roman" w:hAnsi="Times New Roman" w:eastAsia="宋体"/>
                <w:color w:val="000000" w:themeColor="text1"/>
                <w:sz w:val="24"/>
              </w:rPr>
            </w:pPr>
          </w:p>
          <w:p>
            <w:pPr>
              <w:rPr>
                <w:rFonts w:ascii="Times New Roman" w:hAnsi="Times New Roman" w:eastAsia="宋体"/>
                <w:color w:val="000000" w:themeColor="text1"/>
                <w:sz w:val="24"/>
              </w:rPr>
            </w:pPr>
            <w:r>
              <w:rPr>
                <w:rFonts w:ascii="Times New Roman" w:hAnsi="Times New Roman" w:eastAsia="宋体"/>
                <w:color w:val="000000" w:themeColor="text1"/>
                <w:sz w:val="24"/>
              </w:rPr>
              <w:t>下一级环境保护行政主管部门审查意见：</w:t>
            </w:r>
          </w:p>
          <w:p>
            <w:pPr>
              <w:rPr>
                <w:rFonts w:ascii="Times New Roman" w:hAnsi="Times New Roman" w:eastAsia="宋体"/>
                <w:color w:val="000000" w:themeColor="text1"/>
                <w:sz w:val="24"/>
              </w:rPr>
            </w:pPr>
          </w:p>
          <w:p>
            <w:pPr>
              <w:rPr>
                <w:rFonts w:ascii="Times New Roman" w:hAnsi="Times New Roman" w:eastAsia="宋体"/>
                <w:color w:val="000000" w:themeColor="text1"/>
                <w:sz w:val="24"/>
              </w:rPr>
            </w:pPr>
          </w:p>
          <w:p>
            <w:pPr>
              <w:rPr>
                <w:rFonts w:ascii="Times New Roman" w:hAnsi="Times New Roman" w:eastAsia="宋体"/>
                <w:color w:val="000000" w:themeColor="text1"/>
                <w:sz w:val="24"/>
              </w:rPr>
            </w:pPr>
          </w:p>
          <w:p>
            <w:pPr>
              <w:rPr>
                <w:rFonts w:ascii="Times New Roman" w:hAnsi="Times New Roman" w:eastAsia="宋体"/>
                <w:color w:val="000000" w:themeColor="text1"/>
                <w:sz w:val="24"/>
              </w:rPr>
            </w:pPr>
          </w:p>
          <w:p>
            <w:pPr>
              <w:pStyle w:val="23"/>
              <w:ind w:firstLine="461"/>
              <w:rPr>
                <w:color w:val="000000" w:themeColor="text1"/>
                <w:sz w:val="24"/>
              </w:rPr>
            </w:pPr>
          </w:p>
          <w:p>
            <w:pPr>
              <w:pStyle w:val="23"/>
              <w:ind w:firstLine="461"/>
              <w:rPr>
                <w:color w:val="000000" w:themeColor="text1"/>
                <w:sz w:val="24"/>
              </w:rPr>
            </w:pPr>
          </w:p>
          <w:p>
            <w:pPr>
              <w:pStyle w:val="23"/>
              <w:ind w:firstLine="461"/>
              <w:rPr>
                <w:color w:val="000000" w:themeColor="text1"/>
                <w:sz w:val="24"/>
              </w:rPr>
            </w:pPr>
          </w:p>
          <w:p>
            <w:pPr>
              <w:pStyle w:val="23"/>
              <w:ind w:firstLine="461"/>
              <w:rPr>
                <w:color w:val="000000" w:themeColor="text1"/>
                <w:sz w:val="24"/>
              </w:rPr>
            </w:pPr>
          </w:p>
          <w:p>
            <w:pPr>
              <w:rPr>
                <w:rFonts w:ascii="Times New Roman" w:hAnsi="Times New Roman" w:eastAsia="宋体"/>
                <w:color w:val="000000" w:themeColor="text1"/>
                <w:sz w:val="24"/>
              </w:rPr>
            </w:pPr>
          </w:p>
          <w:p>
            <w:pPr>
              <w:rPr>
                <w:rFonts w:ascii="Times New Roman" w:hAnsi="Times New Roman" w:eastAsia="宋体"/>
                <w:color w:val="000000" w:themeColor="text1"/>
                <w:sz w:val="24"/>
              </w:rPr>
            </w:pPr>
          </w:p>
          <w:p>
            <w:pPr>
              <w:rPr>
                <w:rFonts w:ascii="Times New Roman" w:hAnsi="Times New Roman" w:eastAsia="宋体"/>
                <w:color w:val="000000" w:themeColor="text1"/>
                <w:sz w:val="24"/>
              </w:rPr>
            </w:pPr>
          </w:p>
          <w:p>
            <w:pPr>
              <w:spacing w:line="480" w:lineRule="exact"/>
              <w:ind w:firstLine="7209" w:firstLineChars="3004"/>
              <w:rPr>
                <w:rFonts w:ascii="Times New Roman" w:hAnsi="Times New Roman" w:eastAsia="宋体"/>
                <w:color w:val="000000" w:themeColor="text1"/>
                <w:sz w:val="24"/>
              </w:rPr>
            </w:pPr>
            <w:r>
              <w:rPr>
                <w:rFonts w:ascii="Times New Roman" w:hAnsi="Times New Roman" w:eastAsia="宋体"/>
                <w:color w:val="000000" w:themeColor="text1"/>
                <w:sz w:val="24"/>
              </w:rPr>
              <w:t>公    章</w:t>
            </w:r>
          </w:p>
          <w:p>
            <w:pPr>
              <w:spacing w:line="480" w:lineRule="exact"/>
              <w:ind w:firstLine="6256" w:firstLineChars="2607"/>
              <w:rPr>
                <w:rFonts w:ascii="Times New Roman" w:hAnsi="Times New Roman" w:eastAsia="宋体"/>
                <w:color w:val="000000" w:themeColor="text1"/>
                <w:sz w:val="24"/>
              </w:rPr>
            </w:pPr>
          </w:p>
          <w:p>
            <w:pPr>
              <w:rPr>
                <w:rFonts w:ascii="Times New Roman" w:hAnsi="Times New Roman" w:eastAsia="宋体"/>
                <w:color w:val="000000" w:themeColor="text1"/>
                <w:sz w:val="24"/>
              </w:rPr>
            </w:pPr>
            <w:r>
              <w:rPr>
                <w:rFonts w:ascii="Times New Roman" w:hAnsi="Times New Roman" w:eastAsia="宋体"/>
                <w:color w:val="000000" w:themeColor="text1"/>
                <w:sz w:val="24"/>
              </w:rPr>
              <w:t>经办人：                                                 年     月    日</w:t>
            </w:r>
          </w:p>
          <w:p>
            <w:pPr>
              <w:rPr>
                <w:rFonts w:ascii="Times New Roman" w:hAnsi="Times New Roman" w:eastAsia="宋体"/>
                <w:color w:val="000000" w:themeColor="text1"/>
                <w:sz w:val="24"/>
              </w:rPr>
            </w:pPr>
          </w:p>
          <w:p>
            <w:pPr>
              <w:pStyle w:val="23"/>
              <w:ind w:firstLine="461"/>
              <w:rPr>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539" w:hRule="atLeast"/>
          <w:jc w:val="center"/>
        </w:trPr>
        <w:tc>
          <w:tcPr>
            <w:tcW w:w="9242" w:type="dxa"/>
          </w:tcPr>
          <w:p>
            <w:pPr>
              <w:rPr>
                <w:rFonts w:ascii="Times New Roman" w:hAnsi="Times New Roman" w:eastAsia="宋体"/>
                <w:color w:val="000000" w:themeColor="text1"/>
                <w:sz w:val="24"/>
              </w:rPr>
            </w:pPr>
          </w:p>
          <w:p>
            <w:pPr>
              <w:rPr>
                <w:rFonts w:ascii="Times New Roman" w:hAnsi="Times New Roman" w:eastAsia="宋体"/>
                <w:color w:val="000000" w:themeColor="text1"/>
                <w:sz w:val="24"/>
              </w:rPr>
            </w:pPr>
            <w:r>
              <w:rPr>
                <w:rFonts w:ascii="Times New Roman" w:hAnsi="Times New Roman" w:eastAsia="宋体"/>
                <w:color w:val="000000" w:themeColor="text1"/>
                <w:sz w:val="24"/>
              </w:rPr>
              <w:t>审批意见：</w:t>
            </w:r>
          </w:p>
          <w:p>
            <w:pPr>
              <w:rPr>
                <w:rFonts w:ascii="Times New Roman" w:hAnsi="Times New Roman" w:eastAsia="宋体"/>
                <w:color w:val="000000" w:themeColor="text1"/>
                <w:sz w:val="24"/>
              </w:rPr>
            </w:pPr>
          </w:p>
          <w:p>
            <w:pPr>
              <w:rPr>
                <w:rFonts w:ascii="Times New Roman" w:hAnsi="Times New Roman" w:eastAsia="宋体"/>
                <w:color w:val="000000" w:themeColor="text1"/>
                <w:sz w:val="24"/>
              </w:rPr>
            </w:pPr>
          </w:p>
          <w:p>
            <w:pPr>
              <w:rPr>
                <w:rFonts w:ascii="Times New Roman" w:hAnsi="Times New Roman" w:eastAsia="宋体"/>
                <w:color w:val="000000" w:themeColor="text1"/>
                <w:sz w:val="24"/>
              </w:rPr>
            </w:pPr>
          </w:p>
          <w:p>
            <w:pPr>
              <w:rPr>
                <w:rFonts w:ascii="Times New Roman" w:hAnsi="Times New Roman" w:eastAsia="宋体"/>
                <w:color w:val="000000" w:themeColor="text1"/>
                <w:sz w:val="24"/>
              </w:rPr>
            </w:pPr>
          </w:p>
          <w:p>
            <w:pPr>
              <w:rPr>
                <w:rFonts w:ascii="Times New Roman" w:hAnsi="Times New Roman" w:eastAsia="宋体"/>
                <w:color w:val="000000" w:themeColor="text1"/>
                <w:sz w:val="24"/>
              </w:rPr>
            </w:pPr>
          </w:p>
          <w:p>
            <w:pPr>
              <w:rPr>
                <w:rFonts w:ascii="Times New Roman" w:hAnsi="Times New Roman" w:eastAsia="宋体"/>
                <w:color w:val="000000" w:themeColor="text1"/>
                <w:sz w:val="24"/>
              </w:rPr>
            </w:pPr>
          </w:p>
          <w:p>
            <w:pPr>
              <w:rPr>
                <w:rFonts w:ascii="Times New Roman" w:hAnsi="Times New Roman" w:eastAsia="宋体"/>
                <w:color w:val="000000" w:themeColor="text1"/>
                <w:sz w:val="24"/>
              </w:rPr>
            </w:pPr>
          </w:p>
          <w:p>
            <w:pPr>
              <w:rPr>
                <w:rFonts w:ascii="Times New Roman" w:hAnsi="Times New Roman" w:eastAsia="宋体"/>
                <w:color w:val="000000" w:themeColor="text1"/>
                <w:sz w:val="24"/>
              </w:rPr>
            </w:pPr>
          </w:p>
          <w:p>
            <w:pPr>
              <w:pStyle w:val="23"/>
              <w:ind w:firstLine="461"/>
              <w:rPr>
                <w:color w:val="000000" w:themeColor="text1"/>
                <w:sz w:val="24"/>
              </w:rPr>
            </w:pPr>
          </w:p>
          <w:p>
            <w:pPr>
              <w:pStyle w:val="23"/>
              <w:ind w:firstLine="461"/>
              <w:rPr>
                <w:color w:val="000000" w:themeColor="text1"/>
                <w:sz w:val="24"/>
              </w:rPr>
            </w:pPr>
          </w:p>
          <w:p>
            <w:pPr>
              <w:pStyle w:val="23"/>
              <w:ind w:firstLine="461"/>
              <w:rPr>
                <w:color w:val="000000" w:themeColor="text1"/>
                <w:sz w:val="24"/>
              </w:rPr>
            </w:pPr>
          </w:p>
          <w:p>
            <w:pPr>
              <w:pStyle w:val="23"/>
              <w:ind w:firstLine="461"/>
              <w:rPr>
                <w:color w:val="000000" w:themeColor="text1"/>
                <w:sz w:val="24"/>
              </w:rPr>
            </w:pPr>
          </w:p>
          <w:p>
            <w:pPr>
              <w:pStyle w:val="23"/>
              <w:ind w:firstLine="461"/>
              <w:rPr>
                <w:color w:val="000000" w:themeColor="text1"/>
                <w:sz w:val="24"/>
              </w:rPr>
            </w:pPr>
          </w:p>
          <w:p>
            <w:pPr>
              <w:pStyle w:val="23"/>
              <w:ind w:firstLine="461"/>
              <w:rPr>
                <w:color w:val="000000" w:themeColor="text1"/>
                <w:sz w:val="24"/>
              </w:rPr>
            </w:pPr>
          </w:p>
          <w:p>
            <w:pPr>
              <w:pStyle w:val="23"/>
              <w:ind w:firstLine="461"/>
              <w:rPr>
                <w:color w:val="000000" w:themeColor="text1"/>
                <w:sz w:val="24"/>
              </w:rPr>
            </w:pPr>
          </w:p>
          <w:p>
            <w:pPr>
              <w:pStyle w:val="23"/>
              <w:ind w:firstLine="461"/>
              <w:rPr>
                <w:color w:val="000000" w:themeColor="text1"/>
                <w:sz w:val="24"/>
              </w:rPr>
            </w:pPr>
          </w:p>
          <w:p>
            <w:pPr>
              <w:pStyle w:val="23"/>
              <w:ind w:firstLine="461"/>
              <w:rPr>
                <w:color w:val="000000" w:themeColor="text1"/>
                <w:sz w:val="24"/>
              </w:rPr>
            </w:pPr>
          </w:p>
          <w:p>
            <w:pPr>
              <w:pStyle w:val="23"/>
              <w:ind w:firstLine="461"/>
              <w:rPr>
                <w:color w:val="000000" w:themeColor="text1"/>
                <w:sz w:val="24"/>
              </w:rPr>
            </w:pPr>
          </w:p>
          <w:p>
            <w:pPr>
              <w:pStyle w:val="23"/>
              <w:ind w:firstLine="461"/>
              <w:rPr>
                <w:color w:val="000000" w:themeColor="text1"/>
                <w:sz w:val="24"/>
              </w:rPr>
            </w:pPr>
          </w:p>
          <w:p>
            <w:pPr>
              <w:pStyle w:val="23"/>
              <w:ind w:firstLine="461"/>
              <w:rPr>
                <w:color w:val="000000" w:themeColor="text1"/>
                <w:sz w:val="24"/>
              </w:rPr>
            </w:pPr>
          </w:p>
          <w:p>
            <w:pPr>
              <w:pStyle w:val="23"/>
              <w:ind w:firstLine="461"/>
              <w:rPr>
                <w:color w:val="000000" w:themeColor="text1"/>
                <w:sz w:val="24"/>
              </w:rPr>
            </w:pPr>
          </w:p>
          <w:p>
            <w:pPr>
              <w:pStyle w:val="23"/>
              <w:ind w:firstLine="461"/>
              <w:rPr>
                <w:color w:val="000000" w:themeColor="text1"/>
                <w:sz w:val="24"/>
              </w:rPr>
            </w:pPr>
          </w:p>
          <w:p>
            <w:pPr>
              <w:ind w:firstLine="6424" w:firstLineChars="2677"/>
              <w:rPr>
                <w:rFonts w:ascii="Times New Roman" w:hAnsi="Times New Roman" w:eastAsia="宋体"/>
                <w:color w:val="000000" w:themeColor="text1"/>
                <w:sz w:val="24"/>
              </w:rPr>
            </w:pPr>
            <w:r>
              <w:rPr>
                <w:rFonts w:ascii="Times New Roman" w:hAnsi="Times New Roman" w:eastAsia="宋体"/>
                <w:color w:val="000000" w:themeColor="text1"/>
                <w:sz w:val="24"/>
              </w:rPr>
              <w:t>公    章</w:t>
            </w:r>
          </w:p>
          <w:p>
            <w:pPr>
              <w:ind w:firstLine="6184" w:firstLineChars="2577"/>
              <w:rPr>
                <w:rFonts w:ascii="Times New Roman" w:hAnsi="Times New Roman" w:eastAsia="宋体"/>
                <w:color w:val="000000" w:themeColor="text1"/>
                <w:sz w:val="24"/>
              </w:rPr>
            </w:pPr>
            <w:r>
              <w:rPr>
                <w:rFonts w:ascii="Times New Roman" w:hAnsi="Times New Roman" w:eastAsia="宋体"/>
                <w:color w:val="000000" w:themeColor="text1"/>
                <w:sz w:val="24"/>
              </w:rPr>
              <w:t xml:space="preserve"> </w:t>
            </w:r>
          </w:p>
          <w:p>
            <w:pPr>
              <w:ind w:firstLine="5707" w:firstLineChars="2378"/>
              <w:rPr>
                <w:rFonts w:ascii="Times New Roman" w:hAnsi="Times New Roman" w:eastAsia="宋体"/>
                <w:color w:val="000000" w:themeColor="text1"/>
                <w:sz w:val="24"/>
              </w:rPr>
            </w:pPr>
          </w:p>
          <w:p>
            <w:pPr>
              <w:rPr>
                <w:rFonts w:ascii="Times New Roman" w:hAnsi="Times New Roman" w:eastAsia="宋体"/>
                <w:color w:val="000000" w:themeColor="text1"/>
                <w:sz w:val="24"/>
              </w:rPr>
            </w:pPr>
            <w:r>
              <w:rPr>
                <w:rFonts w:ascii="Times New Roman" w:hAnsi="Times New Roman" w:eastAsia="宋体"/>
                <w:color w:val="000000" w:themeColor="text1"/>
                <w:sz w:val="24"/>
              </w:rPr>
              <w:t>经办人：                                          年     月     日</w:t>
            </w:r>
          </w:p>
          <w:p>
            <w:pPr>
              <w:pStyle w:val="23"/>
              <w:ind w:firstLine="461"/>
              <w:rPr>
                <w:color w:val="000000" w:themeColor="text1"/>
                <w:sz w:val="24"/>
              </w:rPr>
            </w:pPr>
          </w:p>
          <w:p>
            <w:pPr>
              <w:pStyle w:val="23"/>
              <w:ind w:firstLine="461"/>
              <w:rPr>
                <w:color w:val="000000" w:themeColor="text1"/>
                <w:sz w:val="24"/>
              </w:rPr>
            </w:pPr>
          </w:p>
          <w:p>
            <w:pPr>
              <w:adjustRightInd w:val="0"/>
              <w:snapToGrid w:val="0"/>
              <w:spacing w:line="440" w:lineRule="exact"/>
              <w:jc w:val="center"/>
              <w:rPr>
                <w:rFonts w:ascii="Times New Roman" w:hAnsi="Times New Roman" w:eastAsia="宋体"/>
                <w:bCs/>
                <w:color w:val="000000" w:themeColor="text1"/>
                <w:sz w:val="24"/>
              </w:rPr>
            </w:pPr>
          </w:p>
          <w:p>
            <w:pPr>
              <w:adjustRightInd w:val="0"/>
              <w:snapToGrid w:val="0"/>
              <w:spacing w:line="440" w:lineRule="exact"/>
              <w:ind w:left="240" w:firstLine="256" w:firstLineChars="107"/>
              <w:rPr>
                <w:rFonts w:ascii="Times New Roman" w:hAnsi="Times New Roman" w:eastAsia="宋体"/>
                <w:bCs/>
                <w:color w:val="000000" w:themeColor="text1"/>
                <w:sz w:val="24"/>
              </w:rPr>
            </w:pPr>
            <w:r>
              <w:rPr>
                <w:rFonts w:ascii="Times New Roman" w:hAnsi="Times New Roman" w:eastAsia="宋体"/>
                <w:bCs/>
                <w:color w:val="000000" w:themeColor="text1"/>
                <w:sz w:val="24"/>
              </w:rPr>
              <w:t xml:space="preserve">                               注     释</w:t>
            </w:r>
          </w:p>
          <w:p>
            <w:pPr>
              <w:adjustRightInd w:val="0"/>
              <w:snapToGrid w:val="0"/>
              <w:spacing w:line="440" w:lineRule="exact"/>
              <w:ind w:firstLine="240" w:firstLineChars="100"/>
              <w:rPr>
                <w:rFonts w:ascii="Times New Roman" w:hAnsi="Times New Roman" w:eastAsia="宋体"/>
                <w:bCs/>
                <w:color w:val="000000" w:themeColor="text1"/>
                <w:sz w:val="24"/>
              </w:rPr>
            </w:pPr>
            <w:r>
              <w:rPr>
                <w:rFonts w:ascii="Times New Roman" w:hAnsi="Times New Roman" w:eastAsia="宋体"/>
                <w:bCs/>
                <w:color w:val="000000" w:themeColor="text1"/>
                <w:sz w:val="24"/>
              </w:rPr>
              <w:t xml:space="preserve">  一、本报告表应附以下附件、附图：</w:t>
            </w:r>
          </w:p>
          <w:p>
            <w:pPr>
              <w:adjustRightInd w:val="0"/>
              <w:snapToGrid w:val="0"/>
              <w:spacing w:line="440" w:lineRule="exact"/>
              <w:ind w:firstLine="256" w:firstLineChars="107"/>
              <w:rPr>
                <w:rFonts w:ascii="Times New Roman" w:hAnsi="Times New Roman" w:eastAsia="宋体"/>
                <w:bCs/>
                <w:color w:val="000000" w:themeColor="text1"/>
                <w:sz w:val="24"/>
              </w:rPr>
            </w:pPr>
            <w:r>
              <w:rPr>
                <w:rFonts w:ascii="Times New Roman" w:hAnsi="Times New Roman" w:eastAsia="宋体"/>
                <w:bCs/>
                <w:color w:val="000000" w:themeColor="text1"/>
                <w:sz w:val="24"/>
              </w:rPr>
              <w:t>附件1  委托书</w:t>
            </w:r>
          </w:p>
          <w:p>
            <w:pPr>
              <w:adjustRightInd w:val="0"/>
              <w:snapToGrid w:val="0"/>
              <w:spacing w:line="440" w:lineRule="exact"/>
              <w:ind w:firstLine="256" w:firstLineChars="107"/>
              <w:rPr>
                <w:rFonts w:ascii="Times New Roman" w:hAnsi="Times New Roman" w:eastAsia="宋体"/>
                <w:bCs/>
                <w:color w:val="000000" w:themeColor="text1"/>
                <w:sz w:val="24"/>
              </w:rPr>
            </w:pPr>
            <w:r>
              <w:rPr>
                <w:rFonts w:ascii="Times New Roman" w:hAnsi="Times New Roman" w:eastAsia="宋体"/>
                <w:bCs/>
                <w:color w:val="000000" w:themeColor="text1"/>
                <w:sz w:val="24"/>
              </w:rPr>
              <w:t>附件2  备案表</w:t>
            </w:r>
          </w:p>
          <w:p>
            <w:pPr>
              <w:adjustRightInd w:val="0"/>
              <w:snapToGrid w:val="0"/>
              <w:spacing w:line="440" w:lineRule="exact"/>
              <w:ind w:firstLine="256" w:firstLineChars="107"/>
              <w:rPr>
                <w:rFonts w:ascii="Times New Roman" w:hAnsi="Times New Roman" w:eastAsia="宋体"/>
                <w:bCs/>
                <w:color w:val="000000" w:themeColor="text1"/>
                <w:sz w:val="24"/>
              </w:rPr>
            </w:pPr>
            <w:r>
              <w:rPr>
                <w:rFonts w:ascii="Times New Roman" w:hAnsi="Times New Roman" w:eastAsia="宋体"/>
                <w:bCs/>
                <w:color w:val="000000" w:themeColor="text1"/>
                <w:sz w:val="24"/>
              </w:rPr>
              <w:t>附件3  土地合同</w:t>
            </w:r>
          </w:p>
          <w:p>
            <w:pPr>
              <w:adjustRightInd w:val="0"/>
              <w:snapToGrid w:val="0"/>
              <w:spacing w:line="440" w:lineRule="exact"/>
              <w:ind w:firstLine="256" w:firstLineChars="107"/>
              <w:rPr>
                <w:rFonts w:ascii="Times New Roman" w:hAnsi="Times New Roman" w:eastAsia="宋体"/>
                <w:color w:val="000000" w:themeColor="text1"/>
                <w:sz w:val="24"/>
              </w:rPr>
            </w:pPr>
            <w:r>
              <w:rPr>
                <w:rFonts w:ascii="Times New Roman" w:hAnsi="Times New Roman" w:eastAsia="宋体"/>
                <w:bCs/>
                <w:color w:val="000000" w:themeColor="text1"/>
                <w:sz w:val="24"/>
              </w:rPr>
              <w:t xml:space="preserve">附件4  </w:t>
            </w:r>
            <w:r>
              <w:rPr>
                <w:rFonts w:ascii="Times New Roman" w:hAnsi="Times New Roman" w:eastAsia="宋体"/>
                <w:color w:val="000000" w:themeColor="text1"/>
                <w:sz w:val="24"/>
              </w:rPr>
              <w:t>年产</w:t>
            </w:r>
            <w:r>
              <w:rPr>
                <w:rFonts w:hint="eastAsia" w:ascii="Times New Roman" w:hAnsi="Times New Roman" w:eastAsia="宋体"/>
                <w:color w:val="000000" w:themeColor="text1"/>
                <w:sz w:val="24"/>
              </w:rPr>
              <w:t>1000吨PVC塑料制品项目批复</w:t>
            </w:r>
          </w:p>
          <w:p>
            <w:pPr>
              <w:adjustRightInd w:val="0"/>
              <w:snapToGrid w:val="0"/>
              <w:spacing w:line="440" w:lineRule="exact"/>
              <w:ind w:firstLine="256" w:firstLineChars="107"/>
              <w:rPr>
                <w:color w:val="000000" w:themeColor="text1"/>
              </w:rPr>
            </w:pPr>
            <w:r>
              <w:rPr>
                <w:rFonts w:ascii="Times New Roman" w:hAnsi="Times New Roman" w:eastAsia="宋体"/>
                <w:bCs/>
                <w:color w:val="000000" w:themeColor="text1"/>
                <w:sz w:val="24"/>
              </w:rPr>
              <w:t>附件</w:t>
            </w:r>
            <w:r>
              <w:rPr>
                <w:rFonts w:hint="eastAsia" w:ascii="Times New Roman" w:hAnsi="Times New Roman" w:eastAsia="宋体"/>
                <w:bCs/>
                <w:color w:val="000000" w:themeColor="text1"/>
                <w:sz w:val="24"/>
              </w:rPr>
              <w:t>5</w:t>
            </w:r>
            <w:r>
              <w:rPr>
                <w:rFonts w:ascii="Times New Roman" w:hAnsi="Times New Roman" w:eastAsia="宋体"/>
                <w:bCs/>
                <w:color w:val="000000" w:themeColor="text1"/>
                <w:sz w:val="24"/>
              </w:rPr>
              <w:t xml:space="preserve">  </w:t>
            </w:r>
            <w:r>
              <w:rPr>
                <w:rFonts w:ascii="Times New Roman" w:hAnsi="Times New Roman" w:eastAsia="宋体"/>
                <w:color w:val="000000" w:themeColor="text1"/>
                <w:sz w:val="24"/>
              </w:rPr>
              <w:t>年产</w:t>
            </w:r>
            <w:r>
              <w:rPr>
                <w:rFonts w:hint="eastAsia" w:ascii="Times New Roman" w:hAnsi="Times New Roman" w:eastAsia="宋体"/>
                <w:color w:val="000000" w:themeColor="text1"/>
                <w:sz w:val="24"/>
              </w:rPr>
              <w:t>2800吨新型环保钙锌稳定剂项目批复</w:t>
            </w:r>
          </w:p>
          <w:p>
            <w:pPr>
              <w:adjustRightInd w:val="0"/>
              <w:snapToGrid w:val="0"/>
              <w:spacing w:line="440" w:lineRule="exact"/>
              <w:ind w:firstLine="256" w:firstLineChars="107"/>
              <w:rPr>
                <w:rFonts w:ascii="Times New Roman" w:hAnsi="Times New Roman" w:eastAsia="宋体"/>
                <w:bCs/>
                <w:color w:val="000000" w:themeColor="text1"/>
                <w:sz w:val="24"/>
              </w:rPr>
            </w:pPr>
            <w:r>
              <w:rPr>
                <w:rFonts w:ascii="Times New Roman" w:hAnsi="Times New Roman" w:eastAsia="宋体"/>
                <w:bCs/>
                <w:color w:val="000000" w:themeColor="text1"/>
                <w:sz w:val="24"/>
              </w:rPr>
              <w:t>附件</w:t>
            </w:r>
            <w:r>
              <w:rPr>
                <w:rFonts w:hint="eastAsia" w:ascii="Times New Roman" w:hAnsi="Times New Roman" w:eastAsia="宋体"/>
                <w:bCs/>
                <w:color w:val="000000" w:themeColor="text1"/>
                <w:sz w:val="24"/>
              </w:rPr>
              <w:t>6</w:t>
            </w:r>
            <w:r>
              <w:rPr>
                <w:rFonts w:ascii="Times New Roman" w:hAnsi="Times New Roman" w:eastAsia="宋体"/>
                <w:bCs/>
                <w:color w:val="000000" w:themeColor="text1"/>
                <w:sz w:val="24"/>
              </w:rPr>
              <w:t xml:space="preserve">  </w:t>
            </w:r>
            <w:r>
              <w:rPr>
                <w:rFonts w:ascii="Times New Roman" w:hAnsi="Times New Roman" w:eastAsia="宋体"/>
                <w:color w:val="000000" w:themeColor="text1"/>
                <w:sz w:val="24"/>
              </w:rPr>
              <w:t>危废处置合同</w:t>
            </w:r>
          </w:p>
          <w:p>
            <w:pPr>
              <w:adjustRightInd w:val="0"/>
              <w:snapToGrid w:val="0"/>
              <w:spacing w:line="440" w:lineRule="exact"/>
              <w:ind w:firstLine="256" w:firstLineChars="107"/>
              <w:rPr>
                <w:rFonts w:ascii="Times New Roman" w:hAnsi="Times New Roman" w:eastAsia="宋体"/>
                <w:bCs/>
                <w:color w:val="000000" w:themeColor="text1"/>
                <w:sz w:val="24"/>
              </w:rPr>
            </w:pPr>
            <w:r>
              <w:rPr>
                <w:rFonts w:ascii="Times New Roman" w:hAnsi="Times New Roman" w:eastAsia="宋体"/>
                <w:bCs/>
                <w:color w:val="000000" w:themeColor="text1"/>
                <w:sz w:val="24"/>
              </w:rPr>
              <w:t>附件</w:t>
            </w:r>
            <w:r>
              <w:rPr>
                <w:rFonts w:hint="eastAsia" w:ascii="Times New Roman" w:hAnsi="Times New Roman" w:eastAsia="宋体"/>
                <w:bCs/>
                <w:color w:val="000000" w:themeColor="text1"/>
                <w:sz w:val="24"/>
              </w:rPr>
              <w:t>7</w:t>
            </w:r>
            <w:r>
              <w:rPr>
                <w:rFonts w:ascii="Times New Roman" w:hAnsi="Times New Roman" w:eastAsia="宋体"/>
                <w:bCs/>
                <w:color w:val="000000" w:themeColor="text1"/>
                <w:sz w:val="24"/>
              </w:rPr>
              <w:t xml:space="preserve">  </w:t>
            </w:r>
            <w:r>
              <w:rPr>
                <w:rFonts w:ascii="Times New Roman" w:hAnsi="Times New Roman" w:eastAsia="宋体"/>
                <w:color w:val="000000" w:themeColor="text1"/>
                <w:sz w:val="24"/>
              </w:rPr>
              <w:t>大气环境影响评价自查表</w:t>
            </w:r>
          </w:p>
          <w:p>
            <w:pPr>
              <w:adjustRightInd w:val="0"/>
              <w:snapToGrid w:val="0"/>
              <w:spacing w:line="440" w:lineRule="exact"/>
              <w:ind w:firstLine="256" w:firstLineChars="107"/>
              <w:rPr>
                <w:rFonts w:ascii="Times New Roman" w:hAnsi="Times New Roman" w:eastAsia="宋体"/>
                <w:bCs/>
                <w:color w:val="000000" w:themeColor="text1"/>
                <w:sz w:val="24"/>
              </w:rPr>
            </w:pPr>
          </w:p>
          <w:p>
            <w:pPr>
              <w:adjustRightInd w:val="0"/>
              <w:snapToGrid w:val="0"/>
              <w:spacing w:line="440" w:lineRule="exact"/>
              <w:ind w:firstLine="256" w:firstLineChars="107"/>
              <w:rPr>
                <w:rFonts w:ascii="Times New Roman" w:hAnsi="Times New Roman" w:eastAsia="宋体"/>
                <w:bCs/>
                <w:color w:val="000000" w:themeColor="text1"/>
                <w:sz w:val="24"/>
              </w:rPr>
            </w:pPr>
            <w:r>
              <w:rPr>
                <w:rFonts w:ascii="Times New Roman" w:hAnsi="Times New Roman" w:eastAsia="宋体"/>
                <w:bCs/>
                <w:color w:val="000000" w:themeColor="text1"/>
                <w:sz w:val="24"/>
              </w:rPr>
              <w:t>附图1  项目地理位置图</w:t>
            </w:r>
          </w:p>
          <w:p>
            <w:pPr>
              <w:adjustRightInd w:val="0"/>
              <w:snapToGrid w:val="0"/>
              <w:spacing w:line="440" w:lineRule="exact"/>
              <w:ind w:firstLine="256" w:firstLineChars="107"/>
              <w:rPr>
                <w:rFonts w:ascii="Times New Roman" w:hAnsi="Times New Roman" w:eastAsia="宋体"/>
                <w:bCs/>
                <w:color w:val="000000" w:themeColor="text1"/>
                <w:sz w:val="24"/>
              </w:rPr>
            </w:pPr>
            <w:r>
              <w:rPr>
                <w:rFonts w:ascii="Times New Roman" w:hAnsi="Times New Roman" w:eastAsia="宋体"/>
                <w:bCs/>
                <w:color w:val="000000" w:themeColor="text1"/>
                <w:sz w:val="24"/>
              </w:rPr>
              <w:t>附图</w:t>
            </w:r>
            <w:r>
              <w:rPr>
                <w:rFonts w:hint="eastAsia" w:ascii="Times New Roman" w:hAnsi="Times New Roman" w:eastAsia="宋体"/>
                <w:bCs/>
                <w:color w:val="000000" w:themeColor="text1"/>
                <w:sz w:val="24"/>
              </w:rPr>
              <w:t>2</w:t>
            </w:r>
            <w:r>
              <w:rPr>
                <w:rFonts w:ascii="Times New Roman" w:hAnsi="Times New Roman" w:eastAsia="宋体"/>
                <w:bCs/>
                <w:color w:val="000000" w:themeColor="text1"/>
                <w:sz w:val="24"/>
              </w:rPr>
              <w:t xml:space="preserve">  项目所在地规划图</w:t>
            </w:r>
          </w:p>
          <w:p>
            <w:pPr>
              <w:adjustRightInd w:val="0"/>
              <w:snapToGrid w:val="0"/>
              <w:spacing w:line="440" w:lineRule="exact"/>
              <w:ind w:firstLine="256" w:firstLineChars="107"/>
              <w:rPr>
                <w:rFonts w:ascii="Times New Roman" w:hAnsi="Times New Roman" w:eastAsia="宋体"/>
                <w:bCs/>
                <w:color w:val="000000" w:themeColor="text1"/>
                <w:sz w:val="24"/>
              </w:rPr>
            </w:pPr>
            <w:r>
              <w:rPr>
                <w:rFonts w:ascii="Times New Roman" w:hAnsi="Times New Roman" w:eastAsia="宋体"/>
                <w:bCs/>
                <w:color w:val="000000" w:themeColor="text1"/>
                <w:sz w:val="24"/>
              </w:rPr>
              <w:t>附图</w:t>
            </w:r>
            <w:r>
              <w:rPr>
                <w:rFonts w:hint="eastAsia" w:ascii="Times New Roman" w:hAnsi="Times New Roman" w:eastAsia="宋体"/>
                <w:bCs/>
                <w:color w:val="000000" w:themeColor="text1"/>
                <w:sz w:val="24"/>
              </w:rPr>
              <w:t>3</w:t>
            </w:r>
            <w:r>
              <w:rPr>
                <w:rFonts w:ascii="Times New Roman" w:hAnsi="Times New Roman" w:eastAsia="宋体"/>
                <w:bCs/>
                <w:color w:val="000000" w:themeColor="text1"/>
                <w:sz w:val="24"/>
              </w:rPr>
              <w:t xml:space="preserve">  项目周边环境敏感点示意图</w:t>
            </w:r>
          </w:p>
          <w:p>
            <w:pPr>
              <w:adjustRightInd w:val="0"/>
              <w:snapToGrid w:val="0"/>
              <w:spacing w:line="440" w:lineRule="exact"/>
              <w:ind w:firstLine="256" w:firstLineChars="107"/>
              <w:rPr>
                <w:rFonts w:ascii="Times New Roman" w:hAnsi="Times New Roman" w:eastAsia="宋体"/>
                <w:bCs/>
                <w:color w:val="000000" w:themeColor="text1"/>
                <w:sz w:val="24"/>
              </w:rPr>
            </w:pPr>
            <w:r>
              <w:rPr>
                <w:rFonts w:ascii="Times New Roman" w:hAnsi="Times New Roman" w:eastAsia="宋体"/>
                <w:bCs/>
                <w:color w:val="000000" w:themeColor="text1"/>
                <w:sz w:val="24"/>
              </w:rPr>
              <w:t>附图</w:t>
            </w:r>
            <w:r>
              <w:rPr>
                <w:rFonts w:hint="eastAsia" w:ascii="Times New Roman" w:hAnsi="Times New Roman" w:eastAsia="宋体"/>
                <w:bCs/>
                <w:color w:val="000000" w:themeColor="text1"/>
                <w:sz w:val="24"/>
              </w:rPr>
              <w:t>4</w:t>
            </w:r>
            <w:r>
              <w:rPr>
                <w:rFonts w:ascii="Times New Roman" w:hAnsi="Times New Roman" w:eastAsia="宋体"/>
                <w:bCs/>
                <w:color w:val="000000" w:themeColor="text1"/>
                <w:sz w:val="24"/>
              </w:rPr>
              <w:t xml:space="preserve">  项目厂区平面图</w:t>
            </w:r>
          </w:p>
          <w:p>
            <w:pPr>
              <w:adjustRightInd w:val="0"/>
              <w:snapToGrid w:val="0"/>
              <w:spacing w:line="440" w:lineRule="exact"/>
              <w:ind w:firstLine="256" w:firstLineChars="107"/>
              <w:rPr>
                <w:rFonts w:ascii="Times New Roman" w:hAnsi="Times New Roman" w:eastAsia="宋体"/>
                <w:bCs/>
                <w:color w:val="000000" w:themeColor="text1"/>
                <w:sz w:val="24"/>
              </w:rPr>
            </w:pPr>
            <w:r>
              <w:rPr>
                <w:rFonts w:ascii="Times New Roman" w:hAnsi="Times New Roman" w:eastAsia="宋体"/>
                <w:bCs/>
                <w:color w:val="000000" w:themeColor="text1"/>
                <w:sz w:val="24"/>
              </w:rPr>
              <w:t>附图</w:t>
            </w:r>
            <w:r>
              <w:rPr>
                <w:rFonts w:hint="eastAsia" w:ascii="Times New Roman" w:hAnsi="Times New Roman" w:eastAsia="宋体"/>
                <w:bCs/>
                <w:color w:val="000000" w:themeColor="text1"/>
                <w:sz w:val="24"/>
              </w:rPr>
              <w:t>5</w:t>
            </w:r>
            <w:r>
              <w:rPr>
                <w:rFonts w:ascii="Times New Roman" w:hAnsi="Times New Roman" w:eastAsia="宋体"/>
                <w:bCs/>
                <w:color w:val="000000" w:themeColor="text1"/>
                <w:sz w:val="24"/>
              </w:rPr>
              <w:t xml:space="preserve">  项目生产车间平面图</w:t>
            </w:r>
          </w:p>
          <w:p>
            <w:pPr>
              <w:adjustRightInd w:val="0"/>
              <w:snapToGrid w:val="0"/>
              <w:spacing w:line="440" w:lineRule="exact"/>
              <w:ind w:firstLine="256" w:firstLineChars="107"/>
              <w:rPr>
                <w:rFonts w:ascii="Times New Roman" w:hAnsi="Times New Roman" w:eastAsia="宋体"/>
                <w:bCs/>
                <w:color w:val="000000" w:themeColor="text1"/>
                <w:sz w:val="24"/>
              </w:rPr>
            </w:pPr>
            <w:r>
              <w:rPr>
                <w:rFonts w:ascii="Times New Roman" w:hAnsi="Times New Roman" w:eastAsia="宋体"/>
                <w:bCs/>
                <w:color w:val="000000" w:themeColor="text1"/>
                <w:sz w:val="24"/>
              </w:rPr>
              <w:t>附图</w:t>
            </w:r>
            <w:r>
              <w:rPr>
                <w:rFonts w:hint="eastAsia" w:ascii="Times New Roman" w:hAnsi="Times New Roman" w:eastAsia="宋体"/>
                <w:bCs/>
                <w:color w:val="000000" w:themeColor="text1"/>
                <w:sz w:val="24"/>
              </w:rPr>
              <w:t>6</w:t>
            </w:r>
            <w:r>
              <w:rPr>
                <w:rFonts w:ascii="Times New Roman" w:hAnsi="Times New Roman" w:eastAsia="宋体"/>
                <w:bCs/>
                <w:color w:val="000000" w:themeColor="text1"/>
                <w:sz w:val="24"/>
              </w:rPr>
              <w:t xml:space="preserve">  项目现场照片</w:t>
            </w:r>
          </w:p>
          <w:p>
            <w:pPr>
              <w:pStyle w:val="110"/>
              <w:rPr>
                <w:color w:val="000000" w:themeColor="text1"/>
                <w:sz w:val="24"/>
                <w:szCs w:val="24"/>
              </w:rPr>
            </w:pPr>
          </w:p>
          <w:p>
            <w:pPr>
              <w:adjustRightInd w:val="0"/>
              <w:snapToGrid w:val="0"/>
              <w:spacing w:line="440" w:lineRule="exact"/>
              <w:rPr>
                <w:rFonts w:ascii="Times New Roman" w:hAnsi="Times New Roman" w:eastAsia="宋体"/>
                <w:bCs/>
                <w:color w:val="000000" w:themeColor="text1"/>
                <w:sz w:val="24"/>
              </w:rPr>
            </w:pPr>
            <w:r>
              <w:rPr>
                <w:rFonts w:ascii="Times New Roman" w:hAnsi="Times New Roman" w:eastAsia="宋体"/>
                <w:bCs/>
                <w:color w:val="000000" w:themeColor="text1"/>
                <w:sz w:val="24"/>
              </w:rPr>
              <w:t xml:space="preserve">    二、如果本报告表不能说明项目产生的污染及对环境造成的影响，应进行专项评价。根据建设项目的特点和当地环境特征，应选下列1～2项进行专项评价。</w:t>
            </w:r>
          </w:p>
          <w:p>
            <w:pPr>
              <w:adjustRightInd w:val="0"/>
              <w:snapToGrid w:val="0"/>
              <w:spacing w:line="440" w:lineRule="exact"/>
              <w:ind w:firstLine="540"/>
              <w:rPr>
                <w:rFonts w:ascii="Times New Roman" w:hAnsi="Times New Roman" w:eastAsia="宋体"/>
                <w:bCs/>
                <w:color w:val="000000" w:themeColor="text1"/>
                <w:sz w:val="24"/>
              </w:rPr>
            </w:pPr>
            <w:r>
              <w:rPr>
                <w:rFonts w:ascii="Times New Roman" w:hAnsi="Times New Roman" w:eastAsia="宋体"/>
                <w:bCs/>
                <w:color w:val="000000" w:themeColor="text1"/>
                <w:sz w:val="24"/>
              </w:rPr>
              <w:t>1、大气环境影响专项评价</w:t>
            </w:r>
          </w:p>
          <w:p>
            <w:pPr>
              <w:adjustRightInd w:val="0"/>
              <w:snapToGrid w:val="0"/>
              <w:spacing w:line="440" w:lineRule="exact"/>
              <w:ind w:firstLine="540"/>
              <w:rPr>
                <w:rFonts w:ascii="Times New Roman" w:hAnsi="Times New Roman" w:eastAsia="宋体"/>
                <w:bCs/>
                <w:color w:val="000000" w:themeColor="text1"/>
                <w:sz w:val="24"/>
              </w:rPr>
            </w:pPr>
            <w:r>
              <w:rPr>
                <w:rFonts w:ascii="Times New Roman" w:hAnsi="Times New Roman" w:eastAsia="宋体"/>
                <w:bCs/>
                <w:color w:val="000000" w:themeColor="text1"/>
                <w:sz w:val="24"/>
              </w:rPr>
              <w:t>2、水环境影响专项评价（包括地表水和地下水）</w:t>
            </w:r>
          </w:p>
          <w:p>
            <w:pPr>
              <w:adjustRightInd w:val="0"/>
              <w:snapToGrid w:val="0"/>
              <w:spacing w:line="440" w:lineRule="exact"/>
              <w:ind w:firstLine="540"/>
              <w:rPr>
                <w:rFonts w:ascii="Times New Roman" w:hAnsi="Times New Roman" w:eastAsia="宋体"/>
                <w:bCs/>
                <w:color w:val="000000" w:themeColor="text1"/>
                <w:sz w:val="24"/>
              </w:rPr>
            </w:pPr>
            <w:r>
              <w:rPr>
                <w:rFonts w:ascii="Times New Roman" w:hAnsi="Times New Roman" w:eastAsia="宋体"/>
                <w:bCs/>
                <w:color w:val="000000" w:themeColor="text1"/>
                <w:sz w:val="24"/>
              </w:rPr>
              <w:t>3、生态影响专项评价</w:t>
            </w:r>
          </w:p>
          <w:p>
            <w:pPr>
              <w:adjustRightInd w:val="0"/>
              <w:snapToGrid w:val="0"/>
              <w:spacing w:line="440" w:lineRule="exact"/>
              <w:ind w:firstLine="540"/>
              <w:rPr>
                <w:rFonts w:ascii="Times New Roman" w:hAnsi="Times New Roman" w:eastAsia="宋体"/>
                <w:bCs/>
                <w:color w:val="000000" w:themeColor="text1"/>
                <w:sz w:val="24"/>
              </w:rPr>
            </w:pPr>
            <w:r>
              <w:rPr>
                <w:rFonts w:ascii="Times New Roman" w:hAnsi="Times New Roman" w:eastAsia="宋体"/>
                <w:bCs/>
                <w:color w:val="000000" w:themeColor="text1"/>
                <w:sz w:val="24"/>
              </w:rPr>
              <w:t>4、声环境专项评价</w:t>
            </w:r>
          </w:p>
          <w:p>
            <w:pPr>
              <w:adjustRightInd w:val="0"/>
              <w:snapToGrid w:val="0"/>
              <w:spacing w:line="440" w:lineRule="exact"/>
              <w:ind w:firstLine="540"/>
              <w:rPr>
                <w:rFonts w:ascii="Times New Roman" w:hAnsi="Times New Roman" w:eastAsia="宋体"/>
                <w:bCs/>
                <w:color w:val="000000" w:themeColor="text1"/>
                <w:sz w:val="24"/>
              </w:rPr>
            </w:pPr>
            <w:r>
              <w:rPr>
                <w:rFonts w:ascii="Times New Roman" w:hAnsi="Times New Roman" w:eastAsia="宋体"/>
                <w:bCs/>
                <w:color w:val="000000" w:themeColor="text1"/>
                <w:sz w:val="24"/>
              </w:rPr>
              <w:t>5、土壤影响专项评价</w:t>
            </w:r>
          </w:p>
          <w:p>
            <w:pPr>
              <w:adjustRightInd w:val="0"/>
              <w:snapToGrid w:val="0"/>
              <w:spacing w:line="440" w:lineRule="exact"/>
              <w:ind w:firstLine="540"/>
              <w:rPr>
                <w:rFonts w:ascii="Times New Roman" w:hAnsi="Times New Roman" w:eastAsia="宋体"/>
                <w:bCs/>
                <w:color w:val="000000" w:themeColor="text1"/>
                <w:sz w:val="24"/>
              </w:rPr>
            </w:pPr>
            <w:r>
              <w:rPr>
                <w:rFonts w:ascii="Times New Roman" w:hAnsi="Times New Roman" w:eastAsia="宋体"/>
                <w:bCs/>
                <w:color w:val="000000" w:themeColor="text1"/>
                <w:sz w:val="24"/>
              </w:rPr>
              <w:t>6、固定废物影响专项评价</w:t>
            </w:r>
          </w:p>
          <w:p>
            <w:pPr>
              <w:pStyle w:val="23"/>
              <w:spacing w:after="0" w:line="440" w:lineRule="exact"/>
              <w:ind w:left="0" w:leftChars="0" w:firstLine="461"/>
              <w:rPr>
                <w:color w:val="000000" w:themeColor="text1"/>
                <w:sz w:val="24"/>
              </w:rPr>
            </w:pPr>
            <w:r>
              <w:rPr>
                <w:bCs/>
                <w:color w:val="000000" w:themeColor="text1"/>
                <w:sz w:val="24"/>
              </w:rPr>
              <w:t>以上专项评价未包括的可另列专项，专项评价按照《环境影响评价技术导则》中的要求进行。</w:t>
            </w:r>
          </w:p>
          <w:p>
            <w:pPr>
              <w:rPr>
                <w:rFonts w:ascii="Times New Roman" w:hAnsi="Times New Roman" w:eastAsia="宋体"/>
                <w:color w:val="000000" w:themeColor="text1"/>
                <w:sz w:val="24"/>
              </w:rPr>
            </w:pPr>
          </w:p>
          <w:p>
            <w:pPr>
              <w:pStyle w:val="110"/>
              <w:rPr>
                <w:color w:val="000000" w:themeColor="text1"/>
                <w:sz w:val="24"/>
                <w:szCs w:val="24"/>
              </w:rPr>
            </w:pPr>
          </w:p>
          <w:p>
            <w:pPr>
              <w:pStyle w:val="89"/>
              <w:ind w:firstLine="480"/>
              <w:rPr>
                <w:rFonts w:ascii="Times New Roman" w:hAnsi="Times New Roman" w:eastAsia="宋体"/>
                <w:color w:val="000000" w:themeColor="text1"/>
                <w:sz w:val="24"/>
                <w:szCs w:val="24"/>
              </w:rPr>
            </w:pPr>
          </w:p>
          <w:p>
            <w:pPr>
              <w:rPr>
                <w:rFonts w:ascii="Times New Roman" w:hAnsi="Times New Roman" w:eastAsia="宋体"/>
                <w:color w:val="000000" w:themeColor="text1"/>
                <w:sz w:val="24"/>
              </w:rPr>
            </w:pPr>
          </w:p>
        </w:tc>
      </w:tr>
    </w:tbl>
    <w:p>
      <w:pPr>
        <w:spacing w:line="20" w:lineRule="exact"/>
        <w:rPr>
          <w:color w:val="000000" w:themeColor="text1"/>
        </w:rPr>
      </w:pPr>
    </w:p>
    <w:p>
      <w:pPr>
        <w:sectPr>
          <w:pgSz w:w="11906" w:h="16838"/>
          <w:pgMar w:top="1417" w:right="1417" w:bottom="1417" w:left="1417" w:header="851" w:footer="992" w:gutter="0"/>
          <w:cols w:space="720" w:num="1"/>
          <w:docGrid w:type="lines" w:linePitch="312" w:charSpace="0"/>
        </w:sectPr>
      </w:pPr>
    </w:p>
    <w:p>
      <w:r>
        <w:drawing>
          <wp:anchor distT="0" distB="0" distL="114300" distR="114300" simplePos="0" relativeHeight="251778048" behindDoc="1" locked="0" layoutInCell="1" allowOverlap="1">
            <wp:simplePos x="0" y="0"/>
            <wp:positionH relativeFrom="column">
              <wp:posOffset>-60960</wp:posOffset>
            </wp:positionH>
            <wp:positionV relativeFrom="paragraph">
              <wp:posOffset>-519430</wp:posOffset>
            </wp:positionV>
            <wp:extent cx="8435975" cy="6924675"/>
            <wp:effectExtent l="19050" t="0" r="2968" b="0"/>
            <wp:wrapNone/>
            <wp:docPr id="9" name="图片 6" descr="C:\Users\linhu\Desktop\QQ截图2020091410383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C:\Users\linhu\Desktop\QQ截图20200914103839.bmp"/>
                    <pic:cNvPicPr>
                      <a:picLocks noChangeAspect="1" noChangeArrowheads="1"/>
                    </pic:cNvPicPr>
                  </pic:nvPicPr>
                  <pic:blipFill>
                    <a:blip r:embed="rId17"/>
                    <a:srcRect/>
                    <a:stretch>
                      <a:fillRect/>
                    </a:stretch>
                  </pic:blipFill>
                  <pic:spPr>
                    <a:xfrm>
                      <a:off x="0" y="0"/>
                      <a:ext cx="8436182" cy="6924701"/>
                    </a:xfrm>
                    <a:prstGeom prst="rect">
                      <a:avLst/>
                    </a:prstGeom>
                    <a:noFill/>
                    <a:ln w="9525">
                      <a:noFill/>
                      <a:miter lim="800000"/>
                      <a:headEnd/>
                      <a:tailEnd/>
                    </a:ln>
                  </pic:spPr>
                </pic:pic>
              </a:graphicData>
            </a:graphic>
          </wp:anchor>
        </w:drawing>
      </w:r>
    </w:p>
    <w:p/>
    <w:p/>
    <w:p/>
    <w:p/>
    <w:p/>
    <w:p/>
    <w:p/>
    <w:p/>
    <w:p/>
    <w:p/>
    <w:p/>
    <w:p/>
    <w:p/>
    <w:p/>
    <w:p/>
    <w:p/>
    <w:p/>
    <w:p/>
    <w:p/>
    <w:p/>
    <w:p/>
    <w:p/>
    <w:p/>
    <w:p/>
    <w:p/>
    <w:p/>
    <w:p>
      <w:pPr>
        <w:pStyle w:val="2"/>
        <w:sectPr>
          <w:pgSz w:w="16838" w:h="11906" w:orient="landscape"/>
          <w:pgMar w:top="1417" w:right="1417" w:bottom="1417" w:left="1417" w:header="851" w:footer="992" w:gutter="0"/>
          <w:cols w:space="720" w:num="1"/>
          <w:docGrid w:type="lines" w:linePitch="312" w:charSpace="0"/>
        </w:sectPr>
      </w:pPr>
    </w:p>
    <w:p>
      <w:r>
        <w:drawing>
          <wp:anchor distT="0" distB="0" distL="114300" distR="114300" simplePos="0" relativeHeight="251779072" behindDoc="1" locked="0" layoutInCell="1" allowOverlap="1">
            <wp:simplePos x="0" y="0"/>
            <wp:positionH relativeFrom="column">
              <wp:posOffset>-250825</wp:posOffset>
            </wp:positionH>
            <wp:positionV relativeFrom="paragraph">
              <wp:posOffset>-519430</wp:posOffset>
            </wp:positionV>
            <wp:extent cx="6245225" cy="8870950"/>
            <wp:effectExtent l="19050" t="0" r="3384" b="0"/>
            <wp:wrapNone/>
            <wp:docPr id="710" name="图片 7" descr="C:\Users\linhu\Desktop\QQ截图2020091410384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图片 7" descr="C:\Users\linhu\Desktop\QQ截图20200914103849.bmp"/>
                    <pic:cNvPicPr>
                      <a:picLocks noChangeAspect="1" noChangeArrowheads="1"/>
                    </pic:cNvPicPr>
                  </pic:nvPicPr>
                  <pic:blipFill>
                    <a:blip r:embed="rId18"/>
                    <a:srcRect/>
                    <a:stretch>
                      <a:fillRect/>
                    </a:stretch>
                  </pic:blipFill>
                  <pic:spPr>
                    <a:xfrm>
                      <a:off x="0" y="0"/>
                      <a:ext cx="6245016" cy="8870868"/>
                    </a:xfrm>
                    <a:prstGeom prst="rect">
                      <a:avLst/>
                    </a:prstGeom>
                    <a:noFill/>
                    <a:ln w="9525">
                      <a:noFill/>
                      <a:miter lim="800000"/>
                      <a:headEnd/>
                      <a:tailEnd/>
                    </a:ln>
                  </pic:spPr>
                </pic:pic>
              </a:graphicData>
            </a:graphic>
          </wp:anchor>
        </w:drawing>
      </w:r>
    </w:p>
    <w:p/>
    <w:p/>
    <w:p/>
    <w:p/>
    <w:p/>
    <w:p/>
    <w:p/>
    <w:p/>
    <w:p/>
    <w:p/>
    <w:p/>
    <w:p/>
    <w:p/>
    <w:p/>
    <w:p/>
    <w:p/>
    <w:p/>
    <w:p/>
    <w:p/>
    <w:p/>
    <w:p/>
    <w:p/>
    <w:p/>
    <w:p/>
    <w:p/>
    <w:p>
      <w:pPr>
        <w:widowControl/>
        <w:jc w:val="left"/>
      </w:pPr>
      <w:r>
        <w:br w:type="page"/>
      </w:r>
    </w:p>
    <w:p>
      <w:r>
        <w:drawing>
          <wp:anchor distT="0" distB="0" distL="114300" distR="114300" simplePos="0" relativeHeight="251780096" behindDoc="1" locked="0" layoutInCell="1" allowOverlap="1">
            <wp:simplePos x="0" y="0"/>
            <wp:positionH relativeFrom="column">
              <wp:posOffset>-393700</wp:posOffset>
            </wp:positionH>
            <wp:positionV relativeFrom="paragraph">
              <wp:posOffset>-519430</wp:posOffset>
            </wp:positionV>
            <wp:extent cx="6562090" cy="9227185"/>
            <wp:effectExtent l="19050" t="0" r="0" b="0"/>
            <wp:wrapNone/>
            <wp:docPr id="711" name="图片 8" descr="C:\Users\linhu\Desktop\QQ截图2020091410385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图片 8" descr="C:\Users\linhu\Desktop\QQ截图20200914103859.bmp"/>
                    <pic:cNvPicPr>
                      <a:picLocks noChangeAspect="1" noChangeArrowheads="1"/>
                    </pic:cNvPicPr>
                  </pic:nvPicPr>
                  <pic:blipFill>
                    <a:blip r:embed="rId19"/>
                    <a:srcRect/>
                    <a:stretch>
                      <a:fillRect/>
                    </a:stretch>
                  </pic:blipFill>
                  <pic:spPr>
                    <a:xfrm>
                      <a:off x="0" y="0"/>
                      <a:ext cx="6562395" cy="9227127"/>
                    </a:xfrm>
                    <a:prstGeom prst="rect">
                      <a:avLst/>
                    </a:prstGeom>
                    <a:noFill/>
                    <a:ln w="9525">
                      <a:noFill/>
                      <a:miter lim="800000"/>
                      <a:headEnd/>
                      <a:tailEnd/>
                    </a:ln>
                  </pic:spPr>
                </pic:pic>
              </a:graphicData>
            </a:graphic>
          </wp:anchor>
        </w:drawing>
      </w:r>
    </w:p>
    <w:p/>
    <w:p/>
    <w:p/>
    <w:p/>
    <w:p/>
    <w:p/>
    <w:p/>
    <w:p/>
    <w:p/>
    <w:p/>
    <w:p/>
    <w:p/>
    <w:p/>
    <w:p/>
    <w:p/>
    <w:p/>
    <w:p/>
    <w:p/>
    <w:p/>
    <w:p/>
    <w:p/>
    <w:p/>
    <w:p/>
    <w:p/>
    <w:p/>
    <w:p/>
    <w:p/>
    <w:p/>
    <w:p/>
    <w:p/>
    <w:p/>
    <w:p/>
    <w:p/>
    <w:p/>
    <w:p/>
    <w:p>
      <w:pPr>
        <w:pStyle w:val="2"/>
      </w:pPr>
    </w:p>
    <w:p/>
    <w:p>
      <w:pPr>
        <w:pStyle w:val="2"/>
      </w:pPr>
    </w:p>
    <w:p/>
    <w:p>
      <w:pPr>
        <w:pStyle w:val="2"/>
      </w:pPr>
    </w:p>
    <w:p/>
    <w:p>
      <w:pPr>
        <w:pStyle w:val="2"/>
      </w:pPr>
    </w:p>
    <w:p>
      <w:pPr>
        <w:widowControl/>
        <w:jc w:val="left"/>
        <w:rPr>
          <w:sz w:val="28"/>
        </w:rPr>
      </w:pPr>
    </w:p>
    <w:p>
      <w:pPr>
        <w:sectPr>
          <w:pgSz w:w="11906" w:h="16838"/>
          <w:pgMar w:top="1417" w:right="1417" w:bottom="1417" w:left="1417" w:header="851" w:footer="992" w:gutter="0"/>
          <w:cols w:space="720" w:num="1"/>
          <w:docGrid w:type="lines" w:linePitch="312" w:charSpace="0"/>
        </w:sectPr>
      </w:pPr>
    </w:p>
    <w:p>
      <w:r>
        <w:drawing>
          <wp:anchor distT="0" distB="0" distL="114300" distR="114300" simplePos="0" relativeHeight="251707392" behindDoc="1" locked="0" layoutInCell="1" allowOverlap="1">
            <wp:simplePos x="0" y="0"/>
            <wp:positionH relativeFrom="column">
              <wp:posOffset>43180</wp:posOffset>
            </wp:positionH>
            <wp:positionV relativeFrom="paragraph">
              <wp:posOffset>-795020</wp:posOffset>
            </wp:positionV>
            <wp:extent cx="8239125" cy="6810375"/>
            <wp:effectExtent l="19050" t="0" r="9525" b="0"/>
            <wp:wrapNone/>
            <wp:docPr id="26" name="图片 26" descr="C:\Users\linhu\Desktop\QQ截图2020090711145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linhu\Desktop\QQ截图20200907111454.bmp"/>
                    <pic:cNvPicPr>
                      <a:picLocks noChangeAspect="1" noChangeArrowheads="1"/>
                    </pic:cNvPicPr>
                  </pic:nvPicPr>
                  <pic:blipFill>
                    <a:blip r:embed="rId20"/>
                    <a:srcRect/>
                    <a:stretch>
                      <a:fillRect/>
                    </a:stretch>
                  </pic:blipFill>
                  <pic:spPr>
                    <a:xfrm>
                      <a:off x="0" y="0"/>
                      <a:ext cx="8239125" cy="6810375"/>
                    </a:xfrm>
                    <a:prstGeom prst="rect">
                      <a:avLst/>
                    </a:prstGeom>
                    <a:noFill/>
                    <a:ln w="9525">
                      <a:noFill/>
                      <a:miter lim="800000"/>
                      <a:headEnd/>
                      <a:tailEnd/>
                    </a:ln>
                  </pic:spPr>
                </pic:pic>
              </a:graphicData>
            </a:graphic>
          </wp:anchor>
        </w:drawing>
      </w:r>
    </w:p>
    <w:p>
      <w:pPr>
        <w:pStyle w:val="2"/>
      </w:pPr>
    </w:p>
    <w:p/>
    <w:p>
      <w:pPr>
        <w:pStyle w:val="2"/>
      </w:pPr>
    </w:p>
    <w:p/>
    <w:p>
      <w:pPr>
        <w:pStyle w:val="2"/>
      </w:pPr>
    </w:p>
    <w:p/>
    <w:p>
      <w:pPr>
        <w:pStyle w:val="2"/>
      </w:pPr>
    </w:p>
    <w:p/>
    <w:p>
      <w:pPr>
        <w:pStyle w:val="2"/>
      </w:pPr>
    </w:p>
    <w:p>
      <w:pPr>
        <w:widowControl/>
        <w:jc w:val="left"/>
      </w:pPr>
      <w:r>
        <w:pict>
          <v:shape id="文本框 2" o:spid="_x0000_s1735" o:spt="202" type="#_x0000_t202" style="position:absolute;left:0pt;margin-left:2.3pt;margin-top:322.15pt;height:36.75pt;width:696.75pt;mso-position-horizontal-relative:margin;z-index:251708416;mso-width-relative:margin;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hicPQIAAFIEAAAOAAAAZHJzL2Uyb0RvYy54bWysVMGO2jAQvVfqP1i+l0AKLI0IK7orqkpo&#10;dyW22rNxbIjkeFzbkNAPaP+gp15673fxHR07gUXbnqpezHhmMuN57w3T66ZSZC+sK0HndNDrUyI0&#10;h6LUm5x+ely8mVDiPNMFU6BFTg/C0evZ61fT2mQihS2oQliCRbTLapPTrfcmSxLHt6JirgdGaAxK&#10;sBXzeLWbpLCsxuqVStJ+f5zUYAtjgQvn0HvbBuks1pdScH8vpROeqJzi23w8bTzX4UxmU5ZtLDPb&#10;knfPYP/wioqVGpueS90yz8jOln+UqkpuwYH0PQ5VAlKWXMQZcJpB/8U0qy0zIs6C4Dhzhsn9v7L8&#10;bv9gSVnkNKVEswopOn7/dvzx6/jzK0kDPLVxGWatDOb55j00SPPJ79AZpm6krcIvzkMwjkAfzuCK&#10;xhOOzslkOLlKR5RwjA3H42Bj+eT5a2Od/yCgIsHIqUXyIqZsv3S+TT2lhGYaFqVSkUClSZ3T8dtR&#10;P35wjmBxpbFHmKF9a7B8s266wdZQHHAuC60wnOGLEpsvmfMPzKIScBRUt7/HQyrAJtBZlGzBfvmb&#10;P+QjQRilpEZl5dR93jErKFEfNVL3bjAcBinGy3B0leLFXkbWlxG9q24AxTvAPTI8miHfq5MpLVRP&#10;uATz0BVDTHPsnVN/Mm98q3dcIi7m85iE4jPML/XK8FA6wBmgfWyemDUd/h6Zu4OTBln2goY2tyVi&#10;vvMgy8hRALhFtcMdhRtZ7pYsbMblPWY9/xXMfgMAAP//AwBQSwMEFAAGAAgAAAAhAK9rJa/fAAAA&#10;CQEAAA8AAABkcnMvZG93bnJldi54bWxMj81Ow0AMhO9IvMPKSNzohlaBELKpqkgVEoJDSy/cnKyb&#10;ROxPyG7bwNPjnspt7LHG3xTLyRpxpDH03im4nyUgyDVe965VsPtY32UgQkSn0XhHCn4owLK8viow&#10;1/7kNnTcxlZwiAs5KuhiHHIpQ9ORxTDzAzn29n60GHkcW6lHPHG4NXKeJA/SYu/4Q4cDVR01X9uD&#10;VfBard9xU89t9muql7f9avjefaZK3d5Mq2cQkaZ4OYYzPqNDyUy1PzgdhFHARSJvk5TF2V48LVIQ&#10;NavHLAVZFvJ/g/IPAAD//wMAUEsBAi0AFAAGAAgAAAAhALaDOJL+AAAA4QEAABMAAAAAAAAAAAAA&#10;AAAAAAAAAFtDb250ZW50X1R5cGVzXS54bWxQSwECLQAUAAYACAAAACEAOP0h/9YAAACUAQAACwAA&#10;AAAAAAAAAAAAAAAvAQAAX3JlbHMvLnJlbHNQSwECLQAUAAYACAAAACEA2EYYnD0CAABSBAAADgAA&#10;AAAAAAAAAAAAAAAuAgAAZHJzL2Uyb0RvYy54bWxQSwECLQAUAAYACAAAACEAr2slr98AAAAJAQAA&#10;DwAAAAAAAAAAAAAAAACXBAAAZHJzL2Rvd25yZXYueG1sUEsFBgAAAAAEAAQA8wAAAKMFAAAAAA==&#10;">
            <v:path/>
            <v:fill on="f" focussize="0,0"/>
            <v:stroke on="f" weight="0.5pt" joinstyle="miter"/>
            <v:imagedata o:title=""/>
            <o:lock v:ext="edit"/>
            <v:textbox>
              <w:txbxContent>
                <w:p>
                  <w:pPr>
                    <w:jc w:val="center"/>
                    <w:rPr>
                      <w:rFonts w:ascii="Times New Roman" w:hAnsi="Times New Roman" w:eastAsia="宋体"/>
                      <w:b/>
                      <w:bCs/>
                      <w:sz w:val="32"/>
                      <w:szCs w:val="32"/>
                    </w:rPr>
                  </w:pPr>
                  <w:r>
                    <w:rPr>
                      <w:rFonts w:hint="eastAsia" w:ascii="Times New Roman" w:hAnsi="Times New Roman" w:eastAsia="宋体"/>
                      <w:b/>
                      <w:bCs/>
                      <w:sz w:val="32"/>
                      <w:szCs w:val="32"/>
                    </w:rPr>
                    <w:t>附图3    项目周边环境敏感点示意图</w:t>
                  </w:r>
                </w:p>
              </w:txbxContent>
            </v:textbox>
          </v:shape>
        </w:pict>
      </w:r>
      <w:r>
        <w:br w:type="page"/>
      </w:r>
    </w:p>
    <w:p>
      <w:r>
        <w:drawing>
          <wp:anchor distT="0" distB="0" distL="114300" distR="114300" simplePos="0" relativeHeight="251709440" behindDoc="1" locked="0" layoutInCell="1" allowOverlap="1">
            <wp:simplePos x="0" y="0"/>
            <wp:positionH relativeFrom="column">
              <wp:posOffset>-594995</wp:posOffset>
            </wp:positionH>
            <wp:positionV relativeFrom="paragraph">
              <wp:posOffset>-642620</wp:posOffset>
            </wp:positionV>
            <wp:extent cx="9772650" cy="7034530"/>
            <wp:effectExtent l="19050" t="0" r="0" b="0"/>
            <wp:wrapNone/>
            <wp:docPr id="27" name="图片 27" descr="C:\Users\linhu\Desktop\QQ截图202009071117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linhu\Desktop\QQ截图20200907111716.bmp"/>
                    <pic:cNvPicPr>
                      <a:picLocks noChangeAspect="1" noChangeArrowheads="1"/>
                    </pic:cNvPicPr>
                  </pic:nvPicPr>
                  <pic:blipFill>
                    <a:blip r:embed="rId21"/>
                    <a:srcRect/>
                    <a:stretch>
                      <a:fillRect/>
                    </a:stretch>
                  </pic:blipFill>
                  <pic:spPr>
                    <a:xfrm>
                      <a:off x="0" y="0"/>
                      <a:ext cx="9772650" cy="7034298"/>
                    </a:xfrm>
                    <a:prstGeom prst="rect">
                      <a:avLst/>
                    </a:prstGeom>
                    <a:noFill/>
                    <a:ln w="9525">
                      <a:noFill/>
                      <a:miter lim="800000"/>
                      <a:headEnd/>
                      <a:tailEnd/>
                    </a:ln>
                  </pic:spPr>
                </pic:pic>
              </a:graphicData>
            </a:graphic>
          </wp:anchor>
        </w:drawing>
      </w:r>
    </w:p>
    <w:p>
      <w:pPr>
        <w:pStyle w:val="2"/>
      </w:pPr>
    </w:p>
    <w:p/>
    <w:p>
      <w:pPr>
        <w:pStyle w:val="2"/>
      </w:pPr>
    </w:p>
    <w:p/>
    <w:p>
      <w:pPr>
        <w:pStyle w:val="2"/>
      </w:pPr>
    </w:p>
    <w:p/>
    <w:p>
      <w:pPr>
        <w:pStyle w:val="2"/>
      </w:pPr>
    </w:p>
    <w:p/>
    <w:p>
      <w:pPr>
        <w:pStyle w:val="2"/>
      </w:pPr>
    </w:p>
    <w:p/>
    <w:p>
      <w:pPr>
        <w:widowControl/>
        <w:jc w:val="left"/>
        <w:rPr>
          <w:sz w:val="28"/>
        </w:rPr>
      </w:pPr>
      <w:r>
        <w:br w:type="page"/>
      </w:r>
    </w:p>
    <w:p>
      <w:pPr>
        <w:pStyle w:val="2"/>
      </w:pPr>
      <w:r>
        <w:drawing>
          <wp:anchor distT="0" distB="0" distL="114300" distR="114300" simplePos="0" relativeHeight="251710464" behindDoc="1" locked="0" layoutInCell="1" allowOverlap="1">
            <wp:simplePos x="0" y="0"/>
            <wp:positionH relativeFrom="column">
              <wp:posOffset>33655</wp:posOffset>
            </wp:positionH>
            <wp:positionV relativeFrom="paragraph">
              <wp:posOffset>-871220</wp:posOffset>
            </wp:positionV>
            <wp:extent cx="8892540" cy="7258050"/>
            <wp:effectExtent l="19050" t="0" r="3810" b="0"/>
            <wp:wrapNone/>
            <wp:docPr id="28" name="图片 28" descr="C:\Users\linhu\Desktop\QQ截图2020090711173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linhu\Desktop\QQ截图20200907111736.bmp"/>
                    <pic:cNvPicPr>
                      <a:picLocks noChangeAspect="1" noChangeArrowheads="1"/>
                    </pic:cNvPicPr>
                  </pic:nvPicPr>
                  <pic:blipFill>
                    <a:blip r:embed="rId22"/>
                    <a:srcRect/>
                    <a:stretch>
                      <a:fillRect/>
                    </a:stretch>
                  </pic:blipFill>
                  <pic:spPr>
                    <a:xfrm>
                      <a:off x="0" y="0"/>
                      <a:ext cx="8892540" cy="7258050"/>
                    </a:xfrm>
                    <a:prstGeom prst="rect">
                      <a:avLst/>
                    </a:prstGeom>
                    <a:noFill/>
                    <a:ln w="9525">
                      <a:noFill/>
                      <a:miter lim="800000"/>
                      <a:headEnd/>
                      <a:tailEnd/>
                    </a:ln>
                  </pic:spPr>
                </pic:pic>
              </a:graphicData>
            </a:graphic>
          </wp:anchor>
        </w:drawing>
      </w:r>
    </w:p>
    <w:p/>
    <w:p>
      <w:pPr>
        <w:pStyle w:val="2"/>
      </w:pPr>
    </w:p>
    <w:p/>
    <w:p>
      <w:pPr>
        <w:pStyle w:val="2"/>
      </w:pPr>
    </w:p>
    <w:p/>
    <w:p>
      <w:pPr>
        <w:pStyle w:val="2"/>
      </w:pPr>
    </w:p>
    <w:p/>
    <w:p>
      <w:pPr>
        <w:pStyle w:val="2"/>
      </w:pPr>
    </w:p>
    <w:p/>
    <w:p>
      <w:pPr>
        <w:pStyle w:val="2"/>
      </w:pPr>
    </w:p>
    <w:p>
      <w:pPr>
        <w:sectPr>
          <w:pgSz w:w="16838" w:h="11906" w:orient="landscape"/>
          <w:pgMar w:top="1417" w:right="1417" w:bottom="1417" w:left="1417" w:header="851" w:footer="992" w:gutter="0"/>
          <w:cols w:space="720" w:num="1"/>
          <w:docGrid w:type="lines" w:linePitch="312" w:charSpace="0"/>
        </w:sectPr>
      </w:pPr>
    </w:p>
    <w:p>
      <w:pPr>
        <w:rPr>
          <w:rFonts w:ascii="黑体" w:eastAsia="黑体"/>
          <w:sz w:val="22"/>
        </w:rPr>
      </w:pPr>
      <w:r>
        <w:rPr>
          <w:rFonts w:ascii="黑体" w:eastAsia="黑体"/>
          <w:sz w:val="22"/>
        </w:rPr>
        <w:drawing>
          <wp:anchor distT="0" distB="0" distL="114300" distR="114300" simplePos="0" relativeHeight="251781120" behindDoc="1" locked="0" layoutInCell="1" allowOverlap="1">
            <wp:simplePos x="0" y="0"/>
            <wp:positionH relativeFrom="column">
              <wp:posOffset>-286385</wp:posOffset>
            </wp:positionH>
            <wp:positionV relativeFrom="paragraph">
              <wp:posOffset>-377190</wp:posOffset>
            </wp:positionV>
            <wp:extent cx="6239510" cy="9117330"/>
            <wp:effectExtent l="19050" t="0" r="9154" b="0"/>
            <wp:wrapNone/>
            <wp:docPr id="712" name="图片 9" descr="C:\Users\linhu\Desktop\QQ截图202009141038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图片 9" descr="C:\Users\linhu\Desktop\QQ截图20200914103813.bmp"/>
                    <pic:cNvPicPr>
                      <a:picLocks noChangeAspect="1" noChangeArrowheads="1"/>
                    </pic:cNvPicPr>
                  </pic:nvPicPr>
                  <pic:blipFill>
                    <a:blip r:embed="rId23"/>
                    <a:srcRect/>
                    <a:stretch>
                      <a:fillRect/>
                    </a:stretch>
                  </pic:blipFill>
                  <pic:spPr>
                    <a:xfrm>
                      <a:off x="0" y="0"/>
                      <a:ext cx="6239245" cy="9117334"/>
                    </a:xfrm>
                    <a:prstGeom prst="rect">
                      <a:avLst/>
                    </a:prstGeom>
                    <a:noFill/>
                    <a:ln w="9525">
                      <a:noFill/>
                      <a:miter lim="800000"/>
                      <a:headEnd/>
                      <a:tailEnd/>
                    </a:ln>
                  </pic:spPr>
                </pic:pic>
              </a:graphicData>
            </a:graphic>
          </wp:anchor>
        </w:drawing>
      </w: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r>
        <w:rPr>
          <w:rFonts w:ascii="黑体" w:eastAsia="黑体"/>
          <w:sz w:val="22"/>
        </w:rPr>
        <w:drawing>
          <wp:anchor distT="0" distB="0" distL="114300" distR="114300" simplePos="0" relativeHeight="251782144" behindDoc="1" locked="0" layoutInCell="1" allowOverlap="1">
            <wp:simplePos x="0" y="0"/>
            <wp:positionH relativeFrom="column">
              <wp:posOffset>-286385</wp:posOffset>
            </wp:positionH>
            <wp:positionV relativeFrom="paragraph">
              <wp:posOffset>-317500</wp:posOffset>
            </wp:positionV>
            <wp:extent cx="6316345" cy="9239250"/>
            <wp:effectExtent l="19050" t="0" r="8441" b="0"/>
            <wp:wrapNone/>
            <wp:docPr id="713" name="图片 10" descr="C:\Users\linhu\Desktop\QQ截图202009141038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图片 10" descr="C:\Users\linhu\Desktop\QQ截图20200914103822.bmp"/>
                    <pic:cNvPicPr>
                      <a:picLocks noChangeAspect="1" noChangeArrowheads="1"/>
                    </pic:cNvPicPr>
                  </pic:nvPicPr>
                  <pic:blipFill>
                    <a:blip r:embed="rId24"/>
                    <a:srcRect/>
                    <a:stretch>
                      <a:fillRect/>
                    </a:stretch>
                  </pic:blipFill>
                  <pic:spPr>
                    <a:xfrm>
                      <a:off x="0" y="0"/>
                      <a:ext cx="6316160" cy="9239004"/>
                    </a:xfrm>
                    <a:prstGeom prst="rect">
                      <a:avLst/>
                    </a:prstGeom>
                    <a:noFill/>
                    <a:ln w="9525">
                      <a:noFill/>
                      <a:miter lim="800000"/>
                      <a:headEnd/>
                      <a:tailEnd/>
                    </a:ln>
                  </pic:spPr>
                </pic:pic>
              </a:graphicData>
            </a:graphic>
          </wp:anchor>
        </w:drawing>
      </w: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Pr>
        <w:rPr>
          <w:rFonts w:ascii="黑体" w:eastAsia="黑体"/>
          <w:sz w:val="22"/>
        </w:rPr>
      </w:pPr>
    </w:p>
    <w:p/>
    <w:p>
      <w:pPr>
        <w:pStyle w:val="2"/>
      </w:pPr>
    </w:p>
    <w:p/>
    <w:p>
      <w:r>
        <w:drawing>
          <wp:anchor distT="0" distB="0" distL="114300" distR="114300" simplePos="0" relativeHeight="251788288" behindDoc="1" locked="0" layoutInCell="1" allowOverlap="1">
            <wp:simplePos x="0" y="0"/>
            <wp:positionH relativeFrom="column">
              <wp:posOffset>-393700</wp:posOffset>
            </wp:positionH>
            <wp:positionV relativeFrom="paragraph">
              <wp:posOffset>-317500</wp:posOffset>
            </wp:positionV>
            <wp:extent cx="6543675" cy="9286240"/>
            <wp:effectExtent l="19050" t="0" r="0" b="0"/>
            <wp:wrapNone/>
            <wp:docPr id="6" name="图片 6" descr="C:\Users\linhu\Desktop\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inhu\Desktop\1.bmp"/>
                    <pic:cNvPicPr>
                      <a:picLocks noChangeAspect="1" noChangeArrowheads="1"/>
                    </pic:cNvPicPr>
                  </pic:nvPicPr>
                  <pic:blipFill>
                    <a:blip r:embed="rId25"/>
                    <a:srcRect/>
                    <a:stretch>
                      <a:fillRect/>
                    </a:stretch>
                  </pic:blipFill>
                  <pic:spPr>
                    <a:xfrm>
                      <a:off x="0" y="0"/>
                      <a:ext cx="6549987" cy="9295482"/>
                    </a:xfrm>
                    <a:prstGeom prst="rect">
                      <a:avLst/>
                    </a:prstGeom>
                    <a:noFill/>
                    <a:ln w="9525">
                      <a:noFill/>
                      <a:miter lim="800000"/>
                      <a:headEnd/>
                      <a:tailEnd/>
                    </a:ln>
                  </pic:spPr>
                </pic:pic>
              </a:graphicData>
            </a:graphic>
          </wp:anchor>
        </w:drawing>
      </w:r>
    </w:p>
    <w:p>
      <w:pPr>
        <w:widowControl/>
        <w:jc w:val="left"/>
      </w:pPr>
      <w:r>
        <w:br w:type="page"/>
      </w:r>
    </w:p>
    <w:p>
      <w:r>
        <w:drawing>
          <wp:anchor distT="0" distB="0" distL="114300" distR="114300" simplePos="0" relativeHeight="251789312" behindDoc="1" locked="0" layoutInCell="1" allowOverlap="1">
            <wp:simplePos x="0" y="0"/>
            <wp:positionH relativeFrom="column">
              <wp:posOffset>-833120</wp:posOffset>
            </wp:positionH>
            <wp:positionV relativeFrom="paragraph">
              <wp:posOffset>-875665</wp:posOffset>
            </wp:positionV>
            <wp:extent cx="7553960" cy="10711815"/>
            <wp:effectExtent l="19050" t="0" r="8618" b="0"/>
            <wp:wrapNone/>
            <wp:docPr id="7" name="图片 7" descr="C:\Users\linhu\Desktop\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inhu\Desktop\2.bmp"/>
                    <pic:cNvPicPr>
                      <a:picLocks noChangeAspect="1" noChangeArrowheads="1"/>
                    </pic:cNvPicPr>
                  </pic:nvPicPr>
                  <pic:blipFill>
                    <a:blip r:embed="rId26"/>
                    <a:srcRect/>
                    <a:stretch>
                      <a:fillRect/>
                    </a:stretch>
                  </pic:blipFill>
                  <pic:spPr>
                    <a:xfrm>
                      <a:off x="0" y="0"/>
                      <a:ext cx="7554232" cy="10711543"/>
                    </a:xfrm>
                    <a:prstGeom prst="rect">
                      <a:avLst/>
                    </a:prstGeom>
                    <a:noFill/>
                    <a:ln w="9525">
                      <a:noFill/>
                      <a:miter lim="800000"/>
                      <a:headEnd/>
                      <a:tailEnd/>
                    </a:ln>
                  </pic:spPr>
                </pic:pic>
              </a:graphicData>
            </a:graphic>
          </wp:anchor>
        </w:drawing>
      </w:r>
    </w:p>
    <w:p>
      <w:pPr>
        <w:widowControl/>
        <w:jc w:val="left"/>
      </w:pPr>
      <w:r>
        <w:br w:type="page"/>
      </w:r>
    </w:p>
    <w:p>
      <w:r>
        <w:drawing>
          <wp:anchor distT="0" distB="0" distL="114300" distR="114300" simplePos="0" relativeHeight="251790336" behindDoc="1" locked="0" layoutInCell="1" allowOverlap="1">
            <wp:simplePos x="0" y="0"/>
            <wp:positionH relativeFrom="column">
              <wp:posOffset>-702310</wp:posOffset>
            </wp:positionH>
            <wp:positionV relativeFrom="paragraph">
              <wp:posOffset>-792480</wp:posOffset>
            </wp:positionV>
            <wp:extent cx="7254240" cy="10177145"/>
            <wp:effectExtent l="19050" t="0" r="4112" b="0"/>
            <wp:wrapNone/>
            <wp:docPr id="2" name="图片 8" descr="C:\Users\linhu\Desktop\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C:\Users\linhu\Desktop\3.bmp"/>
                    <pic:cNvPicPr>
                      <a:picLocks noChangeAspect="1" noChangeArrowheads="1"/>
                    </pic:cNvPicPr>
                  </pic:nvPicPr>
                  <pic:blipFill>
                    <a:blip r:embed="rId27"/>
                    <a:srcRect/>
                    <a:stretch>
                      <a:fillRect/>
                    </a:stretch>
                  </pic:blipFill>
                  <pic:spPr>
                    <a:xfrm>
                      <a:off x="0" y="0"/>
                      <a:ext cx="7253938" cy="10177153"/>
                    </a:xfrm>
                    <a:prstGeom prst="rect">
                      <a:avLst/>
                    </a:prstGeom>
                    <a:noFill/>
                    <a:ln w="9525">
                      <a:noFill/>
                      <a:miter lim="800000"/>
                      <a:headEnd/>
                      <a:tailEnd/>
                    </a:ln>
                  </pic:spPr>
                </pic:pic>
              </a:graphicData>
            </a:graphic>
          </wp:anchor>
        </w:drawing>
      </w:r>
    </w:p>
    <w:p>
      <w:pPr>
        <w:widowControl/>
        <w:jc w:val="left"/>
      </w:pPr>
    </w:p>
    <w:p>
      <w:pPr>
        <w:widowControl/>
        <w:jc w:val="left"/>
      </w:pPr>
    </w:p>
    <w:p>
      <w:pPr>
        <w:widowControl/>
        <w:jc w:val="left"/>
      </w:pPr>
    </w:p>
    <w:p>
      <w:pPr>
        <w:widowControl/>
        <w:jc w:val="left"/>
      </w:pPr>
    </w:p>
    <w:p>
      <w:pPr>
        <w:widowControl/>
        <w:jc w:val="left"/>
      </w:pPr>
    </w:p>
    <w:p>
      <w:pPr>
        <w:widowControl/>
        <w:jc w:val="left"/>
      </w:pPr>
      <w:r>
        <w:br w:type="page"/>
      </w:r>
    </w:p>
    <w:p>
      <w:pPr>
        <w:widowControl/>
        <w:jc w:val="left"/>
      </w:pPr>
      <w:r>
        <w:drawing>
          <wp:anchor distT="0" distB="0" distL="114300" distR="114300" simplePos="0" relativeHeight="251791360" behindDoc="1" locked="0" layoutInCell="1" allowOverlap="1">
            <wp:simplePos x="0" y="0"/>
            <wp:positionH relativeFrom="column">
              <wp:posOffset>-702310</wp:posOffset>
            </wp:positionH>
            <wp:positionV relativeFrom="paragraph">
              <wp:posOffset>-685800</wp:posOffset>
            </wp:positionV>
            <wp:extent cx="7215505" cy="10177145"/>
            <wp:effectExtent l="19050" t="0" r="4216" b="0"/>
            <wp:wrapNone/>
            <wp:docPr id="4" name="图片 9" descr="C:\Users\linhu\Desktop\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C:\Users\linhu\Desktop\4.bmp"/>
                    <pic:cNvPicPr>
                      <a:picLocks noChangeAspect="1" noChangeArrowheads="1"/>
                    </pic:cNvPicPr>
                  </pic:nvPicPr>
                  <pic:blipFill>
                    <a:blip r:embed="rId28"/>
                    <a:srcRect/>
                    <a:stretch>
                      <a:fillRect/>
                    </a:stretch>
                  </pic:blipFill>
                  <pic:spPr>
                    <a:xfrm>
                      <a:off x="0" y="0"/>
                      <a:ext cx="7215734" cy="10177153"/>
                    </a:xfrm>
                    <a:prstGeom prst="rect">
                      <a:avLst/>
                    </a:prstGeom>
                    <a:noFill/>
                    <a:ln w="9525">
                      <a:noFill/>
                      <a:miter lim="800000"/>
                      <a:headEnd/>
                      <a:tailEnd/>
                    </a:ln>
                  </pic:spPr>
                </pic:pic>
              </a:graphicData>
            </a:graphic>
          </wp:anchor>
        </w:drawing>
      </w:r>
    </w:p>
    <w:p>
      <w:pPr>
        <w:widowControl/>
        <w:jc w:val="left"/>
      </w:pPr>
    </w:p>
    <w:p>
      <w:pPr>
        <w:widowControl/>
        <w:jc w:val="left"/>
      </w:pPr>
    </w:p>
    <w:p>
      <w:pPr>
        <w:widowControl/>
        <w:jc w:val="left"/>
      </w:pPr>
    </w:p>
    <w:p>
      <w:pPr>
        <w:widowControl/>
        <w:jc w:val="left"/>
      </w:pPr>
      <w:r>
        <w:br w:type="page"/>
      </w:r>
    </w:p>
    <w:p>
      <w:pPr>
        <w:widowControl/>
        <w:jc w:val="left"/>
      </w:pPr>
      <w:r>
        <w:drawing>
          <wp:anchor distT="0" distB="0" distL="114300" distR="114300" simplePos="0" relativeHeight="251792384" behindDoc="1" locked="0" layoutInCell="1" allowOverlap="1">
            <wp:simplePos x="0" y="0"/>
            <wp:positionH relativeFrom="column">
              <wp:posOffset>-702310</wp:posOffset>
            </wp:positionH>
            <wp:positionV relativeFrom="paragraph">
              <wp:posOffset>-852170</wp:posOffset>
            </wp:positionV>
            <wp:extent cx="7248525" cy="10283825"/>
            <wp:effectExtent l="19050" t="0" r="0" b="0"/>
            <wp:wrapNone/>
            <wp:docPr id="10" name="图片 10" descr="C:\Users\linhu\Desktop\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linhu\Desktop\5.bmp"/>
                    <pic:cNvPicPr>
                      <a:picLocks noChangeAspect="1" noChangeArrowheads="1"/>
                    </pic:cNvPicPr>
                  </pic:nvPicPr>
                  <pic:blipFill>
                    <a:blip r:embed="rId29"/>
                    <a:srcRect/>
                    <a:stretch>
                      <a:fillRect/>
                    </a:stretch>
                  </pic:blipFill>
                  <pic:spPr>
                    <a:xfrm>
                      <a:off x="0" y="0"/>
                      <a:ext cx="7248468" cy="10284031"/>
                    </a:xfrm>
                    <a:prstGeom prst="rect">
                      <a:avLst/>
                    </a:prstGeom>
                    <a:noFill/>
                    <a:ln w="9525">
                      <a:noFill/>
                      <a:miter lim="800000"/>
                      <a:headEnd/>
                      <a:tailEnd/>
                    </a:ln>
                  </pic:spPr>
                </pic:pic>
              </a:graphicData>
            </a:graphic>
          </wp:anchor>
        </w:drawing>
      </w:r>
    </w:p>
    <w:p>
      <w:pPr>
        <w:widowControl/>
        <w:jc w:val="left"/>
      </w:pPr>
    </w:p>
    <w:p>
      <w:pPr>
        <w:widowControl/>
        <w:jc w:val="left"/>
      </w:pPr>
    </w:p>
    <w:p>
      <w:pPr>
        <w:widowControl/>
        <w:jc w:val="left"/>
      </w:pPr>
      <w:r>
        <w:br w:type="page"/>
      </w:r>
    </w:p>
    <w:p>
      <w:pPr>
        <w:widowControl/>
        <w:jc w:val="left"/>
      </w:pPr>
      <w:r>
        <w:drawing>
          <wp:anchor distT="0" distB="0" distL="114300" distR="114300" simplePos="0" relativeHeight="251793408" behindDoc="1" locked="0" layoutInCell="1" allowOverlap="1">
            <wp:simplePos x="0" y="0"/>
            <wp:positionH relativeFrom="column">
              <wp:posOffset>-785495</wp:posOffset>
            </wp:positionH>
            <wp:positionV relativeFrom="paragraph">
              <wp:posOffset>-852170</wp:posOffset>
            </wp:positionV>
            <wp:extent cx="7291705" cy="10391140"/>
            <wp:effectExtent l="19050" t="0" r="4439" b="0"/>
            <wp:wrapNone/>
            <wp:docPr id="5" name="图片 11" descr="C:\Users\linhu\Desktop\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C:\Users\linhu\Desktop\6.bmp"/>
                    <pic:cNvPicPr>
                      <a:picLocks noChangeAspect="1" noChangeArrowheads="1"/>
                    </pic:cNvPicPr>
                  </pic:nvPicPr>
                  <pic:blipFill>
                    <a:blip r:embed="rId30"/>
                    <a:srcRect/>
                    <a:stretch>
                      <a:fillRect/>
                    </a:stretch>
                  </pic:blipFill>
                  <pic:spPr>
                    <a:xfrm>
                      <a:off x="0" y="0"/>
                      <a:ext cx="7291713" cy="10390911"/>
                    </a:xfrm>
                    <a:prstGeom prst="rect">
                      <a:avLst/>
                    </a:prstGeom>
                    <a:noFill/>
                    <a:ln w="9525">
                      <a:noFill/>
                      <a:miter lim="800000"/>
                      <a:headEnd/>
                      <a:tailEnd/>
                    </a:ln>
                  </pic:spPr>
                </pic:pic>
              </a:graphicData>
            </a:graphic>
          </wp:anchor>
        </w:drawing>
      </w:r>
    </w:p>
    <w:p>
      <w:pPr>
        <w:widowControl/>
        <w:jc w:val="left"/>
      </w:pPr>
    </w:p>
    <w:p>
      <w:pPr>
        <w:widowControl/>
        <w:jc w:val="left"/>
      </w:pPr>
    </w:p>
    <w:p>
      <w:pPr>
        <w:widowControl/>
        <w:jc w:val="left"/>
      </w:pPr>
    </w:p>
    <w:p>
      <w:pPr>
        <w:widowControl/>
        <w:jc w:val="left"/>
      </w:pPr>
      <w:r>
        <w:br w:type="page"/>
      </w:r>
    </w:p>
    <w:p>
      <w:pPr>
        <w:widowControl/>
        <w:jc w:val="left"/>
      </w:pPr>
      <w:r>
        <w:drawing>
          <wp:anchor distT="0" distB="0" distL="114300" distR="114300" simplePos="0" relativeHeight="251794432" behindDoc="1" locked="0" layoutInCell="1" allowOverlap="1">
            <wp:simplePos x="0" y="0"/>
            <wp:positionH relativeFrom="column">
              <wp:posOffset>-714375</wp:posOffset>
            </wp:positionH>
            <wp:positionV relativeFrom="paragraph">
              <wp:posOffset>-852170</wp:posOffset>
            </wp:positionV>
            <wp:extent cx="7198360" cy="10200640"/>
            <wp:effectExtent l="19050" t="0" r="2509" b="0"/>
            <wp:wrapNone/>
            <wp:docPr id="718" name="图片 12" descr="C:\Users\linhu\Desktop\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图片 12" descr="C:\Users\linhu\Desktop\7.bmp"/>
                    <pic:cNvPicPr>
                      <a:picLocks noChangeAspect="1" noChangeArrowheads="1"/>
                    </pic:cNvPicPr>
                  </pic:nvPicPr>
                  <pic:blipFill>
                    <a:blip r:embed="rId31"/>
                    <a:srcRect/>
                    <a:stretch>
                      <a:fillRect/>
                    </a:stretch>
                  </pic:blipFill>
                  <pic:spPr>
                    <a:xfrm>
                      <a:off x="0" y="0"/>
                      <a:ext cx="7198390" cy="10200902"/>
                    </a:xfrm>
                    <a:prstGeom prst="rect">
                      <a:avLst/>
                    </a:prstGeom>
                    <a:noFill/>
                    <a:ln w="9525">
                      <a:noFill/>
                      <a:miter lim="800000"/>
                      <a:headEnd/>
                      <a:tailEnd/>
                    </a:ln>
                  </pic:spPr>
                </pic:pic>
              </a:graphicData>
            </a:graphic>
          </wp:anchor>
        </w:drawing>
      </w:r>
    </w:p>
    <w:p>
      <w:pPr>
        <w:widowControl/>
        <w:jc w:val="left"/>
      </w:pPr>
    </w:p>
    <w:p>
      <w:pPr>
        <w:widowControl/>
        <w:jc w:val="left"/>
      </w:pPr>
    </w:p>
    <w:p>
      <w:pPr>
        <w:widowControl/>
        <w:jc w:val="left"/>
      </w:pPr>
      <w:r>
        <w:br w:type="page"/>
      </w:r>
    </w:p>
    <w:p>
      <w:pPr>
        <w:widowControl/>
        <w:jc w:val="left"/>
      </w:pPr>
      <w:r>
        <w:drawing>
          <wp:anchor distT="0" distB="0" distL="114300" distR="114300" simplePos="0" relativeHeight="251795456" behindDoc="1" locked="0" layoutInCell="1" allowOverlap="1">
            <wp:simplePos x="0" y="0"/>
            <wp:positionH relativeFrom="column">
              <wp:posOffset>-856615</wp:posOffset>
            </wp:positionH>
            <wp:positionV relativeFrom="paragraph">
              <wp:posOffset>-685800</wp:posOffset>
            </wp:positionV>
            <wp:extent cx="7035165" cy="10116185"/>
            <wp:effectExtent l="19050" t="0" r="0" b="0"/>
            <wp:wrapNone/>
            <wp:docPr id="719" name="图片 13" descr="C:\Users\linhu\Desktop\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图片 13" descr="C:\Users\linhu\Desktop\8.bmp"/>
                    <pic:cNvPicPr>
                      <a:picLocks noChangeAspect="1" noChangeArrowheads="1"/>
                    </pic:cNvPicPr>
                  </pic:nvPicPr>
                  <pic:blipFill>
                    <a:blip r:embed="rId32"/>
                    <a:srcRect/>
                    <a:stretch>
                      <a:fillRect/>
                    </a:stretch>
                  </pic:blipFill>
                  <pic:spPr>
                    <a:xfrm>
                      <a:off x="0" y="0"/>
                      <a:ext cx="7034893" cy="10116185"/>
                    </a:xfrm>
                    <a:prstGeom prst="rect">
                      <a:avLst/>
                    </a:prstGeom>
                    <a:noFill/>
                    <a:ln w="9525">
                      <a:noFill/>
                      <a:miter lim="800000"/>
                      <a:headEnd/>
                      <a:tailEnd/>
                    </a:ln>
                  </pic:spPr>
                </pic:pic>
              </a:graphicData>
            </a:graphic>
          </wp:anchor>
        </w:drawing>
      </w:r>
    </w:p>
    <w:p>
      <w:pPr>
        <w:widowControl/>
        <w:jc w:val="left"/>
      </w:pPr>
    </w:p>
    <w:p>
      <w:pPr>
        <w:widowControl/>
        <w:jc w:val="left"/>
      </w:pPr>
    </w:p>
    <w:p>
      <w:pPr>
        <w:widowControl/>
        <w:jc w:val="left"/>
      </w:pPr>
      <w:r>
        <w:br w:type="page"/>
      </w:r>
    </w:p>
    <w:p>
      <w:pPr>
        <w:widowControl/>
        <w:jc w:val="left"/>
      </w:pPr>
      <w:r>
        <w:drawing>
          <wp:anchor distT="0" distB="0" distL="114300" distR="114300" simplePos="0" relativeHeight="251796480" behindDoc="1" locked="0" layoutInCell="1" allowOverlap="1">
            <wp:simplePos x="0" y="0"/>
            <wp:positionH relativeFrom="column">
              <wp:posOffset>-619125</wp:posOffset>
            </wp:positionH>
            <wp:positionV relativeFrom="paragraph">
              <wp:posOffset>-685800</wp:posOffset>
            </wp:positionV>
            <wp:extent cx="6809105" cy="9631045"/>
            <wp:effectExtent l="19050" t="0" r="0" b="0"/>
            <wp:wrapNone/>
            <wp:docPr id="720" name="图片 14" descr="C:\Users\linhu\Desktop\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图片 14" descr="C:\Users\linhu\Desktop\9.bmp"/>
                    <pic:cNvPicPr>
                      <a:picLocks noChangeAspect="1" noChangeArrowheads="1"/>
                    </pic:cNvPicPr>
                  </pic:nvPicPr>
                  <pic:blipFill>
                    <a:blip r:embed="rId33"/>
                    <a:srcRect/>
                    <a:stretch>
                      <a:fillRect/>
                    </a:stretch>
                  </pic:blipFill>
                  <pic:spPr>
                    <a:xfrm>
                      <a:off x="0" y="0"/>
                      <a:ext cx="6817816" cy="9643356"/>
                    </a:xfrm>
                    <a:prstGeom prst="rect">
                      <a:avLst/>
                    </a:prstGeom>
                    <a:noFill/>
                    <a:ln w="9525">
                      <a:noFill/>
                      <a:miter lim="800000"/>
                      <a:headEnd/>
                      <a:tailEnd/>
                    </a:ln>
                  </pic:spPr>
                </pic:pic>
              </a:graphicData>
            </a:graphic>
          </wp:anchor>
        </w:drawing>
      </w:r>
    </w:p>
    <w:p>
      <w:pPr>
        <w:widowControl/>
        <w:jc w:val="left"/>
      </w:pPr>
    </w:p>
    <w:p>
      <w:pPr>
        <w:widowControl/>
        <w:jc w:val="left"/>
      </w:pPr>
    </w:p>
    <w:p>
      <w:pPr>
        <w:widowControl/>
        <w:jc w:val="left"/>
      </w:pPr>
    </w:p>
    <w:p>
      <w:pPr>
        <w:widowControl/>
        <w:jc w:val="left"/>
      </w:pPr>
      <w:r>
        <w:br w:type="page"/>
      </w:r>
    </w:p>
    <w:p>
      <w:pPr>
        <w:widowControl/>
        <w:jc w:val="left"/>
      </w:pPr>
      <w:r>
        <w:drawing>
          <wp:anchor distT="0" distB="0" distL="114300" distR="114300" simplePos="0" relativeHeight="251797504" behindDoc="1" locked="0" layoutInCell="1" allowOverlap="1">
            <wp:simplePos x="0" y="0"/>
            <wp:positionH relativeFrom="column">
              <wp:posOffset>-619125</wp:posOffset>
            </wp:positionH>
            <wp:positionV relativeFrom="paragraph">
              <wp:posOffset>-685800</wp:posOffset>
            </wp:positionV>
            <wp:extent cx="7260590" cy="9987280"/>
            <wp:effectExtent l="19050" t="0" r="0" b="0"/>
            <wp:wrapNone/>
            <wp:docPr id="721" name="图片 15" descr="C:\Users\linhu\Desktop\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图片 15" descr="C:\Users\linhu\Desktop\10.bmp"/>
                    <pic:cNvPicPr>
                      <a:picLocks noChangeAspect="1" noChangeArrowheads="1"/>
                    </pic:cNvPicPr>
                  </pic:nvPicPr>
                  <pic:blipFill>
                    <a:blip r:embed="rId34"/>
                    <a:srcRect/>
                    <a:stretch>
                      <a:fillRect/>
                    </a:stretch>
                  </pic:blipFill>
                  <pic:spPr>
                    <a:xfrm>
                      <a:off x="0" y="0"/>
                      <a:ext cx="7260479" cy="9987148"/>
                    </a:xfrm>
                    <a:prstGeom prst="rect">
                      <a:avLst/>
                    </a:prstGeom>
                    <a:noFill/>
                    <a:ln w="9525">
                      <a:noFill/>
                      <a:miter lim="800000"/>
                      <a:headEnd/>
                      <a:tailEnd/>
                    </a:ln>
                  </pic:spPr>
                </pic:pic>
              </a:graphicData>
            </a:graphic>
          </wp:anchor>
        </w:drawing>
      </w:r>
    </w:p>
    <w:p>
      <w:pPr>
        <w:widowControl/>
        <w:jc w:val="left"/>
      </w:pPr>
    </w:p>
    <w:p>
      <w:pPr>
        <w:widowControl/>
        <w:jc w:val="left"/>
      </w:pPr>
    </w:p>
    <w:p>
      <w:pPr>
        <w:widowControl/>
        <w:jc w:val="left"/>
      </w:pPr>
      <w:r>
        <w:br w:type="page"/>
      </w:r>
    </w:p>
    <w:p>
      <w:pPr>
        <w:widowControl/>
        <w:jc w:val="left"/>
      </w:pPr>
      <w:r>
        <w:drawing>
          <wp:anchor distT="0" distB="0" distL="114300" distR="114300" simplePos="0" relativeHeight="251798528" behindDoc="1" locked="0" layoutInCell="1" allowOverlap="1">
            <wp:simplePos x="0" y="0"/>
            <wp:positionH relativeFrom="column">
              <wp:posOffset>-560070</wp:posOffset>
            </wp:positionH>
            <wp:positionV relativeFrom="paragraph">
              <wp:posOffset>-554990</wp:posOffset>
            </wp:positionV>
            <wp:extent cx="7075170" cy="9618980"/>
            <wp:effectExtent l="19050" t="0" r="0" b="0"/>
            <wp:wrapNone/>
            <wp:docPr id="722" name="图片 16" descr="C:\Users\linhu\Desktop\1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图片 16" descr="C:\Users\linhu\Desktop\111.bmp"/>
                    <pic:cNvPicPr>
                      <a:picLocks noChangeAspect="1" noChangeArrowheads="1"/>
                    </pic:cNvPicPr>
                  </pic:nvPicPr>
                  <pic:blipFill>
                    <a:blip r:embed="rId35"/>
                    <a:srcRect/>
                    <a:stretch>
                      <a:fillRect/>
                    </a:stretch>
                  </pic:blipFill>
                  <pic:spPr>
                    <a:xfrm>
                      <a:off x="0" y="0"/>
                      <a:ext cx="7075282" cy="9619013"/>
                    </a:xfrm>
                    <a:prstGeom prst="rect">
                      <a:avLst/>
                    </a:prstGeom>
                    <a:noFill/>
                    <a:ln w="9525">
                      <a:noFill/>
                      <a:miter lim="800000"/>
                      <a:headEnd/>
                      <a:tailEnd/>
                    </a:ln>
                  </pic:spPr>
                </pic:pic>
              </a:graphicData>
            </a:graphic>
          </wp:anchor>
        </w:drawing>
      </w:r>
    </w:p>
    <w:p>
      <w:pPr>
        <w:widowControl/>
        <w:jc w:val="left"/>
      </w:pPr>
    </w:p>
    <w:p>
      <w:pPr>
        <w:widowControl/>
        <w:jc w:val="left"/>
      </w:pPr>
    </w:p>
    <w:p>
      <w:pPr>
        <w:widowControl/>
        <w:jc w:val="left"/>
      </w:pPr>
    </w:p>
    <w:p>
      <w:pPr>
        <w:widowControl/>
        <w:jc w:val="left"/>
      </w:pPr>
      <w:r>
        <w:br w:type="page"/>
      </w:r>
    </w:p>
    <w:p>
      <w:pPr>
        <w:widowControl/>
        <w:jc w:val="left"/>
      </w:pPr>
      <w:r>
        <w:drawing>
          <wp:anchor distT="0" distB="0" distL="114300" distR="114300" simplePos="0" relativeHeight="251799552" behindDoc="1" locked="0" layoutInCell="1" allowOverlap="1">
            <wp:simplePos x="0" y="0"/>
            <wp:positionH relativeFrom="column">
              <wp:posOffset>-654685</wp:posOffset>
            </wp:positionH>
            <wp:positionV relativeFrom="paragraph">
              <wp:posOffset>-554990</wp:posOffset>
            </wp:positionV>
            <wp:extent cx="7385050" cy="10034905"/>
            <wp:effectExtent l="19050" t="0" r="6642" b="0"/>
            <wp:wrapNone/>
            <wp:docPr id="723" name="图片 17" descr="C:\Users\linhu\Desktop\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图片 17" descr="C:\Users\linhu\Desktop\12.bmp"/>
                    <pic:cNvPicPr>
                      <a:picLocks noChangeAspect="1" noChangeArrowheads="1"/>
                    </pic:cNvPicPr>
                  </pic:nvPicPr>
                  <pic:blipFill>
                    <a:blip r:embed="rId36"/>
                    <a:srcRect/>
                    <a:stretch>
                      <a:fillRect/>
                    </a:stretch>
                  </pic:blipFill>
                  <pic:spPr>
                    <a:xfrm>
                      <a:off x="0" y="0"/>
                      <a:ext cx="7384758" cy="10034650"/>
                    </a:xfrm>
                    <a:prstGeom prst="rect">
                      <a:avLst/>
                    </a:prstGeom>
                    <a:noFill/>
                    <a:ln w="9525">
                      <a:noFill/>
                      <a:miter lim="800000"/>
                      <a:headEnd/>
                      <a:tailEnd/>
                    </a:ln>
                  </pic:spPr>
                </pic:pic>
              </a:graphicData>
            </a:graphic>
          </wp:anchor>
        </w:drawing>
      </w:r>
    </w:p>
    <w:p>
      <w:pPr>
        <w:widowControl/>
        <w:jc w:val="left"/>
      </w:pPr>
    </w:p>
    <w:p>
      <w:pPr>
        <w:widowControl/>
        <w:jc w:val="left"/>
      </w:pPr>
    </w:p>
    <w:p>
      <w:pPr>
        <w:widowControl/>
        <w:jc w:val="left"/>
      </w:pPr>
    </w:p>
    <w:p>
      <w:pPr>
        <w:widowControl/>
        <w:jc w:val="left"/>
      </w:pPr>
    </w:p>
    <w:p>
      <w:pPr>
        <w:widowControl/>
        <w:jc w:val="left"/>
      </w:pPr>
    </w:p>
    <w:p>
      <w:pPr>
        <w:widowControl/>
        <w:jc w:val="left"/>
      </w:pPr>
      <w:r>
        <w:br w:type="page"/>
      </w:r>
    </w:p>
    <w:p>
      <w:r>
        <w:drawing>
          <wp:anchor distT="0" distB="0" distL="114300" distR="114300" simplePos="0" relativeHeight="251800576" behindDoc="1" locked="0" layoutInCell="1" allowOverlap="1">
            <wp:simplePos x="0" y="0"/>
            <wp:positionH relativeFrom="column">
              <wp:posOffset>-654685</wp:posOffset>
            </wp:positionH>
            <wp:positionV relativeFrom="paragraph">
              <wp:posOffset>-685800</wp:posOffset>
            </wp:positionV>
            <wp:extent cx="7015480" cy="10118090"/>
            <wp:effectExtent l="19050" t="0" r="0" b="0"/>
            <wp:wrapNone/>
            <wp:docPr id="724" name="图片 18" descr="C:\Users\linhu\Desktop\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图片 18" descr="C:\Users\linhu\Desktop\13.bmp"/>
                    <pic:cNvPicPr>
                      <a:picLocks noChangeAspect="1" noChangeArrowheads="1"/>
                    </pic:cNvPicPr>
                  </pic:nvPicPr>
                  <pic:blipFill>
                    <a:blip r:embed="rId37"/>
                    <a:srcRect/>
                    <a:stretch>
                      <a:fillRect/>
                    </a:stretch>
                  </pic:blipFill>
                  <pic:spPr>
                    <a:xfrm>
                      <a:off x="0" y="0"/>
                      <a:ext cx="7015434" cy="10117776"/>
                    </a:xfrm>
                    <a:prstGeom prst="rect">
                      <a:avLst/>
                    </a:prstGeom>
                    <a:noFill/>
                    <a:ln w="9525">
                      <a:noFill/>
                      <a:miter lim="800000"/>
                      <a:headEnd/>
                      <a:tailEnd/>
                    </a:ln>
                  </pic:spPr>
                </pic:pic>
              </a:graphicData>
            </a:graphic>
          </wp:anchor>
        </w:drawing>
      </w:r>
    </w:p>
    <w:p/>
    <w:p>
      <w:pPr>
        <w:widowControl/>
        <w:jc w:val="left"/>
      </w:pPr>
      <w:r>
        <w:br w:type="page"/>
      </w:r>
    </w:p>
    <w:p>
      <w:pPr>
        <w:widowControl/>
        <w:jc w:val="left"/>
      </w:pPr>
      <w:r>
        <w:drawing>
          <wp:anchor distT="0" distB="0" distL="114300" distR="114300" simplePos="0" relativeHeight="251801600" behindDoc="1" locked="0" layoutInCell="1" allowOverlap="1">
            <wp:simplePos x="0" y="0"/>
            <wp:positionH relativeFrom="column">
              <wp:posOffset>-808990</wp:posOffset>
            </wp:positionH>
            <wp:positionV relativeFrom="paragraph">
              <wp:posOffset>-780415</wp:posOffset>
            </wp:positionV>
            <wp:extent cx="7124065" cy="10165080"/>
            <wp:effectExtent l="19050" t="0" r="571" b="0"/>
            <wp:wrapNone/>
            <wp:docPr id="725" name="图片 19" descr="C:\Users\linhu\Desktop\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图片 19" descr="C:\Users\linhu\Desktop\14.bmp"/>
                    <pic:cNvPicPr>
                      <a:picLocks noChangeAspect="1" noChangeArrowheads="1"/>
                    </pic:cNvPicPr>
                  </pic:nvPicPr>
                  <pic:blipFill>
                    <a:blip r:embed="rId38"/>
                    <a:srcRect/>
                    <a:stretch>
                      <a:fillRect/>
                    </a:stretch>
                  </pic:blipFill>
                  <pic:spPr>
                    <a:xfrm>
                      <a:off x="0" y="0"/>
                      <a:ext cx="7124129" cy="10165278"/>
                    </a:xfrm>
                    <a:prstGeom prst="rect">
                      <a:avLst/>
                    </a:prstGeom>
                    <a:noFill/>
                    <a:ln w="9525">
                      <a:noFill/>
                      <a:miter lim="800000"/>
                      <a:headEnd/>
                      <a:tailEnd/>
                    </a:ln>
                  </pic:spPr>
                </pic:pic>
              </a:graphicData>
            </a:graphic>
          </wp:anchor>
        </w:drawing>
      </w:r>
    </w:p>
    <w:p>
      <w:pPr>
        <w:widowControl/>
        <w:jc w:val="left"/>
      </w:pPr>
    </w:p>
    <w:p>
      <w:pPr>
        <w:widowControl/>
        <w:jc w:val="left"/>
      </w:pPr>
    </w:p>
    <w:p>
      <w:pPr>
        <w:widowControl/>
        <w:jc w:val="left"/>
      </w:pPr>
    </w:p>
    <w:p>
      <w:pPr>
        <w:widowControl/>
        <w:jc w:val="left"/>
      </w:pPr>
      <w:r>
        <w:br w:type="page"/>
      </w:r>
    </w:p>
    <w:p>
      <w:pPr>
        <w:widowControl/>
        <w:jc w:val="left"/>
      </w:pPr>
      <w:r>
        <w:drawing>
          <wp:anchor distT="0" distB="0" distL="114300" distR="114300" simplePos="0" relativeHeight="251802624" behindDoc="1" locked="0" layoutInCell="1" allowOverlap="1">
            <wp:simplePos x="0" y="0"/>
            <wp:positionH relativeFrom="column">
              <wp:posOffset>-714375</wp:posOffset>
            </wp:positionH>
            <wp:positionV relativeFrom="paragraph">
              <wp:posOffset>-780415</wp:posOffset>
            </wp:positionV>
            <wp:extent cx="7271385" cy="10260330"/>
            <wp:effectExtent l="19050" t="0" r="5681" b="0"/>
            <wp:wrapNone/>
            <wp:docPr id="726" name="图片 20" descr="C:\Users\linhu\Desktop\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图片 20" descr="C:\Users\linhu\Desktop\15..bmp"/>
                    <pic:cNvPicPr>
                      <a:picLocks noChangeAspect="1" noChangeArrowheads="1"/>
                    </pic:cNvPicPr>
                  </pic:nvPicPr>
                  <pic:blipFill>
                    <a:blip r:embed="rId39"/>
                    <a:srcRect/>
                    <a:stretch>
                      <a:fillRect/>
                    </a:stretch>
                  </pic:blipFill>
                  <pic:spPr>
                    <a:xfrm>
                      <a:off x="0" y="0"/>
                      <a:ext cx="7271419" cy="10260281"/>
                    </a:xfrm>
                    <a:prstGeom prst="rect">
                      <a:avLst/>
                    </a:prstGeom>
                    <a:noFill/>
                    <a:ln w="9525">
                      <a:noFill/>
                      <a:miter lim="800000"/>
                      <a:headEnd/>
                      <a:tailEnd/>
                    </a:ln>
                  </pic:spPr>
                </pic:pic>
              </a:graphicData>
            </a:graphic>
          </wp:anchor>
        </w:drawing>
      </w:r>
    </w:p>
    <w:p>
      <w:pPr>
        <w:widowControl/>
        <w:jc w:val="left"/>
      </w:pPr>
    </w:p>
    <w:p>
      <w:pPr>
        <w:widowControl/>
        <w:jc w:val="left"/>
      </w:pPr>
    </w:p>
    <w:p>
      <w:pPr>
        <w:widowControl/>
        <w:jc w:val="left"/>
      </w:pPr>
    </w:p>
    <w:p>
      <w:pPr>
        <w:widowControl/>
        <w:jc w:val="left"/>
      </w:pPr>
      <w:r>
        <w:br w:type="page"/>
      </w:r>
    </w:p>
    <w:p>
      <w:pPr>
        <w:widowControl/>
        <w:jc w:val="left"/>
      </w:pPr>
      <w:r>
        <w:drawing>
          <wp:anchor distT="0" distB="0" distL="114300" distR="114300" simplePos="0" relativeHeight="251803648" behindDoc="1" locked="0" layoutInCell="1" allowOverlap="1">
            <wp:simplePos x="0" y="0"/>
            <wp:positionH relativeFrom="column">
              <wp:posOffset>-714375</wp:posOffset>
            </wp:positionH>
            <wp:positionV relativeFrom="paragraph">
              <wp:posOffset>-840105</wp:posOffset>
            </wp:positionV>
            <wp:extent cx="7277100" cy="10319385"/>
            <wp:effectExtent l="19050" t="0" r="0" b="0"/>
            <wp:wrapNone/>
            <wp:docPr id="727" name="图片 21" descr="C:\Users\linhu\Desktop\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图片 21" descr="C:\Users\linhu\Desktop\16.bmp"/>
                    <pic:cNvPicPr>
                      <a:picLocks noChangeAspect="1" noChangeArrowheads="1"/>
                    </pic:cNvPicPr>
                  </pic:nvPicPr>
                  <pic:blipFill>
                    <a:blip r:embed="rId40"/>
                    <a:srcRect/>
                    <a:stretch>
                      <a:fillRect/>
                    </a:stretch>
                  </pic:blipFill>
                  <pic:spPr>
                    <a:xfrm>
                      <a:off x="0" y="0"/>
                      <a:ext cx="7279303" cy="10322709"/>
                    </a:xfrm>
                    <a:prstGeom prst="rect">
                      <a:avLst/>
                    </a:prstGeom>
                    <a:noFill/>
                    <a:ln w="9525">
                      <a:noFill/>
                      <a:miter lim="800000"/>
                      <a:headEnd/>
                      <a:tailEnd/>
                    </a:ln>
                  </pic:spPr>
                </pic:pic>
              </a:graphicData>
            </a:graphic>
          </wp:anchor>
        </w:drawing>
      </w:r>
    </w:p>
    <w:p>
      <w:pPr>
        <w:widowControl/>
        <w:jc w:val="left"/>
      </w:pPr>
    </w:p>
    <w:p>
      <w:pPr>
        <w:widowControl/>
        <w:jc w:val="left"/>
      </w:pPr>
      <w:r>
        <w:br w:type="page"/>
      </w:r>
    </w:p>
    <w:p>
      <w:pPr>
        <w:widowControl/>
        <w:jc w:val="left"/>
      </w:pPr>
      <w:r>
        <w:drawing>
          <wp:anchor distT="0" distB="0" distL="114300" distR="114300" simplePos="0" relativeHeight="251804672" behindDoc="1" locked="0" layoutInCell="1" allowOverlap="1">
            <wp:simplePos x="0" y="0"/>
            <wp:positionH relativeFrom="column">
              <wp:posOffset>-844550</wp:posOffset>
            </wp:positionH>
            <wp:positionV relativeFrom="paragraph">
              <wp:posOffset>-840105</wp:posOffset>
            </wp:positionV>
            <wp:extent cx="7322185" cy="10165080"/>
            <wp:effectExtent l="19050" t="0" r="0" b="0"/>
            <wp:wrapNone/>
            <wp:docPr id="728" name="图片 22" descr="C:\Users\linhu\Desktop\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图片 22" descr="C:\Users\linhu\Desktop\17.bmp"/>
                    <pic:cNvPicPr>
                      <a:picLocks noChangeAspect="1" noChangeArrowheads="1"/>
                    </pic:cNvPicPr>
                  </pic:nvPicPr>
                  <pic:blipFill>
                    <a:blip r:embed="rId41"/>
                    <a:srcRect/>
                    <a:stretch>
                      <a:fillRect/>
                    </a:stretch>
                  </pic:blipFill>
                  <pic:spPr>
                    <a:xfrm>
                      <a:off x="0" y="0"/>
                      <a:ext cx="7322064" cy="10165280"/>
                    </a:xfrm>
                    <a:prstGeom prst="rect">
                      <a:avLst/>
                    </a:prstGeom>
                    <a:noFill/>
                    <a:ln w="9525">
                      <a:noFill/>
                      <a:miter lim="800000"/>
                      <a:headEnd/>
                      <a:tailEnd/>
                    </a:ln>
                  </pic:spPr>
                </pic:pic>
              </a:graphicData>
            </a:graphic>
          </wp:anchor>
        </w:drawing>
      </w:r>
    </w:p>
    <w:p>
      <w:pPr>
        <w:widowControl/>
        <w:jc w:val="left"/>
      </w:pPr>
    </w:p>
    <w:p>
      <w:pPr>
        <w:widowControl/>
        <w:jc w:val="left"/>
      </w:pPr>
    </w:p>
    <w:p>
      <w:pPr>
        <w:widowControl/>
        <w:jc w:val="left"/>
      </w:pPr>
    </w:p>
    <w:p>
      <w:pPr>
        <w:widowControl/>
        <w:jc w:val="left"/>
      </w:pPr>
    </w:p>
    <w:p>
      <w:pPr>
        <w:widowControl/>
        <w:jc w:val="left"/>
      </w:pPr>
    </w:p>
    <w:p>
      <w:pPr>
        <w:widowControl/>
        <w:jc w:val="left"/>
      </w:pPr>
      <w:r>
        <w:br w:type="page"/>
      </w:r>
    </w:p>
    <w:p>
      <w:pPr>
        <w:widowControl/>
        <w:jc w:val="left"/>
      </w:pPr>
      <w:r>
        <w:drawing>
          <wp:anchor distT="0" distB="0" distL="114300" distR="114300" simplePos="0" relativeHeight="251805696" behindDoc="1" locked="0" layoutInCell="1" allowOverlap="1">
            <wp:simplePos x="0" y="0"/>
            <wp:positionH relativeFrom="column">
              <wp:posOffset>-844550</wp:posOffset>
            </wp:positionH>
            <wp:positionV relativeFrom="paragraph">
              <wp:posOffset>-744855</wp:posOffset>
            </wp:positionV>
            <wp:extent cx="7308215" cy="10349865"/>
            <wp:effectExtent l="19050" t="0" r="7175" b="0"/>
            <wp:wrapNone/>
            <wp:docPr id="729" name="图片 23" descr="C:\Users\linhu\Desktop\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图片 23" descr="C:\Users\linhu\Desktop\18.bmp"/>
                    <pic:cNvPicPr>
                      <a:picLocks noChangeAspect="1" noChangeArrowheads="1"/>
                    </pic:cNvPicPr>
                  </pic:nvPicPr>
                  <pic:blipFill>
                    <a:blip r:embed="rId42"/>
                    <a:srcRect/>
                    <a:stretch>
                      <a:fillRect/>
                    </a:stretch>
                  </pic:blipFill>
                  <pic:spPr>
                    <a:xfrm>
                      <a:off x="0" y="0"/>
                      <a:ext cx="7315409" cy="10360138"/>
                    </a:xfrm>
                    <a:prstGeom prst="rect">
                      <a:avLst/>
                    </a:prstGeom>
                    <a:noFill/>
                    <a:ln w="9525">
                      <a:noFill/>
                      <a:miter lim="800000"/>
                      <a:headEnd/>
                      <a:tailEnd/>
                    </a:ln>
                  </pic:spPr>
                </pic:pic>
              </a:graphicData>
            </a:graphic>
          </wp:anchor>
        </w:drawing>
      </w:r>
    </w:p>
    <w:p>
      <w:pPr>
        <w:widowControl/>
        <w:jc w:val="left"/>
      </w:pPr>
    </w:p>
    <w:p>
      <w:pPr>
        <w:widowControl/>
        <w:jc w:val="left"/>
      </w:pPr>
      <w:r>
        <w:br w:type="page"/>
      </w:r>
    </w:p>
    <w:p>
      <w:pPr>
        <w:widowControl/>
        <w:jc w:val="left"/>
      </w:pPr>
      <w:r>
        <w:drawing>
          <wp:anchor distT="0" distB="0" distL="114300" distR="114300" simplePos="0" relativeHeight="251806720" behindDoc="1" locked="0" layoutInCell="1" allowOverlap="1">
            <wp:simplePos x="0" y="0"/>
            <wp:positionH relativeFrom="column">
              <wp:posOffset>-737870</wp:posOffset>
            </wp:positionH>
            <wp:positionV relativeFrom="paragraph">
              <wp:posOffset>-744855</wp:posOffset>
            </wp:positionV>
            <wp:extent cx="7280275" cy="10283825"/>
            <wp:effectExtent l="19050" t="0" r="0" b="0"/>
            <wp:wrapNone/>
            <wp:docPr id="730" name="图片 24" descr="C:\Users\linhu\Desktop\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图片 24" descr="C:\Users\linhu\Desktop\19.bmp"/>
                    <pic:cNvPicPr>
                      <a:picLocks noChangeAspect="1" noChangeArrowheads="1"/>
                    </pic:cNvPicPr>
                  </pic:nvPicPr>
                  <pic:blipFill>
                    <a:blip r:embed="rId43"/>
                    <a:srcRect/>
                    <a:stretch>
                      <a:fillRect/>
                    </a:stretch>
                  </pic:blipFill>
                  <pic:spPr>
                    <a:xfrm>
                      <a:off x="0" y="0"/>
                      <a:ext cx="7282566" cy="10287072"/>
                    </a:xfrm>
                    <a:prstGeom prst="rect">
                      <a:avLst/>
                    </a:prstGeom>
                    <a:noFill/>
                    <a:ln w="9525">
                      <a:noFill/>
                      <a:miter lim="800000"/>
                      <a:headEnd/>
                      <a:tailEnd/>
                    </a:ln>
                  </pic:spPr>
                </pic:pic>
              </a:graphicData>
            </a:graphic>
          </wp:anchor>
        </w:drawing>
      </w:r>
    </w:p>
    <w:p>
      <w:pPr>
        <w:widowControl/>
        <w:jc w:val="left"/>
      </w:pPr>
    </w:p>
    <w:p>
      <w:pPr>
        <w:widowControl/>
        <w:jc w:val="left"/>
      </w:pPr>
    </w:p>
    <w:p>
      <w:pPr>
        <w:widowControl/>
        <w:jc w:val="left"/>
      </w:pPr>
    </w:p>
    <w:p>
      <w:pPr>
        <w:widowControl/>
        <w:jc w:val="left"/>
      </w:pPr>
      <w:r>
        <w:br w:type="page"/>
      </w:r>
    </w:p>
    <w:p>
      <w:pPr>
        <w:widowControl/>
        <w:jc w:val="left"/>
      </w:pPr>
      <w:r>
        <w:drawing>
          <wp:anchor distT="0" distB="0" distL="114300" distR="114300" simplePos="0" relativeHeight="251807744" behindDoc="1" locked="0" layoutInCell="1" allowOverlap="1">
            <wp:simplePos x="0" y="0"/>
            <wp:positionH relativeFrom="column">
              <wp:posOffset>-737870</wp:posOffset>
            </wp:positionH>
            <wp:positionV relativeFrom="paragraph">
              <wp:posOffset>-744855</wp:posOffset>
            </wp:positionV>
            <wp:extent cx="7361555" cy="10236835"/>
            <wp:effectExtent l="19050" t="0" r="0" b="0"/>
            <wp:wrapNone/>
            <wp:docPr id="731" name="图片 25" descr="C:\Users\linhu\Desktop\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图片 25" descr="C:\Users\linhu\Desktop\20.bmp"/>
                    <pic:cNvPicPr>
                      <a:picLocks noChangeAspect="1" noChangeArrowheads="1"/>
                    </pic:cNvPicPr>
                  </pic:nvPicPr>
                  <pic:blipFill>
                    <a:blip r:embed="rId44"/>
                    <a:srcRect/>
                    <a:stretch>
                      <a:fillRect/>
                    </a:stretch>
                  </pic:blipFill>
                  <pic:spPr>
                    <a:xfrm>
                      <a:off x="0" y="0"/>
                      <a:ext cx="7366691" cy="10243496"/>
                    </a:xfrm>
                    <a:prstGeom prst="rect">
                      <a:avLst/>
                    </a:prstGeom>
                    <a:noFill/>
                    <a:ln w="9525">
                      <a:noFill/>
                      <a:miter lim="800000"/>
                      <a:headEnd/>
                      <a:tailEnd/>
                    </a:ln>
                  </pic:spPr>
                </pic:pic>
              </a:graphicData>
            </a:graphic>
          </wp:anchor>
        </w:drawing>
      </w:r>
    </w:p>
    <w:p>
      <w:pPr>
        <w:widowControl/>
        <w:jc w:val="left"/>
      </w:pPr>
    </w:p>
    <w:p>
      <w:pPr>
        <w:widowControl/>
        <w:jc w:val="left"/>
      </w:pPr>
    </w:p>
    <w:p>
      <w:pPr>
        <w:widowControl/>
        <w:jc w:val="left"/>
      </w:pPr>
    </w:p>
    <w:p>
      <w:pPr>
        <w:widowControl/>
        <w:jc w:val="left"/>
      </w:pPr>
    </w:p>
    <w:p>
      <w:pPr>
        <w:widowControl/>
        <w:jc w:val="left"/>
      </w:pPr>
      <w:r>
        <w:br w:type="page"/>
      </w:r>
    </w:p>
    <w:p>
      <w:pPr>
        <w:widowControl/>
        <w:jc w:val="left"/>
      </w:pPr>
      <w:r>
        <w:drawing>
          <wp:anchor distT="0" distB="0" distL="114300" distR="114300" simplePos="0" relativeHeight="251808768" behindDoc="1" locked="0" layoutInCell="1" allowOverlap="1">
            <wp:simplePos x="0" y="0"/>
            <wp:positionH relativeFrom="column">
              <wp:posOffset>-808990</wp:posOffset>
            </wp:positionH>
            <wp:positionV relativeFrom="paragraph">
              <wp:posOffset>-852170</wp:posOffset>
            </wp:positionV>
            <wp:extent cx="7624445" cy="10462260"/>
            <wp:effectExtent l="19050" t="0" r="0" b="0"/>
            <wp:wrapNone/>
            <wp:docPr id="732" name="图片 26" descr="C:\Users\linhu\Desktop\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图片 26" descr="C:\Users\linhu\Desktop\21.bmp"/>
                    <pic:cNvPicPr>
                      <a:picLocks noChangeAspect="1" noChangeArrowheads="1"/>
                    </pic:cNvPicPr>
                  </pic:nvPicPr>
                  <pic:blipFill>
                    <a:blip r:embed="rId45"/>
                    <a:srcRect/>
                    <a:stretch>
                      <a:fillRect/>
                    </a:stretch>
                  </pic:blipFill>
                  <pic:spPr>
                    <a:xfrm>
                      <a:off x="0" y="0"/>
                      <a:ext cx="7624393" cy="10462161"/>
                    </a:xfrm>
                    <a:prstGeom prst="rect">
                      <a:avLst/>
                    </a:prstGeom>
                    <a:noFill/>
                    <a:ln w="9525">
                      <a:noFill/>
                      <a:miter lim="800000"/>
                      <a:headEnd/>
                      <a:tailEnd/>
                    </a:ln>
                  </pic:spPr>
                </pic:pic>
              </a:graphicData>
            </a:graphic>
          </wp:anchor>
        </w:drawing>
      </w:r>
    </w:p>
    <w:p>
      <w:pPr>
        <w:widowControl/>
        <w:jc w:val="left"/>
      </w:pPr>
    </w:p>
    <w:p>
      <w:pPr>
        <w:widowControl/>
        <w:jc w:val="left"/>
      </w:pPr>
    </w:p>
    <w:p>
      <w:pPr>
        <w:widowControl/>
        <w:jc w:val="left"/>
      </w:pPr>
      <w:r>
        <w:br w:type="page"/>
      </w:r>
    </w:p>
    <w:p>
      <w:pPr>
        <w:widowControl/>
        <w:jc w:val="left"/>
      </w:pPr>
      <w:r>
        <w:drawing>
          <wp:anchor distT="0" distB="0" distL="114300" distR="114300" simplePos="0" relativeHeight="251809792" behindDoc="1" locked="0" layoutInCell="1" allowOverlap="1">
            <wp:simplePos x="0" y="0"/>
            <wp:positionH relativeFrom="column">
              <wp:posOffset>-749935</wp:posOffset>
            </wp:positionH>
            <wp:positionV relativeFrom="paragraph">
              <wp:posOffset>-852170</wp:posOffset>
            </wp:positionV>
            <wp:extent cx="7335520" cy="10331450"/>
            <wp:effectExtent l="19050" t="0" r="0" b="0"/>
            <wp:wrapNone/>
            <wp:docPr id="733" name="图片 27" descr="C:\Users\linhu\Desktop\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图片 27" descr="C:\Users\linhu\Desktop\22.bmp"/>
                    <pic:cNvPicPr>
                      <a:picLocks noChangeAspect="1" noChangeArrowheads="1"/>
                    </pic:cNvPicPr>
                  </pic:nvPicPr>
                  <pic:blipFill>
                    <a:blip r:embed="rId46"/>
                    <a:srcRect/>
                    <a:stretch>
                      <a:fillRect/>
                    </a:stretch>
                  </pic:blipFill>
                  <pic:spPr>
                    <a:xfrm>
                      <a:off x="0" y="0"/>
                      <a:ext cx="7335487" cy="10331533"/>
                    </a:xfrm>
                    <a:prstGeom prst="rect">
                      <a:avLst/>
                    </a:prstGeom>
                    <a:noFill/>
                    <a:ln w="9525">
                      <a:noFill/>
                      <a:miter lim="800000"/>
                      <a:headEnd/>
                      <a:tailEnd/>
                    </a:ln>
                  </pic:spPr>
                </pic:pic>
              </a:graphicData>
            </a:graphic>
          </wp:anchor>
        </w:drawing>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br w:type="page"/>
      </w:r>
    </w:p>
    <w:p>
      <w:pPr>
        <w:widowControl/>
        <w:jc w:val="left"/>
      </w:pPr>
      <w:r>
        <w:drawing>
          <wp:anchor distT="0" distB="0" distL="114300" distR="114300" simplePos="0" relativeHeight="251810816" behindDoc="1" locked="0" layoutInCell="1" allowOverlap="1">
            <wp:simplePos x="0" y="0"/>
            <wp:positionH relativeFrom="column">
              <wp:posOffset>-951865</wp:posOffset>
            </wp:positionH>
            <wp:positionV relativeFrom="paragraph">
              <wp:posOffset>-852170</wp:posOffset>
            </wp:positionV>
            <wp:extent cx="7429500" cy="10521315"/>
            <wp:effectExtent l="19050" t="0" r="124" b="0"/>
            <wp:wrapNone/>
            <wp:docPr id="734" name="图片 28" descr="C:\Users\linhu\Desktop\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图片 28" descr="C:\Users\linhu\Desktop\23.bmp"/>
                    <pic:cNvPicPr>
                      <a:picLocks noChangeAspect="1" noChangeArrowheads="1"/>
                    </pic:cNvPicPr>
                  </pic:nvPicPr>
                  <pic:blipFill>
                    <a:blip r:embed="rId47"/>
                    <a:srcRect/>
                    <a:stretch>
                      <a:fillRect/>
                    </a:stretch>
                  </pic:blipFill>
                  <pic:spPr>
                    <a:xfrm>
                      <a:off x="0" y="0"/>
                      <a:ext cx="7429375" cy="10521536"/>
                    </a:xfrm>
                    <a:prstGeom prst="rect">
                      <a:avLst/>
                    </a:prstGeom>
                    <a:noFill/>
                    <a:ln w="9525">
                      <a:noFill/>
                      <a:miter lim="800000"/>
                      <a:headEnd/>
                      <a:tailEnd/>
                    </a:ln>
                  </pic:spPr>
                </pic:pic>
              </a:graphicData>
            </a:graphic>
          </wp:anchor>
        </w:drawing>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br w:type="page"/>
      </w:r>
    </w:p>
    <w:p>
      <w:pPr>
        <w:spacing w:line="340" w:lineRule="exact"/>
        <w:jc w:val="center"/>
        <w:rPr>
          <w:rFonts w:ascii="Times New Roman" w:hAnsi="Times New Roman" w:eastAsia="宋体"/>
          <w:b/>
          <w:sz w:val="24"/>
        </w:rPr>
      </w:pPr>
      <w:r>
        <w:rPr>
          <w:rFonts w:ascii="Times New Roman" w:hAnsi="Times New Roman" w:eastAsia="宋体"/>
          <w:b/>
          <w:szCs w:val="21"/>
        </w:rPr>
        <w:pict>
          <v:shape id="_x0000_s1774" o:spid="_x0000_s1774" o:spt="61" type="#_x0000_t61" style="position:absolute;left:0pt;margin-left:401.15pt;margin-top:-25.5pt;height:41.25pt;width:56.6pt;z-index:251752448;mso-width-relative:page;mso-height-relative:page;" filled="f" stroked="f" coordsize="21600,21600" adj="15952,21181">
            <v:path/>
            <v:fill on="f" focussize="0,0"/>
            <v:stroke on="f" joinstyle="miter"/>
            <v:imagedata o:title=""/>
            <o:lock v:ext="edit"/>
            <v:textbox>
              <w:txbxContent>
                <w:p>
                  <w:pPr>
                    <w:rPr>
                      <w:rFonts w:ascii="Times New Roman" w:hAnsi="Times New Roman" w:eastAsia="宋体"/>
                      <w:b/>
                      <w:bCs/>
                      <w:sz w:val="28"/>
                      <w:szCs w:val="28"/>
                    </w:rPr>
                  </w:pPr>
                  <w:r>
                    <w:rPr>
                      <w:rFonts w:ascii="Times New Roman" w:hAnsi="Times New Roman" w:eastAsia="宋体"/>
                      <w:b/>
                      <w:bCs/>
                      <w:sz w:val="28"/>
                      <w:szCs w:val="28"/>
                    </w:rPr>
                    <w:t>附件</w:t>
                  </w:r>
                  <w:r>
                    <w:rPr>
                      <w:rFonts w:hint="eastAsia" w:ascii="Times New Roman" w:hAnsi="Times New Roman" w:eastAsia="宋体"/>
                      <w:b/>
                      <w:bCs/>
                      <w:sz w:val="28"/>
                      <w:szCs w:val="28"/>
                    </w:rPr>
                    <w:t>7</w:t>
                  </w:r>
                </w:p>
              </w:txbxContent>
            </v:textbox>
          </v:shape>
        </w:pict>
      </w:r>
      <w:r>
        <w:rPr>
          <w:rFonts w:hint="eastAsia" w:ascii="Times New Roman" w:eastAsia="宋体"/>
          <w:b/>
          <w:sz w:val="24"/>
        </w:rPr>
        <w:t>建设项目大气环境影响评价自查表</w:t>
      </w:r>
    </w:p>
    <w:tbl>
      <w:tblPr>
        <w:tblStyle w:val="24"/>
        <w:tblW w:w="56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2349"/>
        <w:gridCol w:w="929"/>
        <w:gridCol w:w="508"/>
        <w:gridCol w:w="686"/>
        <w:gridCol w:w="127"/>
        <w:gridCol w:w="85"/>
        <w:gridCol w:w="13"/>
        <w:gridCol w:w="233"/>
        <w:gridCol w:w="375"/>
        <w:gridCol w:w="373"/>
        <w:gridCol w:w="197"/>
        <w:gridCol w:w="21"/>
        <w:gridCol w:w="385"/>
        <w:gridCol w:w="148"/>
        <w:gridCol w:w="442"/>
        <w:gridCol w:w="157"/>
        <w:gridCol w:w="28"/>
        <w:gridCol w:w="123"/>
        <w:gridCol w:w="129"/>
        <w:gridCol w:w="349"/>
        <w:gridCol w:w="116"/>
        <w:gridCol w:w="457"/>
        <w:gridCol w:w="438"/>
        <w:gridCol w:w="7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669" w:type="pct"/>
            <w:gridSpan w:val="2"/>
            <w:vAlign w:val="center"/>
          </w:tcPr>
          <w:p>
            <w:pPr>
              <w:spacing w:line="340" w:lineRule="exact"/>
              <w:jc w:val="center"/>
              <w:rPr>
                <w:rFonts w:ascii="Times New Roman" w:hAnsi="Times New Roman" w:eastAsia="宋体"/>
                <w:szCs w:val="21"/>
              </w:rPr>
            </w:pPr>
            <w:r>
              <w:rPr>
                <w:rFonts w:hint="eastAsia" w:ascii="Times New Roman" w:eastAsia="宋体"/>
                <w:szCs w:val="21"/>
              </w:rPr>
              <w:t>工作内容</w:t>
            </w:r>
          </w:p>
        </w:tc>
        <w:tc>
          <w:tcPr>
            <w:tcW w:w="3331" w:type="pct"/>
            <w:gridSpan w:val="23"/>
            <w:vAlign w:val="center"/>
          </w:tcPr>
          <w:p>
            <w:pPr>
              <w:spacing w:line="340" w:lineRule="exact"/>
              <w:jc w:val="center"/>
              <w:rPr>
                <w:rFonts w:ascii="Times New Roman" w:hAnsi="Times New Roman" w:eastAsia="宋体"/>
                <w:szCs w:val="21"/>
              </w:rPr>
            </w:pPr>
            <w:r>
              <w:rPr>
                <w:rFonts w:hint="eastAsia" w:ascii="Times New Roman" w:eastAsia="宋体"/>
                <w:szCs w:val="21"/>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560" w:type="pct"/>
            <w:vMerge w:val="restart"/>
            <w:vAlign w:val="center"/>
          </w:tcPr>
          <w:p>
            <w:pPr>
              <w:spacing w:line="340" w:lineRule="exact"/>
              <w:jc w:val="center"/>
              <w:rPr>
                <w:rFonts w:ascii="Times New Roman" w:hAnsi="Times New Roman" w:eastAsia="宋体"/>
                <w:szCs w:val="21"/>
              </w:rPr>
            </w:pPr>
            <w:r>
              <w:rPr>
                <w:rFonts w:hint="eastAsia" w:ascii="Times New Roman" w:eastAsia="宋体"/>
                <w:szCs w:val="21"/>
              </w:rPr>
              <w:t>评价等级与范围</w:t>
            </w:r>
          </w:p>
        </w:tc>
        <w:tc>
          <w:tcPr>
            <w:tcW w:w="1110" w:type="pct"/>
            <w:vAlign w:val="center"/>
          </w:tcPr>
          <w:p>
            <w:pPr>
              <w:spacing w:line="340" w:lineRule="exact"/>
              <w:jc w:val="center"/>
              <w:rPr>
                <w:rFonts w:ascii="Times New Roman" w:hAnsi="Times New Roman" w:eastAsia="宋体"/>
                <w:szCs w:val="21"/>
              </w:rPr>
            </w:pPr>
            <w:r>
              <w:rPr>
                <w:rFonts w:hint="eastAsia" w:ascii="Times New Roman" w:eastAsia="宋体"/>
                <w:szCs w:val="21"/>
              </w:rPr>
              <w:t>评价等级</w:t>
            </w:r>
          </w:p>
        </w:tc>
        <w:tc>
          <w:tcPr>
            <w:tcW w:w="1103" w:type="pct"/>
            <w:gridSpan w:val="5"/>
            <w:vAlign w:val="center"/>
          </w:tcPr>
          <w:p>
            <w:pPr>
              <w:spacing w:line="340" w:lineRule="exact"/>
              <w:jc w:val="center"/>
              <w:rPr>
                <w:rFonts w:ascii="Times New Roman" w:hAnsi="Times New Roman" w:eastAsia="宋体"/>
                <w:szCs w:val="21"/>
              </w:rPr>
            </w:pPr>
            <w:r>
              <w:rPr>
                <w:rFonts w:hint="eastAsia" w:ascii="Times New Roman" w:eastAsia="宋体"/>
                <w:szCs w:val="21"/>
              </w:rPr>
              <w:t>一级</w:t>
            </w:r>
            <w:r>
              <w:rPr>
                <w:rFonts w:hint="eastAsia" w:ascii="Times New Roman" w:hAnsi="Times New Roman" w:eastAsia="宋体"/>
                <w:szCs w:val="21"/>
              </w:rPr>
              <w:t>□</w:t>
            </w:r>
          </w:p>
        </w:tc>
        <w:tc>
          <w:tcPr>
            <w:tcW w:w="1107" w:type="pct"/>
            <w:gridSpan w:val="10"/>
            <w:vAlign w:val="center"/>
          </w:tcPr>
          <w:p>
            <w:pPr>
              <w:spacing w:line="340" w:lineRule="exact"/>
              <w:jc w:val="center"/>
              <w:rPr>
                <w:rFonts w:ascii="Times New Roman" w:hAnsi="Times New Roman" w:eastAsia="宋体"/>
                <w:szCs w:val="21"/>
              </w:rPr>
            </w:pPr>
            <w:r>
              <w:rPr>
                <w:rFonts w:hint="eastAsia" w:ascii="Times New Roman" w:eastAsia="宋体"/>
                <w:szCs w:val="21"/>
              </w:rPr>
              <w:t>二级</w:t>
            </w:r>
            <w:r>
              <w:rPr>
                <w:rFonts w:hint="eastAsia" w:ascii="Times New Roman" w:hAnsi="Times New Roman" w:eastAsia="宋体"/>
                <w:szCs w:val="21"/>
              </w:rPr>
              <w:t>□</w:t>
            </w:r>
          </w:p>
        </w:tc>
        <w:tc>
          <w:tcPr>
            <w:tcW w:w="1121" w:type="pct"/>
            <w:gridSpan w:val="8"/>
            <w:vAlign w:val="center"/>
          </w:tcPr>
          <w:p>
            <w:pPr>
              <w:spacing w:line="340" w:lineRule="exact"/>
              <w:jc w:val="center"/>
              <w:rPr>
                <w:rFonts w:ascii="Times New Roman" w:hAnsi="Times New Roman" w:eastAsia="宋体"/>
                <w:szCs w:val="21"/>
              </w:rPr>
            </w:pPr>
            <w:r>
              <w:rPr>
                <w:rFonts w:hint="eastAsia" w:ascii="Times New Roman" w:eastAsia="宋体"/>
                <w:szCs w:val="21"/>
              </w:rPr>
              <w:t>三级</w:t>
            </w:r>
            <w:r>
              <w:rPr>
                <w:rFonts w:hint="eastAsia" w:ascii="Times New Roman" w:hAnsi="Times New Roman" w:eastAsia="宋体"/>
                <w:szCs w:val="21"/>
              </w:rPr>
              <w:fldChar w:fldCharType="begin"/>
            </w:r>
            <w:r>
              <w:rPr>
                <w:rFonts w:hint="eastAsia" w:ascii="Times New Roman" w:hAnsi="Times New Roman" w:eastAsia="宋体"/>
                <w:szCs w:val="21"/>
              </w:rPr>
              <w:instrText xml:space="preserve"> eq \o\ac(□,</w:instrText>
            </w:r>
            <w:r>
              <w:rPr>
                <w:rFonts w:hint="eastAsia" w:ascii="Times New Roman" w:hAnsi="Times New Roman" w:eastAsia="宋体"/>
                <w:position w:val="2"/>
                <w:szCs w:val="21"/>
              </w:rPr>
              <w:instrText xml:space="preserve">√</w:instrText>
            </w:r>
            <w:r>
              <w:rPr>
                <w:rFonts w:hint="eastAsia" w:ascii="Times New Roman" w:hAnsi="Times New Roman" w:eastAsia="宋体"/>
                <w:szCs w:val="21"/>
              </w:rPr>
              <w:instrText xml:space="preserve">)</w:instrText>
            </w:r>
            <w:r>
              <w:rPr>
                <w:rFonts w:hint="eastAsia" w:ascii="Times New Roman" w:hAnsi="Times New Roman" w:eastAsia="宋体"/>
                <w:szCs w:val="21"/>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560" w:type="pct"/>
            <w:vMerge w:val="continue"/>
            <w:vAlign w:val="center"/>
          </w:tcPr>
          <w:p>
            <w:pPr>
              <w:widowControl/>
              <w:spacing w:line="340" w:lineRule="exact"/>
              <w:jc w:val="center"/>
              <w:rPr>
                <w:rFonts w:ascii="Times New Roman" w:hAnsi="Times New Roman" w:eastAsia="宋体"/>
                <w:szCs w:val="21"/>
              </w:rPr>
            </w:pPr>
          </w:p>
        </w:tc>
        <w:tc>
          <w:tcPr>
            <w:tcW w:w="1110" w:type="pct"/>
            <w:vAlign w:val="center"/>
          </w:tcPr>
          <w:p>
            <w:pPr>
              <w:spacing w:line="340" w:lineRule="exact"/>
              <w:jc w:val="center"/>
              <w:rPr>
                <w:rFonts w:ascii="Times New Roman" w:hAnsi="Times New Roman" w:eastAsia="宋体"/>
                <w:szCs w:val="21"/>
              </w:rPr>
            </w:pPr>
            <w:r>
              <w:rPr>
                <w:rFonts w:hint="eastAsia" w:ascii="Times New Roman" w:eastAsia="宋体"/>
                <w:szCs w:val="21"/>
              </w:rPr>
              <w:t>评价范围</w:t>
            </w:r>
          </w:p>
        </w:tc>
        <w:tc>
          <w:tcPr>
            <w:tcW w:w="1103" w:type="pct"/>
            <w:gridSpan w:val="5"/>
            <w:vAlign w:val="center"/>
          </w:tcPr>
          <w:p>
            <w:pPr>
              <w:spacing w:line="340" w:lineRule="exact"/>
              <w:jc w:val="center"/>
              <w:rPr>
                <w:rFonts w:ascii="Times New Roman" w:hAnsi="Times New Roman" w:eastAsia="宋体"/>
                <w:szCs w:val="21"/>
              </w:rPr>
            </w:pPr>
            <w:r>
              <w:rPr>
                <w:rFonts w:hint="eastAsia" w:ascii="Times New Roman" w:eastAsia="宋体"/>
                <w:szCs w:val="21"/>
              </w:rPr>
              <w:t>边长</w:t>
            </w:r>
            <w:r>
              <w:rPr>
                <w:rFonts w:ascii="Times New Roman" w:hAnsi="Times New Roman" w:eastAsia="宋体"/>
                <w:szCs w:val="21"/>
              </w:rPr>
              <w:t>=50km</w:t>
            </w:r>
            <w:r>
              <w:rPr>
                <w:rFonts w:hint="eastAsia" w:ascii="Times New Roman" w:hAnsi="Times New Roman" w:eastAsia="宋体"/>
                <w:szCs w:val="21"/>
              </w:rPr>
              <w:t>□</w:t>
            </w:r>
          </w:p>
        </w:tc>
        <w:tc>
          <w:tcPr>
            <w:tcW w:w="1107" w:type="pct"/>
            <w:gridSpan w:val="10"/>
            <w:vAlign w:val="center"/>
          </w:tcPr>
          <w:p>
            <w:pPr>
              <w:spacing w:line="340" w:lineRule="exact"/>
              <w:jc w:val="center"/>
              <w:rPr>
                <w:rFonts w:ascii="Times New Roman" w:hAnsi="Times New Roman" w:eastAsia="宋体"/>
                <w:szCs w:val="21"/>
              </w:rPr>
            </w:pPr>
            <w:r>
              <w:rPr>
                <w:rFonts w:hint="eastAsia" w:ascii="Times New Roman" w:eastAsia="宋体"/>
                <w:szCs w:val="21"/>
              </w:rPr>
              <w:t>边长</w:t>
            </w:r>
            <w:r>
              <w:rPr>
                <w:rFonts w:ascii="Times New Roman" w:hAnsi="Times New Roman" w:eastAsia="宋体"/>
                <w:szCs w:val="21"/>
              </w:rPr>
              <w:t>5~50km</w:t>
            </w:r>
            <w:r>
              <w:rPr>
                <w:rFonts w:hint="eastAsia" w:ascii="Times New Roman" w:hAnsi="Times New Roman" w:eastAsia="宋体"/>
                <w:szCs w:val="21"/>
              </w:rPr>
              <w:t>□</w:t>
            </w:r>
          </w:p>
        </w:tc>
        <w:tc>
          <w:tcPr>
            <w:tcW w:w="1121" w:type="pct"/>
            <w:gridSpan w:val="8"/>
            <w:vAlign w:val="center"/>
          </w:tcPr>
          <w:p>
            <w:pPr>
              <w:spacing w:line="340" w:lineRule="exact"/>
              <w:jc w:val="center"/>
              <w:rPr>
                <w:rFonts w:ascii="Times New Roman" w:hAnsi="Times New Roman" w:eastAsia="宋体"/>
                <w:szCs w:val="21"/>
              </w:rPr>
            </w:pPr>
            <w:r>
              <w:rPr>
                <w:rFonts w:hint="eastAsia" w:ascii="Times New Roman" w:eastAsia="宋体"/>
                <w:szCs w:val="21"/>
              </w:rPr>
              <w:t>边长</w:t>
            </w:r>
            <w:r>
              <w:rPr>
                <w:rFonts w:ascii="Times New Roman" w:hAnsi="Times New Roman" w:eastAsia="宋体"/>
                <w:szCs w:val="21"/>
              </w:rPr>
              <w:t>=5km</w:t>
            </w:r>
            <w:r>
              <w:rPr>
                <w:rFonts w:hint="eastAsia" w:ascii="Times New Roman" w:hAnsi="Times New Roman" w:eastAsia="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560" w:type="pct"/>
            <w:vMerge w:val="restart"/>
            <w:vAlign w:val="center"/>
          </w:tcPr>
          <w:p>
            <w:pPr>
              <w:spacing w:line="340" w:lineRule="exact"/>
              <w:jc w:val="center"/>
              <w:rPr>
                <w:rFonts w:ascii="Times New Roman" w:hAnsi="Times New Roman" w:eastAsia="宋体"/>
                <w:szCs w:val="21"/>
              </w:rPr>
            </w:pPr>
            <w:r>
              <w:rPr>
                <w:rFonts w:hint="eastAsia" w:ascii="Times New Roman" w:eastAsia="宋体"/>
                <w:szCs w:val="21"/>
              </w:rPr>
              <w:t>评价因子</w:t>
            </w:r>
          </w:p>
        </w:tc>
        <w:tc>
          <w:tcPr>
            <w:tcW w:w="1110" w:type="pct"/>
            <w:vAlign w:val="center"/>
          </w:tcPr>
          <w:p>
            <w:pPr>
              <w:spacing w:line="340" w:lineRule="exact"/>
              <w:jc w:val="center"/>
              <w:rPr>
                <w:rFonts w:ascii="Times New Roman" w:hAnsi="Times New Roman" w:eastAsia="宋体"/>
                <w:szCs w:val="21"/>
              </w:rPr>
            </w:pPr>
            <w:r>
              <w:rPr>
                <w:rFonts w:ascii="Times New Roman" w:hAnsi="Times New Roman" w:eastAsia="宋体"/>
                <w:szCs w:val="21"/>
              </w:rPr>
              <w:t>SO</w:t>
            </w:r>
            <w:r>
              <w:rPr>
                <w:rFonts w:ascii="Times New Roman" w:hAnsi="Times New Roman" w:eastAsia="宋体"/>
                <w:szCs w:val="21"/>
                <w:vertAlign w:val="subscript"/>
              </w:rPr>
              <w:t>2</w:t>
            </w:r>
            <w:r>
              <w:rPr>
                <w:rFonts w:ascii="Times New Roman" w:hAnsi="Times New Roman" w:eastAsia="宋体"/>
                <w:szCs w:val="21"/>
              </w:rPr>
              <w:t>+NO</w:t>
            </w:r>
            <w:r>
              <w:rPr>
                <w:rFonts w:ascii="Times New Roman" w:hAnsi="Times New Roman" w:eastAsia="宋体"/>
                <w:szCs w:val="21"/>
                <w:vertAlign w:val="subscript"/>
              </w:rPr>
              <w:t>X</w:t>
            </w:r>
            <w:r>
              <w:rPr>
                <w:rFonts w:hint="eastAsia" w:ascii="Times New Roman" w:eastAsia="宋体"/>
                <w:szCs w:val="21"/>
              </w:rPr>
              <w:t>排放量</w:t>
            </w:r>
          </w:p>
        </w:tc>
        <w:tc>
          <w:tcPr>
            <w:tcW w:w="1103" w:type="pct"/>
            <w:gridSpan w:val="5"/>
            <w:vAlign w:val="center"/>
          </w:tcPr>
          <w:p>
            <w:pPr>
              <w:spacing w:line="340" w:lineRule="exact"/>
              <w:jc w:val="center"/>
              <w:rPr>
                <w:rFonts w:ascii="Times New Roman" w:hAnsi="Times New Roman" w:eastAsia="宋体"/>
                <w:szCs w:val="21"/>
              </w:rPr>
            </w:pPr>
            <w:r>
              <w:rPr>
                <w:rFonts w:hint="eastAsia" w:ascii="Times New Roman" w:hAnsi="Times New Roman" w:eastAsia="宋体"/>
                <w:szCs w:val="21"/>
              </w:rPr>
              <w:t>≥</w:t>
            </w:r>
            <w:r>
              <w:rPr>
                <w:rFonts w:ascii="Times New Roman" w:hAnsi="Times New Roman" w:eastAsia="宋体"/>
                <w:szCs w:val="21"/>
              </w:rPr>
              <w:t>2000t/a</w:t>
            </w:r>
            <w:r>
              <w:rPr>
                <w:rFonts w:hint="eastAsia" w:ascii="Times New Roman" w:hAnsi="Times New Roman" w:eastAsia="宋体"/>
                <w:szCs w:val="21"/>
              </w:rPr>
              <w:t>□</w:t>
            </w:r>
          </w:p>
        </w:tc>
        <w:tc>
          <w:tcPr>
            <w:tcW w:w="1107" w:type="pct"/>
            <w:gridSpan w:val="10"/>
            <w:vAlign w:val="center"/>
          </w:tcPr>
          <w:p>
            <w:pPr>
              <w:spacing w:line="340" w:lineRule="exact"/>
              <w:jc w:val="center"/>
              <w:rPr>
                <w:rFonts w:ascii="Times New Roman" w:hAnsi="Times New Roman" w:eastAsia="宋体"/>
                <w:szCs w:val="21"/>
              </w:rPr>
            </w:pPr>
            <w:r>
              <w:rPr>
                <w:rFonts w:ascii="Times New Roman" w:hAnsi="Times New Roman" w:eastAsia="宋体"/>
                <w:szCs w:val="21"/>
              </w:rPr>
              <w:t>500~2000t/a</w:t>
            </w:r>
            <w:r>
              <w:rPr>
                <w:rFonts w:hint="eastAsia" w:ascii="Times New Roman" w:hAnsi="Times New Roman" w:eastAsia="宋体"/>
                <w:szCs w:val="21"/>
              </w:rPr>
              <w:t>□</w:t>
            </w:r>
          </w:p>
        </w:tc>
        <w:tc>
          <w:tcPr>
            <w:tcW w:w="1121" w:type="pct"/>
            <w:gridSpan w:val="8"/>
            <w:vAlign w:val="center"/>
          </w:tcPr>
          <w:p>
            <w:pPr>
              <w:spacing w:line="340" w:lineRule="exact"/>
              <w:jc w:val="center"/>
              <w:rPr>
                <w:rFonts w:ascii="Times New Roman" w:hAnsi="Times New Roman" w:eastAsia="宋体"/>
                <w:szCs w:val="21"/>
              </w:rPr>
            </w:pPr>
            <w:r>
              <w:rPr>
                <w:rFonts w:hint="eastAsia" w:ascii="Times New Roman" w:eastAsia="宋体"/>
                <w:szCs w:val="21"/>
              </w:rPr>
              <w:t>＜</w:t>
            </w:r>
            <w:r>
              <w:rPr>
                <w:rFonts w:ascii="Times New Roman" w:hAnsi="Times New Roman" w:eastAsia="宋体"/>
                <w:szCs w:val="21"/>
              </w:rPr>
              <w:t>500t/a</w:t>
            </w:r>
            <w:r>
              <w:rPr>
                <w:rFonts w:hint="eastAsia" w:ascii="Times New Roman" w:hAnsi="Times New Roman" w:eastAsia="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560" w:type="pct"/>
            <w:vMerge w:val="continue"/>
            <w:vAlign w:val="center"/>
          </w:tcPr>
          <w:p>
            <w:pPr>
              <w:widowControl/>
              <w:spacing w:line="340" w:lineRule="exact"/>
              <w:jc w:val="center"/>
              <w:rPr>
                <w:rFonts w:ascii="Times New Roman" w:hAnsi="Times New Roman" w:eastAsia="宋体"/>
                <w:szCs w:val="21"/>
              </w:rPr>
            </w:pPr>
          </w:p>
        </w:tc>
        <w:tc>
          <w:tcPr>
            <w:tcW w:w="1110" w:type="pct"/>
            <w:vAlign w:val="center"/>
          </w:tcPr>
          <w:p>
            <w:pPr>
              <w:spacing w:line="340" w:lineRule="exact"/>
              <w:jc w:val="center"/>
              <w:rPr>
                <w:rFonts w:ascii="Times New Roman" w:hAnsi="Times New Roman" w:eastAsia="宋体"/>
                <w:szCs w:val="21"/>
              </w:rPr>
            </w:pPr>
            <w:r>
              <w:rPr>
                <w:rFonts w:hint="eastAsia" w:ascii="Times New Roman" w:eastAsia="宋体"/>
                <w:szCs w:val="21"/>
              </w:rPr>
              <w:t>评价因子</w:t>
            </w:r>
          </w:p>
        </w:tc>
        <w:tc>
          <w:tcPr>
            <w:tcW w:w="1675" w:type="pct"/>
            <w:gridSpan w:val="11"/>
            <w:vAlign w:val="center"/>
          </w:tcPr>
          <w:p>
            <w:pPr>
              <w:spacing w:line="340" w:lineRule="exact"/>
              <w:jc w:val="center"/>
              <w:rPr>
                <w:rFonts w:ascii="Times New Roman" w:hAnsi="Times New Roman" w:eastAsia="宋体"/>
                <w:szCs w:val="21"/>
              </w:rPr>
            </w:pPr>
            <w:r>
              <w:rPr>
                <w:rFonts w:hint="eastAsia" w:ascii="Times New Roman" w:eastAsia="宋体"/>
                <w:szCs w:val="21"/>
              </w:rPr>
              <w:t>基本污染物（</w:t>
            </w:r>
            <w:r>
              <w:rPr>
                <w:rFonts w:hint="eastAsia" w:ascii="Times New Roman" w:hAnsi="Times New Roman" w:eastAsia="宋体"/>
                <w:szCs w:val="21"/>
              </w:rPr>
              <w:t>/</w:t>
            </w:r>
            <w:r>
              <w:rPr>
                <w:rFonts w:hint="eastAsia" w:ascii="Times New Roman" w:eastAsia="宋体"/>
                <w:szCs w:val="21"/>
              </w:rPr>
              <w:t>）</w:t>
            </w:r>
          </w:p>
          <w:p>
            <w:pPr>
              <w:spacing w:line="340" w:lineRule="exact"/>
              <w:jc w:val="center"/>
              <w:rPr>
                <w:rFonts w:ascii="Times New Roman" w:hAnsi="Times New Roman" w:eastAsia="宋体"/>
                <w:szCs w:val="21"/>
              </w:rPr>
            </w:pPr>
            <w:r>
              <w:rPr>
                <w:rFonts w:hint="eastAsia" w:ascii="Times New Roman" w:eastAsia="宋体"/>
                <w:szCs w:val="21"/>
              </w:rPr>
              <w:t>其他污染物（</w:t>
            </w:r>
            <w:r>
              <w:rPr>
                <w:rFonts w:hint="eastAsia" w:ascii="Times New Roman" w:hAnsi="Times New Roman" w:eastAsia="宋体"/>
                <w:szCs w:val="21"/>
              </w:rPr>
              <w:t>非甲烷总烃</w:t>
            </w:r>
            <w:r>
              <w:rPr>
                <w:rFonts w:hint="eastAsia" w:ascii="Times New Roman" w:eastAsia="宋体"/>
                <w:szCs w:val="21"/>
              </w:rPr>
              <w:t>）</w:t>
            </w:r>
          </w:p>
        </w:tc>
        <w:tc>
          <w:tcPr>
            <w:tcW w:w="1656" w:type="pct"/>
            <w:gridSpan w:val="12"/>
            <w:vAlign w:val="center"/>
          </w:tcPr>
          <w:p>
            <w:pPr>
              <w:spacing w:line="340" w:lineRule="exact"/>
              <w:jc w:val="center"/>
              <w:rPr>
                <w:rFonts w:ascii="Times New Roman" w:hAnsi="Times New Roman" w:eastAsia="宋体"/>
                <w:szCs w:val="21"/>
                <w:vertAlign w:val="subscript"/>
              </w:rPr>
            </w:pPr>
            <w:r>
              <w:rPr>
                <w:rFonts w:hint="eastAsia" w:ascii="Times New Roman" w:eastAsia="宋体"/>
                <w:szCs w:val="21"/>
              </w:rPr>
              <w:t>包括二次</w:t>
            </w:r>
            <w:r>
              <w:rPr>
                <w:rFonts w:ascii="Times New Roman" w:hAnsi="Times New Roman" w:eastAsia="宋体"/>
                <w:szCs w:val="21"/>
              </w:rPr>
              <w:t>PM</w:t>
            </w:r>
            <w:r>
              <w:rPr>
                <w:rFonts w:ascii="Times New Roman" w:hAnsi="Times New Roman" w:eastAsia="宋体"/>
                <w:szCs w:val="21"/>
                <w:vertAlign w:val="subscript"/>
              </w:rPr>
              <w:t>2.5</w:t>
            </w:r>
            <w:r>
              <w:rPr>
                <w:rFonts w:hint="eastAsia" w:ascii="Times New Roman" w:hAnsi="Times New Roman" w:eastAsia="宋体"/>
                <w:szCs w:val="21"/>
              </w:rPr>
              <w:t>□</w:t>
            </w:r>
          </w:p>
          <w:p>
            <w:pPr>
              <w:spacing w:line="340" w:lineRule="exact"/>
              <w:jc w:val="center"/>
              <w:rPr>
                <w:rFonts w:ascii="Times New Roman" w:hAnsi="Times New Roman" w:eastAsia="宋体"/>
                <w:szCs w:val="21"/>
              </w:rPr>
            </w:pPr>
            <w:r>
              <w:rPr>
                <w:rFonts w:hint="eastAsia" w:ascii="Times New Roman" w:eastAsia="宋体"/>
                <w:szCs w:val="21"/>
              </w:rPr>
              <w:t>不包括二次</w:t>
            </w:r>
            <w:r>
              <w:rPr>
                <w:rFonts w:ascii="Times New Roman" w:hAnsi="Times New Roman" w:eastAsia="宋体"/>
                <w:szCs w:val="21"/>
              </w:rPr>
              <w:t>PM</w:t>
            </w:r>
            <w:r>
              <w:rPr>
                <w:rFonts w:ascii="Times New Roman" w:hAnsi="Times New Roman" w:eastAsia="宋体"/>
                <w:szCs w:val="21"/>
                <w:vertAlign w:val="subscript"/>
              </w:rPr>
              <w:t>2.5</w:t>
            </w:r>
            <w:r>
              <w:rPr>
                <w:rFonts w:hint="eastAsia" w:ascii="Times New Roman" w:hAnsi="Times New Roman" w:eastAsia="宋体"/>
                <w:szCs w:val="21"/>
              </w:rPr>
              <w:fldChar w:fldCharType="begin"/>
            </w:r>
            <w:r>
              <w:rPr>
                <w:rFonts w:hint="eastAsia" w:ascii="Times New Roman" w:hAnsi="Times New Roman" w:eastAsia="宋体"/>
                <w:szCs w:val="21"/>
              </w:rPr>
              <w:instrText xml:space="preserve"> eq \o\ac(□,</w:instrText>
            </w:r>
            <w:r>
              <w:rPr>
                <w:rFonts w:hint="eastAsia" w:ascii="Times New Roman" w:hAnsi="Times New Roman" w:eastAsia="宋体"/>
                <w:position w:val="2"/>
                <w:szCs w:val="21"/>
              </w:rPr>
              <w:instrText xml:space="preserve">√</w:instrText>
            </w:r>
            <w:r>
              <w:rPr>
                <w:rFonts w:hint="eastAsia" w:ascii="Times New Roman" w:hAnsi="Times New Roman" w:eastAsia="宋体"/>
                <w:szCs w:val="21"/>
              </w:rPr>
              <w:instrText xml:space="preserve">)</w:instrText>
            </w:r>
            <w:r>
              <w:rPr>
                <w:rFonts w:hint="eastAsia" w:ascii="Times New Roman" w:hAnsi="Times New Roman" w:eastAsia="宋体"/>
                <w:szCs w:val="21"/>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560" w:type="pct"/>
            <w:vAlign w:val="center"/>
          </w:tcPr>
          <w:p>
            <w:pPr>
              <w:spacing w:line="340" w:lineRule="exact"/>
              <w:jc w:val="center"/>
              <w:rPr>
                <w:rFonts w:ascii="Times New Roman" w:hAnsi="Times New Roman" w:eastAsia="宋体"/>
                <w:szCs w:val="21"/>
              </w:rPr>
            </w:pPr>
            <w:r>
              <w:rPr>
                <w:rFonts w:hint="eastAsia" w:ascii="Times New Roman" w:eastAsia="宋体"/>
                <w:szCs w:val="21"/>
              </w:rPr>
              <w:t>评价标准</w:t>
            </w:r>
          </w:p>
        </w:tc>
        <w:tc>
          <w:tcPr>
            <w:tcW w:w="1110" w:type="pct"/>
            <w:vAlign w:val="center"/>
          </w:tcPr>
          <w:p>
            <w:pPr>
              <w:spacing w:line="340" w:lineRule="exact"/>
              <w:jc w:val="center"/>
              <w:rPr>
                <w:rFonts w:ascii="Times New Roman" w:hAnsi="Times New Roman" w:eastAsia="宋体"/>
                <w:szCs w:val="21"/>
              </w:rPr>
            </w:pPr>
            <w:r>
              <w:rPr>
                <w:rFonts w:hint="eastAsia" w:ascii="Times New Roman" w:eastAsia="宋体"/>
                <w:szCs w:val="21"/>
              </w:rPr>
              <w:t>评价标准</w:t>
            </w:r>
          </w:p>
        </w:tc>
        <w:tc>
          <w:tcPr>
            <w:tcW w:w="1003" w:type="pct"/>
            <w:gridSpan w:val="3"/>
            <w:vAlign w:val="center"/>
          </w:tcPr>
          <w:p>
            <w:pPr>
              <w:spacing w:line="340" w:lineRule="exact"/>
              <w:jc w:val="center"/>
              <w:rPr>
                <w:rFonts w:ascii="Times New Roman" w:hAnsi="Times New Roman" w:eastAsia="宋体"/>
                <w:szCs w:val="21"/>
              </w:rPr>
            </w:pPr>
            <w:r>
              <w:rPr>
                <w:rFonts w:hint="eastAsia" w:ascii="Times New Roman" w:eastAsia="宋体"/>
                <w:szCs w:val="21"/>
              </w:rPr>
              <w:t>国家标准</w:t>
            </w:r>
            <w:r>
              <w:rPr>
                <w:rFonts w:hint="eastAsia" w:ascii="Times New Roman" w:hAnsi="Times New Roman" w:eastAsia="宋体"/>
                <w:szCs w:val="21"/>
              </w:rPr>
              <w:fldChar w:fldCharType="begin"/>
            </w:r>
            <w:r>
              <w:rPr>
                <w:rFonts w:hint="eastAsia" w:ascii="Times New Roman" w:hAnsi="Times New Roman" w:eastAsia="宋体"/>
                <w:szCs w:val="21"/>
              </w:rPr>
              <w:instrText xml:space="preserve"> eq \o\ac(□,</w:instrText>
            </w:r>
            <w:r>
              <w:rPr>
                <w:rFonts w:hint="eastAsia" w:ascii="Times New Roman" w:hAnsi="Times New Roman" w:eastAsia="宋体"/>
                <w:position w:val="2"/>
                <w:szCs w:val="21"/>
              </w:rPr>
              <w:instrText xml:space="preserve">√</w:instrText>
            </w:r>
            <w:r>
              <w:rPr>
                <w:rFonts w:hint="eastAsia" w:ascii="Times New Roman" w:hAnsi="Times New Roman" w:eastAsia="宋体"/>
                <w:szCs w:val="21"/>
              </w:rPr>
              <w:instrText xml:space="preserve">)</w:instrText>
            </w:r>
            <w:r>
              <w:rPr>
                <w:rFonts w:hint="eastAsia" w:ascii="Times New Roman" w:hAnsi="Times New Roman" w:eastAsia="宋体"/>
                <w:szCs w:val="21"/>
              </w:rPr>
              <w:fldChar w:fldCharType="end"/>
            </w:r>
          </w:p>
        </w:tc>
        <w:tc>
          <w:tcPr>
            <w:tcW w:w="672" w:type="pct"/>
            <w:gridSpan w:val="8"/>
            <w:vAlign w:val="center"/>
          </w:tcPr>
          <w:p>
            <w:pPr>
              <w:spacing w:line="340" w:lineRule="exact"/>
              <w:jc w:val="center"/>
              <w:rPr>
                <w:rFonts w:ascii="Times New Roman" w:hAnsi="Times New Roman" w:eastAsia="宋体"/>
                <w:szCs w:val="21"/>
              </w:rPr>
            </w:pPr>
            <w:r>
              <w:rPr>
                <w:rFonts w:hint="eastAsia" w:ascii="Times New Roman" w:eastAsia="宋体"/>
                <w:szCs w:val="21"/>
              </w:rPr>
              <w:t>地方标准</w:t>
            </w:r>
            <w:r>
              <w:rPr>
                <w:rFonts w:hint="eastAsia" w:ascii="Times New Roman" w:hAnsi="Times New Roman" w:eastAsia="宋体"/>
                <w:szCs w:val="21"/>
              </w:rPr>
              <w:fldChar w:fldCharType="begin"/>
            </w:r>
            <w:r>
              <w:rPr>
                <w:rFonts w:hint="eastAsia" w:ascii="Times New Roman" w:hAnsi="Times New Roman" w:eastAsia="宋体"/>
                <w:szCs w:val="21"/>
              </w:rPr>
              <w:instrText xml:space="preserve"> eq \o\ac(□,</w:instrText>
            </w:r>
            <w:r>
              <w:rPr>
                <w:rFonts w:hint="eastAsia" w:ascii="Times New Roman" w:hAnsi="Times New Roman" w:eastAsia="宋体"/>
                <w:position w:val="2"/>
                <w:szCs w:val="21"/>
              </w:rPr>
              <w:instrText xml:space="preserve">√</w:instrText>
            </w:r>
            <w:r>
              <w:rPr>
                <w:rFonts w:hint="eastAsia" w:ascii="Times New Roman" w:hAnsi="Times New Roman" w:eastAsia="宋体"/>
                <w:szCs w:val="21"/>
              </w:rPr>
              <w:instrText xml:space="preserve">)</w:instrText>
            </w:r>
            <w:r>
              <w:rPr>
                <w:rFonts w:hint="eastAsia" w:ascii="Times New Roman" w:hAnsi="Times New Roman" w:eastAsia="宋体"/>
                <w:szCs w:val="21"/>
              </w:rPr>
              <w:fldChar w:fldCharType="end"/>
            </w:r>
          </w:p>
        </w:tc>
        <w:tc>
          <w:tcPr>
            <w:tcW w:w="832" w:type="pct"/>
            <w:gridSpan w:val="8"/>
            <w:vAlign w:val="center"/>
          </w:tcPr>
          <w:p>
            <w:pPr>
              <w:spacing w:line="340" w:lineRule="exact"/>
              <w:jc w:val="center"/>
              <w:rPr>
                <w:rFonts w:ascii="Times New Roman" w:hAnsi="Times New Roman" w:eastAsia="宋体"/>
                <w:szCs w:val="21"/>
              </w:rPr>
            </w:pPr>
            <w:r>
              <w:rPr>
                <w:rFonts w:hint="eastAsia" w:ascii="Times New Roman" w:eastAsia="宋体"/>
                <w:szCs w:val="21"/>
              </w:rPr>
              <w:t>附录</w:t>
            </w:r>
            <w:r>
              <w:rPr>
                <w:rFonts w:ascii="Times New Roman" w:hAnsi="Times New Roman" w:eastAsia="宋体"/>
                <w:szCs w:val="21"/>
              </w:rPr>
              <w:t>D</w:t>
            </w:r>
            <w:r>
              <w:rPr>
                <w:rFonts w:hint="eastAsia" w:ascii="Times New Roman" w:hAnsi="Times New Roman" w:eastAsia="宋体"/>
                <w:szCs w:val="21"/>
              </w:rPr>
              <w:t>□</w:t>
            </w:r>
          </w:p>
        </w:tc>
        <w:tc>
          <w:tcPr>
            <w:tcW w:w="824" w:type="pct"/>
            <w:gridSpan w:val="4"/>
            <w:vAlign w:val="center"/>
          </w:tcPr>
          <w:p>
            <w:pPr>
              <w:spacing w:line="340" w:lineRule="exact"/>
              <w:jc w:val="center"/>
              <w:rPr>
                <w:rFonts w:ascii="Times New Roman" w:hAnsi="Times New Roman" w:eastAsia="宋体"/>
                <w:szCs w:val="21"/>
              </w:rPr>
            </w:pPr>
            <w:r>
              <w:rPr>
                <w:rFonts w:hint="eastAsia" w:ascii="Times New Roman" w:eastAsia="宋体"/>
                <w:szCs w:val="21"/>
              </w:rPr>
              <w:t>其他标准</w:t>
            </w:r>
            <w:r>
              <w:rPr>
                <w:rFonts w:hint="eastAsia" w:ascii="Times New Roman" w:hAnsi="Times New Roman" w:eastAsia="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560" w:type="pct"/>
            <w:vMerge w:val="restart"/>
            <w:vAlign w:val="center"/>
          </w:tcPr>
          <w:p>
            <w:pPr>
              <w:spacing w:line="340" w:lineRule="exact"/>
              <w:jc w:val="center"/>
              <w:rPr>
                <w:rFonts w:ascii="Times New Roman" w:hAnsi="Times New Roman" w:eastAsia="宋体"/>
                <w:szCs w:val="21"/>
              </w:rPr>
            </w:pPr>
            <w:r>
              <w:rPr>
                <w:rFonts w:hint="eastAsia" w:ascii="Times New Roman" w:eastAsia="宋体"/>
                <w:szCs w:val="21"/>
              </w:rPr>
              <w:t>现状评价</w:t>
            </w:r>
          </w:p>
        </w:tc>
        <w:tc>
          <w:tcPr>
            <w:tcW w:w="1110" w:type="pct"/>
            <w:vAlign w:val="center"/>
          </w:tcPr>
          <w:p>
            <w:pPr>
              <w:spacing w:line="340" w:lineRule="exact"/>
              <w:jc w:val="center"/>
              <w:rPr>
                <w:rFonts w:ascii="Times New Roman" w:hAnsi="Times New Roman" w:eastAsia="宋体"/>
                <w:szCs w:val="21"/>
              </w:rPr>
            </w:pPr>
            <w:r>
              <w:rPr>
                <w:rFonts w:hint="eastAsia" w:ascii="Times New Roman" w:eastAsia="宋体"/>
                <w:szCs w:val="21"/>
              </w:rPr>
              <w:t>环境功能区</w:t>
            </w:r>
          </w:p>
        </w:tc>
        <w:tc>
          <w:tcPr>
            <w:tcW w:w="1103" w:type="pct"/>
            <w:gridSpan w:val="5"/>
            <w:vAlign w:val="center"/>
          </w:tcPr>
          <w:p>
            <w:pPr>
              <w:spacing w:line="340" w:lineRule="exact"/>
              <w:jc w:val="center"/>
              <w:rPr>
                <w:rFonts w:ascii="Times New Roman" w:hAnsi="Times New Roman" w:eastAsia="宋体"/>
                <w:szCs w:val="21"/>
              </w:rPr>
            </w:pPr>
            <w:r>
              <w:rPr>
                <w:rFonts w:hint="eastAsia" w:ascii="Times New Roman" w:eastAsia="宋体"/>
                <w:szCs w:val="21"/>
              </w:rPr>
              <w:t>一类区</w:t>
            </w:r>
            <w:r>
              <w:rPr>
                <w:rFonts w:hint="eastAsia" w:ascii="Times New Roman" w:hAnsi="Times New Roman" w:eastAsia="宋体"/>
                <w:szCs w:val="21"/>
              </w:rPr>
              <w:t>□</w:t>
            </w:r>
          </w:p>
        </w:tc>
        <w:tc>
          <w:tcPr>
            <w:tcW w:w="1107" w:type="pct"/>
            <w:gridSpan w:val="10"/>
            <w:vAlign w:val="center"/>
          </w:tcPr>
          <w:p>
            <w:pPr>
              <w:spacing w:line="340" w:lineRule="exact"/>
              <w:jc w:val="center"/>
              <w:rPr>
                <w:rFonts w:ascii="Times New Roman" w:hAnsi="Times New Roman" w:eastAsia="宋体"/>
                <w:szCs w:val="21"/>
              </w:rPr>
            </w:pPr>
            <w:r>
              <w:rPr>
                <w:rFonts w:hint="eastAsia" w:ascii="Times New Roman" w:eastAsia="宋体"/>
                <w:szCs w:val="21"/>
              </w:rPr>
              <w:t>二类区</w:t>
            </w:r>
            <w:r>
              <w:rPr>
                <w:rFonts w:hint="eastAsia" w:ascii="Times New Roman" w:hAnsi="Times New Roman" w:eastAsia="宋体"/>
                <w:szCs w:val="21"/>
              </w:rPr>
              <w:fldChar w:fldCharType="begin"/>
            </w:r>
            <w:r>
              <w:rPr>
                <w:rFonts w:hint="eastAsia" w:ascii="Times New Roman" w:hAnsi="Times New Roman" w:eastAsia="宋体"/>
                <w:szCs w:val="21"/>
              </w:rPr>
              <w:instrText xml:space="preserve"> eq \o\ac(□,</w:instrText>
            </w:r>
            <w:r>
              <w:rPr>
                <w:rFonts w:hint="eastAsia" w:ascii="Times New Roman" w:hAnsi="Times New Roman" w:eastAsia="宋体"/>
                <w:position w:val="2"/>
                <w:szCs w:val="21"/>
              </w:rPr>
              <w:instrText xml:space="preserve">√</w:instrText>
            </w:r>
            <w:r>
              <w:rPr>
                <w:rFonts w:hint="eastAsia" w:ascii="Times New Roman" w:hAnsi="Times New Roman" w:eastAsia="宋体"/>
                <w:szCs w:val="21"/>
              </w:rPr>
              <w:instrText xml:space="preserve">)</w:instrText>
            </w:r>
            <w:r>
              <w:rPr>
                <w:rFonts w:hint="eastAsia" w:ascii="Times New Roman" w:hAnsi="Times New Roman" w:eastAsia="宋体"/>
                <w:szCs w:val="21"/>
              </w:rPr>
              <w:fldChar w:fldCharType="end"/>
            </w:r>
          </w:p>
        </w:tc>
        <w:tc>
          <w:tcPr>
            <w:tcW w:w="1121" w:type="pct"/>
            <w:gridSpan w:val="8"/>
            <w:vAlign w:val="center"/>
          </w:tcPr>
          <w:p>
            <w:pPr>
              <w:spacing w:line="340" w:lineRule="exact"/>
              <w:jc w:val="center"/>
              <w:rPr>
                <w:rFonts w:ascii="Times New Roman" w:hAnsi="Times New Roman" w:eastAsia="宋体"/>
                <w:szCs w:val="21"/>
              </w:rPr>
            </w:pPr>
            <w:r>
              <w:rPr>
                <w:rFonts w:hint="eastAsia" w:ascii="Times New Roman" w:eastAsia="宋体"/>
                <w:szCs w:val="21"/>
              </w:rPr>
              <w:t>一类区和二类区</w:t>
            </w:r>
            <w:r>
              <w:rPr>
                <w:rFonts w:hint="eastAsia" w:ascii="Times New Roman" w:hAnsi="Times New Roman" w:eastAsia="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560" w:type="pct"/>
            <w:vMerge w:val="continue"/>
            <w:vAlign w:val="center"/>
          </w:tcPr>
          <w:p>
            <w:pPr>
              <w:widowControl/>
              <w:spacing w:line="340" w:lineRule="exact"/>
              <w:jc w:val="center"/>
              <w:rPr>
                <w:rFonts w:ascii="Times New Roman" w:hAnsi="Times New Roman" w:eastAsia="宋体"/>
                <w:szCs w:val="21"/>
              </w:rPr>
            </w:pPr>
          </w:p>
        </w:tc>
        <w:tc>
          <w:tcPr>
            <w:tcW w:w="1110" w:type="pct"/>
            <w:vAlign w:val="center"/>
          </w:tcPr>
          <w:p>
            <w:pPr>
              <w:spacing w:line="340" w:lineRule="exact"/>
              <w:jc w:val="center"/>
              <w:rPr>
                <w:rFonts w:ascii="Times New Roman" w:hAnsi="Times New Roman" w:eastAsia="宋体"/>
                <w:szCs w:val="21"/>
              </w:rPr>
            </w:pPr>
            <w:r>
              <w:rPr>
                <w:rFonts w:hint="eastAsia" w:ascii="Times New Roman" w:eastAsia="宋体"/>
                <w:szCs w:val="21"/>
              </w:rPr>
              <w:t>评价基准年</w:t>
            </w:r>
          </w:p>
        </w:tc>
        <w:tc>
          <w:tcPr>
            <w:tcW w:w="3331" w:type="pct"/>
            <w:gridSpan w:val="23"/>
            <w:vAlign w:val="center"/>
          </w:tcPr>
          <w:p>
            <w:pPr>
              <w:spacing w:line="340" w:lineRule="exact"/>
              <w:jc w:val="center"/>
              <w:rPr>
                <w:rFonts w:ascii="Times New Roman" w:hAnsi="Times New Roman" w:eastAsia="宋体"/>
                <w:szCs w:val="21"/>
              </w:rPr>
            </w:pPr>
            <w:r>
              <w:rPr>
                <w:rFonts w:hint="eastAsia" w:ascii="Times New Roman" w:eastAsia="宋体"/>
                <w:szCs w:val="21"/>
              </w:rPr>
              <w:t>（</w:t>
            </w:r>
            <w:r>
              <w:rPr>
                <w:rFonts w:ascii="Times New Roman" w:hAnsi="Times New Roman" w:eastAsia="宋体"/>
                <w:szCs w:val="21"/>
              </w:rPr>
              <w:t>201</w:t>
            </w:r>
            <w:r>
              <w:rPr>
                <w:rFonts w:hint="eastAsia" w:ascii="Times New Roman" w:hAnsi="Times New Roman" w:eastAsia="宋体"/>
                <w:szCs w:val="21"/>
              </w:rPr>
              <w:t>9</w:t>
            </w:r>
            <w:r>
              <w:rPr>
                <w:rFonts w:hint="eastAsia" w:ascii="Times New Roman" w:eastAsia="宋体"/>
                <w:szCs w:val="21"/>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560" w:type="pct"/>
            <w:vMerge w:val="continue"/>
            <w:vAlign w:val="center"/>
          </w:tcPr>
          <w:p>
            <w:pPr>
              <w:widowControl/>
              <w:spacing w:line="340" w:lineRule="exact"/>
              <w:jc w:val="center"/>
              <w:rPr>
                <w:rFonts w:ascii="Times New Roman" w:hAnsi="Times New Roman" w:eastAsia="宋体"/>
                <w:szCs w:val="21"/>
              </w:rPr>
            </w:pPr>
          </w:p>
        </w:tc>
        <w:tc>
          <w:tcPr>
            <w:tcW w:w="1110" w:type="pct"/>
            <w:vAlign w:val="center"/>
          </w:tcPr>
          <w:p>
            <w:pPr>
              <w:spacing w:line="340" w:lineRule="exact"/>
              <w:jc w:val="center"/>
              <w:rPr>
                <w:rFonts w:ascii="Times New Roman" w:hAnsi="Times New Roman" w:eastAsia="宋体"/>
                <w:szCs w:val="21"/>
              </w:rPr>
            </w:pPr>
            <w:r>
              <w:rPr>
                <w:rFonts w:hint="eastAsia" w:ascii="Times New Roman" w:eastAsia="宋体"/>
                <w:szCs w:val="21"/>
              </w:rPr>
              <w:t>环境空气质量</w:t>
            </w:r>
          </w:p>
          <w:p>
            <w:pPr>
              <w:spacing w:line="340" w:lineRule="exact"/>
              <w:jc w:val="center"/>
              <w:rPr>
                <w:rFonts w:ascii="Times New Roman" w:hAnsi="Times New Roman" w:eastAsia="宋体"/>
                <w:szCs w:val="21"/>
              </w:rPr>
            </w:pPr>
            <w:r>
              <w:rPr>
                <w:rFonts w:hint="eastAsia" w:ascii="Times New Roman" w:eastAsia="宋体"/>
                <w:szCs w:val="21"/>
              </w:rPr>
              <w:t>现状调查数据来源</w:t>
            </w:r>
          </w:p>
        </w:tc>
        <w:tc>
          <w:tcPr>
            <w:tcW w:w="1063" w:type="pct"/>
            <w:gridSpan w:val="4"/>
            <w:vAlign w:val="center"/>
          </w:tcPr>
          <w:p>
            <w:pPr>
              <w:spacing w:line="340" w:lineRule="exact"/>
              <w:jc w:val="center"/>
              <w:rPr>
                <w:rFonts w:ascii="Times New Roman" w:hAnsi="Times New Roman" w:eastAsia="宋体"/>
                <w:szCs w:val="21"/>
              </w:rPr>
            </w:pPr>
            <w:r>
              <w:rPr>
                <w:rFonts w:hint="eastAsia" w:ascii="Times New Roman" w:eastAsia="宋体"/>
                <w:szCs w:val="21"/>
              </w:rPr>
              <w:t>长期例行监测数据</w:t>
            </w:r>
            <w:r>
              <w:rPr>
                <w:rFonts w:hint="eastAsia" w:ascii="Times New Roman" w:hAnsi="Times New Roman" w:eastAsia="宋体"/>
                <w:szCs w:val="21"/>
              </w:rPr>
              <w:t>□</w:t>
            </w:r>
          </w:p>
        </w:tc>
        <w:tc>
          <w:tcPr>
            <w:tcW w:w="1218" w:type="pct"/>
            <w:gridSpan w:val="13"/>
            <w:vAlign w:val="center"/>
          </w:tcPr>
          <w:p>
            <w:pPr>
              <w:spacing w:line="340" w:lineRule="exact"/>
              <w:jc w:val="center"/>
              <w:rPr>
                <w:rFonts w:ascii="Times New Roman" w:hAnsi="Times New Roman" w:eastAsia="宋体"/>
                <w:szCs w:val="21"/>
              </w:rPr>
            </w:pPr>
            <w:r>
              <w:rPr>
                <w:rFonts w:hint="eastAsia" w:ascii="Times New Roman" w:eastAsia="宋体"/>
                <w:szCs w:val="21"/>
              </w:rPr>
              <w:t>主管部门发布的数据</w:t>
            </w:r>
            <w:r>
              <w:rPr>
                <w:rFonts w:hint="eastAsia" w:ascii="Times New Roman" w:hAnsi="Times New Roman" w:eastAsia="宋体"/>
                <w:szCs w:val="21"/>
              </w:rPr>
              <w:fldChar w:fldCharType="begin"/>
            </w:r>
            <w:r>
              <w:rPr>
                <w:rFonts w:hint="eastAsia" w:ascii="Times New Roman" w:hAnsi="Times New Roman" w:eastAsia="宋体"/>
                <w:szCs w:val="21"/>
              </w:rPr>
              <w:instrText xml:space="preserve"> eq \o\ac(□,</w:instrText>
            </w:r>
            <w:r>
              <w:rPr>
                <w:rFonts w:hint="eastAsia" w:ascii="Times New Roman" w:hAnsi="Times New Roman" w:eastAsia="宋体"/>
                <w:position w:val="2"/>
                <w:szCs w:val="21"/>
              </w:rPr>
              <w:instrText xml:space="preserve">√</w:instrText>
            </w:r>
            <w:r>
              <w:rPr>
                <w:rFonts w:hint="eastAsia" w:ascii="Times New Roman" w:hAnsi="Times New Roman" w:eastAsia="宋体"/>
                <w:szCs w:val="21"/>
              </w:rPr>
              <w:instrText xml:space="preserve">)</w:instrText>
            </w:r>
            <w:r>
              <w:rPr>
                <w:rFonts w:hint="eastAsia" w:ascii="Times New Roman" w:hAnsi="Times New Roman" w:eastAsia="宋体"/>
                <w:szCs w:val="21"/>
              </w:rPr>
              <w:fldChar w:fldCharType="end"/>
            </w:r>
          </w:p>
        </w:tc>
        <w:tc>
          <w:tcPr>
            <w:tcW w:w="1050" w:type="pct"/>
            <w:gridSpan w:val="6"/>
            <w:vAlign w:val="center"/>
          </w:tcPr>
          <w:p>
            <w:pPr>
              <w:spacing w:line="340" w:lineRule="exact"/>
              <w:jc w:val="center"/>
              <w:rPr>
                <w:rFonts w:ascii="Times New Roman" w:hAnsi="Times New Roman" w:eastAsia="宋体"/>
                <w:szCs w:val="21"/>
              </w:rPr>
            </w:pPr>
            <w:r>
              <w:rPr>
                <w:rFonts w:hint="eastAsia" w:ascii="Times New Roman" w:eastAsia="宋体"/>
                <w:szCs w:val="21"/>
              </w:rPr>
              <w:t>现状补充监测</w:t>
            </w:r>
            <w:r>
              <w:rPr>
                <w:rFonts w:hint="eastAsia" w:ascii="Times New Roman" w:hAnsi="Times New Roman" w:eastAsia="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560" w:type="pct"/>
            <w:vMerge w:val="continue"/>
            <w:vAlign w:val="center"/>
          </w:tcPr>
          <w:p>
            <w:pPr>
              <w:widowControl/>
              <w:spacing w:line="340" w:lineRule="exact"/>
              <w:jc w:val="center"/>
              <w:rPr>
                <w:rFonts w:ascii="Times New Roman" w:hAnsi="Times New Roman" w:eastAsia="宋体"/>
                <w:szCs w:val="21"/>
              </w:rPr>
            </w:pPr>
          </w:p>
        </w:tc>
        <w:tc>
          <w:tcPr>
            <w:tcW w:w="1110" w:type="pct"/>
            <w:vAlign w:val="center"/>
          </w:tcPr>
          <w:p>
            <w:pPr>
              <w:spacing w:line="340" w:lineRule="exact"/>
              <w:jc w:val="center"/>
              <w:rPr>
                <w:rFonts w:ascii="Times New Roman" w:hAnsi="Times New Roman" w:eastAsia="宋体"/>
                <w:szCs w:val="21"/>
              </w:rPr>
            </w:pPr>
            <w:r>
              <w:rPr>
                <w:rFonts w:hint="eastAsia" w:ascii="Times New Roman" w:eastAsia="宋体"/>
                <w:szCs w:val="21"/>
              </w:rPr>
              <w:t>现状评价</w:t>
            </w:r>
          </w:p>
        </w:tc>
        <w:tc>
          <w:tcPr>
            <w:tcW w:w="1675" w:type="pct"/>
            <w:gridSpan w:val="11"/>
            <w:vAlign w:val="center"/>
          </w:tcPr>
          <w:p>
            <w:pPr>
              <w:spacing w:line="340" w:lineRule="exact"/>
              <w:jc w:val="center"/>
              <w:rPr>
                <w:rFonts w:ascii="Times New Roman" w:hAnsi="Times New Roman" w:eastAsia="宋体"/>
                <w:szCs w:val="21"/>
              </w:rPr>
            </w:pPr>
            <w:r>
              <w:rPr>
                <w:rFonts w:hint="eastAsia" w:ascii="Times New Roman" w:eastAsia="宋体"/>
                <w:szCs w:val="21"/>
              </w:rPr>
              <w:t>达标区</w:t>
            </w:r>
            <w:r>
              <w:rPr>
                <w:rFonts w:hint="eastAsia" w:ascii="Times New Roman" w:hAnsi="Times New Roman" w:eastAsia="宋体"/>
                <w:szCs w:val="21"/>
              </w:rPr>
              <w:t>□</w:t>
            </w:r>
          </w:p>
        </w:tc>
        <w:tc>
          <w:tcPr>
            <w:tcW w:w="1656" w:type="pct"/>
            <w:gridSpan w:val="12"/>
            <w:vAlign w:val="center"/>
          </w:tcPr>
          <w:p>
            <w:pPr>
              <w:spacing w:line="340" w:lineRule="exact"/>
              <w:jc w:val="center"/>
              <w:rPr>
                <w:rFonts w:ascii="Times New Roman" w:hAnsi="Times New Roman" w:eastAsia="宋体"/>
                <w:szCs w:val="21"/>
              </w:rPr>
            </w:pPr>
            <w:r>
              <w:rPr>
                <w:rFonts w:hint="eastAsia" w:ascii="Times New Roman" w:eastAsia="宋体"/>
                <w:szCs w:val="21"/>
              </w:rPr>
              <w:t>不达标区</w:t>
            </w:r>
            <w:r>
              <w:rPr>
                <w:rFonts w:hint="eastAsia" w:ascii="Times New Roman" w:hAnsi="Times New Roman" w:eastAsia="宋体"/>
                <w:szCs w:val="21"/>
              </w:rPr>
              <w:fldChar w:fldCharType="begin"/>
            </w:r>
            <w:r>
              <w:rPr>
                <w:rFonts w:hint="eastAsia" w:ascii="Times New Roman" w:hAnsi="Times New Roman" w:eastAsia="宋体"/>
                <w:szCs w:val="21"/>
              </w:rPr>
              <w:instrText xml:space="preserve"> eq \o\ac(□,</w:instrText>
            </w:r>
            <w:r>
              <w:rPr>
                <w:rFonts w:hint="eastAsia" w:ascii="Times New Roman" w:hAnsi="Times New Roman" w:eastAsia="宋体"/>
                <w:position w:val="2"/>
                <w:szCs w:val="21"/>
              </w:rPr>
              <w:instrText xml:space="preserve">√</w:instrText>
            </w:r>
            <w:r>
              <w:rPr>
                <w:rFonts w:hint="eastAsia" w:ascii="Times New Roman" w:hAnsi="Times New Roman" w:eastAsia="宋体"/>
                <w:szCs w:val="21"/>
              </w:rPr>
              <w:instrText xml:space="preserve">)</w:instrText>
            </w:r>
            <w:r>
              <w:rPr>
                <w:rFonts w:hint="eastAsia" w:ascii="Times New Roman" w:hAnsi="Times New Roman" w:eastAsia="宋体"/>
                <w:szCs w:val="21"/>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560" w:type="pct"/>
            <w:vAlign w:val="center"/>
          </w:tcPr>
          <w:p>
            <w:pPr>
              <w:spacing w:line="340" w:lineRule="exact"/>
              <w:jc w:val="center"/>
              <w:rPr>
                <w:rFonts w:ascii="Times New Roman" w:hAnsi="Times New Roman" w:eastAsia="宋体"/>
                <w:szCs w:val="21"/>
              </w:rPr>
            </w:pPr>
            <w:r>
              <w:rPr>
                <w:rFonts w:hint="eastAsia" w:ascii="Times New Roman" w:eastAsia="宋体"/>
                <w:szCs w:val="21"/>
              </w:rPr>
              <w:t>污染源</w:t>
            </w:r>
          </w:p>
          <w:p>
            <w:pPr>
              <w:spacing w:line="340" w:lineRule="exact"/>
              <w:jc w:val="center"/>
              <w:rPr>
                <w:rFonts w:ascii="Times New Roman" w:hAnsi="Times New Roman" w:eastAsia="宋体"/>
                <w:szCs w:val="21"/>
              </w:rPr>
            </w:pPr>
            <w:r>
              <w:rPr>
                <w:rFonts w:hint="eastAsia" w:ascii="Times New Roman" w:eastAsia="宋体"/>
                <w:szCs w:val="21"/>
              </w:rPr>
              <w:t>调查</w:t>
            </w:r>
          </w:p>
        </w:tc>
        <w:tc>
          <w:tcPr>
            <w:tcW w:w="1110" w:type="pct"/>
            <w:vAlign w:val="center"/>
          </w:tcPr>
          <w:p>
            <w:pPr>
              <w:spacing w:line="340" w:lineRule="exact"/>
              <w:jc w:val="center"/>
              <w:rPr>
                <w:rFonts w:ascii="Times New Roman" w:hAnsi="Times New Roman" w:eastAsia="宋体"/>
                <w:szCs w:val="21"/>
              </w:rPr>
            </w:pPr>
            <w:r>
              <w:rPr>
                <w:rFonts w:hint="eastAsia" w:ascii="Times New Roman" w:eastAsia="宋体"/>
                <w:szCs w:val="21"/>
              </w:rPr>
              <w:t>调查内容</w:t>
            </w:r>
          </w:p>
        </w:tc>
        <w:tc>
          <w:tcPr>
            <w:tcW w:w="1219" w:type="pct"/>
            <w:gridSpan w:val="7"/>
            <w:vAlign w:val="center"/>
          </w:tcPr>
          <w:p>
            <w:pPr>
              <w:spacing w:line="340" w:lineRule="exact"/>
              <w:jc w:val="right"/>
              <w:rPr>
                <w:rFonts w:ascii="Times New Roman" w:hAnsi="Times New Roman" w:eastAsia="宋体"/>
                <w:szCs w:val="21"/>
              </w:rPr>
            </w:pPr>
            <w:r>
              <w:rPr>
                <w:rFonts w:hint="eastAsia" w:ascii="Times New Roman" w:eastAsia="宋体"/>
                <w:szCs w:val="21"/>
              </w:rPr>
              <w:t>本项目正常排放源</w:t>
            </w:r>
            <w:r>
              <w:rPr>
                <w:rFonts w:hint="eastAsia" w:ascii="Times New Roman" w:hAnsi="Times New Roman" w:eastAsia="宋体"/>
                <w:szCs w:val="21"/>
              </w:rPr>
              <w:fldChar w:fldCharType="begin"/>
            </w:r>
            <w:r>
              <w:rPr>
                <w:rFonts w:hint="eastAsia" w:ascii="Times New Roman" w:hAnsi="Times New Roman" w:eastAsia="宋体"/>
                <w:szCs w:val="21"/>
              </w:rPr>
              <w:instrText xml:space="preserve"> eq \o\ac(□,</w:instrText>
            </w:r>
            <w:r>
              <w:rPr>
                <w:rFonts w:hint="eastAsia" w:ascii="Times New Roman" w:hAnsi="Times New Roman" w:eastAsia="宋体"/>
                <w:position w:val="2"/>
                <w:szCs w:val="21"/>
              </w:rPr>
              <w:instrText xml:space="preserve">√</w:instrText>
            </w:r>
            <w:r>
              <w:rPr>
                <w:rFonts w:hint="eastAsia" w:ascii="Times New Roman" w:hAnsi="Times New Roman" w:eastAsia="宋体"/>
                <w:szCs w:val="21"/>
              </w:rPr>
              <w:instrText xml:space="preserve">)</w:instrText>
            </w:r>
            <w:r>
              <w:rPr>
                <w:rFonts w:hint="eastAsia" w:ascii="Times New Roman" w:hAnsi="Times New Roman" w:eastAsia="宋体"/>
                <w:szCs w:val="21"/>
              </w:rPr>
              <w:fldChar w:fldCharType="end"/>
            </w:r>
          </w:p>
          <w:p>
            <w:pPr>
              <w:spacing w:line="340" w:lineRule="exact"/>
              <w:jc w:val="right"/>
              <w:rPr>
                <w:rFonts w:ascii="Times New Roman" w:hAnsi="Times New Roman" w:eastAsia="宋体"/>
                <w:szCs w:val="21"/>
              </w:rPr>
            </w:pPr>
            <w:r>
              <w:rPr>
                <w:rFonts w:hint="eastAsia" w:ascii="Times New Roman" w:eastAsia="宋体"/>
                <w:szCs w:val="21"/>
              </w:rPr>
              <w:t>本项目非正常排放源</w:t>
            </w:r>
            <w:r>
              <w:rPr>
                <w:rFonts w:hint="eastAsia" w:ascii="Times New Roman" w:hAnsi="Times New Roman" w:eastAsia="宋体"/>
                <w:szCs w:val="21"/>
              </w:rPr>
              <w:t>□</w:t>
            </w:r>
          </w:p>
          <w:p>
            <w:pPr>
              <w:spacing w:line="340" w:lineRule="exact"/>
              <w:jc w:val="right"/>
              <w:rPr>
                <w:rFonts w:ascii="Times New Roman" w:hAnsi="Times New Roman" w:eastAsia="宋体"/>
                <w:szCs w:val="21"/>
              </w:rPr>
            </w:pPr>
            <w:r>
              <w:rPr>
                <w:rFonts w:hint="eastAsia" w:ascii="Times New Roman" w:eastAsia="宋体"/>
                <w:szCs w:val="21"/>
              </w:rPr>
              <w:t>现有污染源</w:t>
            </w:r>
            <w:r>
              <w:rPr>
                <w:rFonts w:hint="eastAsia" w:ascii="Times New Roman" w:hAnsi="Times New Roman" w:eastAsia="宋体"/>
                <w:szCs w:val="21"/>
              </w:rPr>
              <w:t>□</w:t>
            </w:r>
          </w:p>
        </w:tc>
        <w:tc>
          <w:tcPr>
            <w:tcW w:w="708" w:type="pct"/>
            <w:gridSpan w:val="6"/>
            <w:vAlign w:val="center"/>
          </w:tcPr>
          <w:p>
            <w:pPr>
              <w:spacing w:line="340" w:lineRule="exact"/>
              <w:jc w:val="center"/>
              <w:rPr>
                <w:rFonts w:ascii="Times New Roman" w:hAnsi="Times New Roman" w:eastAsia="宋体"/>
                <w:szCs w:val="21"/>
              </w:rPr>
            </w:pPr>
            <w:r>
              <w:rPr>
                <w:rFonts w:hint="eastAsia" w:ascii="Times New Roman" w:eastAsia="宋体"/>
                <w:szCs w:val="21"/>
              </w:rPr>
              <w:t>拟替代的污染源</w:t>
            </w:r>
            <w:r>
              <w:rPr>
                <w:rFonts w:hint="eastAsia" w:ascii="Times New Roman" w:hAnsi="Times New Roman" w:eastAsia="宋体"/>
                <w:szCs w:val="21"/>
              </w:rPr>
              <w:t>□</w:t>
            </w:r>
          </w:p>
        </w:tc>
        <w:tc>
          <w:tcPr>
            <w:tcW w:w="851" w:type="pct"/>
            <w:gridSpan w:val="8"/>
            <w:vAlign w:val="center"/>
          </w:tcPr>
          <w:p>
            <w:pPr>
              <w:spacing w:line="340" w:lineRule="exact"/>
              <w:jc w:val="center"/>
              <w:rPr>
                <w:rFonts w:ascii="Times New Roman" w:hAnsi="Times New Roman" w:eastAsia="宋体"/>
                <w:szCs w:val="21"/>
              </w:rPr>
            </w:pPr>
            <w:r>
              <w:rPr>
                <w:rFonts w:hint="eastAsia" w:ascii="Times New Roman" w:eastAsia="宋体"/>
                <w:szCs w:val="21"/>
              </w:rPr>
              <w:t>其他在建、拟建项目污染源</w:t>
            </w:r>
            <w:r>
              <w:rPr>
                <w:rFonts w:hint="eastAsia" w:ascii="Times New Roman" w:hAnsi="Times New Roman" w:eastAsia="宋体"/>
                <w:szCs w:val="21"/>
              </w:rPr>
              <w:t>□</w:t>
            </w:r>
          </w:p>
        </w:tc>
        <w:tc>
          <w:tcPr>
            <w:tcW w:w="552" w:type="pct"/>
            <w:gridSpan w:val="2"/>
            <w:vAlign w:val="center"/>
          </w:tcPr>
          <w:p>
            <w:pPr>
              <w:spacing w:line="340" w:lineRule="exact"/>
              <w:jc w:val="center"/>
              <w:rPr>
                <w:rFonts w:ascii="Times New Roman" w:hAnsi="Times New Roman" w:eastAsia="宋体"/>
                <w:szCs w:val="21"/>
              </w:rPr>
            </w:pPr>
            <w:r>
              <w:rPr>
                <w:rFonts w:hint="eastAsia" w:ascii="Times New Roman" w:eastAsia="宋体"/>
                <w:szCs w:val="21"/>
              </w:rPr>
              <w:t>区域污染源</w:t>
            </w:r>
            <w:r>
              <w:rPr>
                <w:rFonts w:hint="eastAsia" w:ascii="Times New Roman" w:hAnsi="Times New Roman" w:eastAsia="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560" w:type="pct"/>
            <w:vMerge w:val="restart"/>
            <w:vAlign w:val="center"/>
          </w:tcPr>
          <w:p>
            <w:pPr>
              <w:spacing w:line="340" w:lineRule="exact"/>
              <w:jc w:val="center"/>
              <w:rPr>
                <w:rFonts w:ascii="Times New Roman" w:hAnsi="Times New Roman" w:eastAsia="宋体"/>
                <w:szCs w:val="21"/>
              </w:rPr>
            </w:pPr>
            <w:r>
              <w:rPr>
                <w:rFonts w:hint="eastAsia" w:ascii="Times New Roman" w:eastAsia="宋体"/>
                <w:szCs w:val="21"/>
              </w:rPr>
              <w:t>大气环境影响预测与评价</w:t>
            </w:r>
          </w:p>
        </w:tc>
        <w:tc>
          <w:tcPr>
            <w:tcW w:w="1110" w:type="pct"/>
            <w:vAlign w:val="center"/>
          </w:tcPr>
          <w:p>
            <w:pPr>
              <w:spacing w:line="340" w:lineRule="exact"/>
              <w:jc w:val="center"/>
              <w:rPr>
                <w:rFonts w:ascii="Times New Roman" w:hAnsi="Times New Roman" w:eastAsia="宋体"/>
                <w:szCs w:val="21"/>
              </w:rPr>
            </w:pPr>
            <w:r>
              <w:rPr>
                <w:rFonts w:hint="eastAsia" w:ascii="Times New Roman" w:eastAsia="宋体"/>
                <w:szCs w:val="21"/>
              </w:rPr>
              <w:t>预测模型</w:t>
            </w:r>
          </w:p>
        </w:tc>
        <w:tc>
          <w:tcPr>
            <w:tcW w:w="439" w:type="pct"/>
            <w:vAlign w:val="center"/>
          </w:tcPr>
          <w:p>
            <w:pPr>
              <w:spacing w:line="340" w:lineRule="exact"/>
              <w:jc w:val="center"/>
              <w:rPr>
                <w:rFonts w:ascii="Times New Roman" w:hAnsi="Times New Roman" w:eastAsia="宋体"/>
                <w:szCs w:val="21"/>
              </w:rPr>
            </w:pPr>
            <w:r>
              <w:rPr>
                <w:rFonts w:ascii="Times New Roman" w:hAnsi="Times New Roman" w:eastAsia="宋体"/>
                <w:szCs w:val="21"/>
              </w:rPr>
              <w:t>AERMOD</w:t>
            </w:r>
            <w:r>
              <w:rPr>
                <w:rFonts w:hint="eastAsia" w:ascii="Times New Roman" w:hAnsi="Times New Roman" w:eastAsia="宋体"/>
                <w:szCs w:val="21"/>
              </w:rPr>
              <w:t>□</w:t>
            </w:r>
          </w:p>
        </w:tc>
        <w:tc>
          <w:tcPr>
            <w:tcW w:w="564" w:type="pct"/>
            <w:gridSpan w:val="2"/>
            <w:vAlign w:val="center"/>
          </w:tcPr>
          <w:p>
            <w:pPr>
              <w:spacing w:line="340" w:lineRule="exact"/>
              <w:jc w:val="center"/>
              <w:rPr>
                <w:rFonts w:ascii="Times New Roman" w:hAnsi="Times New Roman" w:eastAsia="宋体"/>
                <w:szCs w:val="21"/>
              </w:rPr>
            </w:pPr>
            <w:r>
              <w:rPr>
                <w:rFonts w:ascii="Times New Roman" w:hAnsi="Times New Roman" w:eastAsia="宋体"/>
                <w:szCs w:val="21"/>
              </w:rPr>
              <w:t>ADMS</w:t>
            </w:r>
            <w:r>
              <w:rPr>
                <w:rFonts w:hint="eastAsia" w:ascii="Times New Roman" w:hAnsi="Times New Roman" w:eastAsia="宋体"/>
                <w:szCs w:val="21"/>
              </w:rPr>
              <w:t>□</w:t>
            </w:r>
          </w:p>
        </w:tc>
        <w:tc>
          <w:tcPr>
            <w:tcW w:w="569" w:type="pct"/>
            <w:gridSpan w:val="6"/>
            <w:vAlign w:val="center"/>
          </w:tcPr>
          <w:p>
            <w:pPr>
              <w:spacing w:line="340" w:lineRule="exact"/>
              <w:jc w:val="center"/>
              <w:rPr>
                <w:rFonts w:ascii="Times New Roman" w:hAnsi="Times New Roman" w:eastAsia="宋体"/>
                <w:szCs w:val="21"/>
              </w:rPr>
            </w:pPr>
            <w:r>
              <w:rPr>
                <w:rFonts w:ascii="Times New Roman" w:hAnsi="Times New Roman" w:eastAsia="宋体"/>
                <w:szCs w:val="21"/>
              </w:rPr>
              <w:t>AUSTAL</w:t>
            </w:r>
          </w:p>
          <w:p>
            <w:pPr>
              <w:spacing w:line="340" w:lineRule="exact"/>
              <w:jc w:val="center"/>
              <w:rPr>
                <w:rFonts w:ascii="Times New Roman" w:hAnsi="Times New Roman" w:eastAsia="宋体"/>
                <w:szCs w:val="21"/>
              </w:rPr>
            </w:pPr>
            <w:r>
              <w:rPr>
                <w:rFonts w:ascii="Times New Roman" w:hAnsi="Times New Roman" w:eastAsia="宋体"/>
                <w:szCs w:val="21"/>
              </w:rPr>
              <w:t>2000</w:t>
            </w:r>
            <w:r>
              <w:rPr>
                <w:rFonts w:hint="eastAsia" w:ascii="Times New Roman" w:hAnsi="Times New Roman" w:eastAsia="宋体"/>
                <w:szCs w:val="21"/>
              </w:rPr>
              <w:t>□</w:t>
            </w:r>
          </w:p>
        </w:tc>
        <w:tc>
          <w:tcPr>
            <w:tcW w:w="564" w:type="pct"/>
            <w:gridSpan w:val="5"/>
            <w:vAlign w:val="center"/>
          </w:tcPr>
          <w:p>
            <w:pPr>
              <w:spacing w:line="340" w:lineRule="exact"/>
              <w:jc w:val="center"/>
              <w:rPr>
                <w:rFonts w:ascii="Times New Roman" w:hAnsi="Times New Roman" w:eastAsia="宋体"/>
                <w:szCs w:val="21"/>
              </w:rPr>
            </w:pPr>
            <w:r>
              <w:rPr>
                <w:rFonts w:ascii="Times New Roman" w:hAnsi="Times New Roman" w:eastAsia="宋体"/>
                <w:szCs w:val="21"/>
              </w:rPr>
              <w:t>EDMS/</w:t>
            </w:r>
          </w:p>
          <w:p>
            <w:pPr>
              <w:spacing w:line="340" w:lineRule="exact"/>
              <w:jc w:val="center"/>
              <w:rPr>
                <w:rFonts w:ascii="Times New Roman" w:hAnsi="Times New Roman" w:eastAsia="宋体"/>
                <w:szCs w:val="21"/>
              </w:rPr>
            </w:pPr>
            <w:r>
              <w:rPr>
                <w:rFonts w:ascii="Times New Roman" w:hAnsi="Times New Roman" w:eastAsia="宋体"/>
                <w:szCs w:val="21"/>
              </w:rPr>
              <w:t>AEDT</w:t>
            </w:r>
            <w:r>
              <w:rPr>
                <w:rFonts w:hint="eastAsia" w:ascii="Times New Roman" w:hAnsi="Times New Roman" w:eastAsia="宋体"/>
                <w:szCs w:val="21"/>
              </w:rPr>
              <w:t>□</w:t>
            </w:r>
          </w:p>
        </w:tc>
        <w:tc>
          <w:tcPr>
            <w:tcW w:w="426" w:type="pct"/>
            <w:gridSpan w:val="6"/>
            <w:vAlign w:val="center"/>
          </w:tcPr>
          <w:p>
            <w:pPr>
              <w:spacing w:line="340" w:lineRule="exact"/>
              <w:jc w:val="center"/>
              <w:rPr>
                <w:rFonts w:ascii="Times New Roman" w:hAnsi="Times New Roman" w:eastAsia="宋体"/>
                <w:szCs w:val="21"/>
              </w:rPr>
            </w:pPr>
            <w:r>
              <w:rPr>
                <w:rFonts w:ascii="Times New Roman" w:hAnsi="Times New Roman" w:eastAsia="宋体"/>
                <w:szCs w:val="21"/>
              </w:rPr>
              <w:t>CALPUFF</w:t>
            </w:r>
            <w:r>
              <w:rPr>
                <w:rFonts w:hint="eastAsia" w:ascii="Times New Roman" w:hAnsi="Times New Roman" w:eastAsia="宋体"/>
                <w:szCs w:val="21"/>
              </w:rPr>
              <w:t>□</w:t>
            </w:r>
          </w:p>
        </w:tc>
        <w:tc>
          <w:tcPr>
            <w:tcW w:w="423" w:type="pct"/>
            <w:gridSpan w:val="2"/>
            <w:vAlign w:val="center"/>
          </w:tcPr>
          <w:p>
            <w:pPr>
              <w:spacing w:line="340" w:lineRule="exact"/>
              <w:jc w:val="center"/>
              <w:rPr>
                <w:rFonts w:ascii="Times New Roman" w:hAnsi="Times New Roman" w:eastAsia="宋体"/>
                <w:szCs w:val="21"/>
              </w:rPr>
            </w:pPr>
            <w:r>
              <w:rPr>
                <w:rFonts w:hint="eastAsia" w:ascii="Times New Roman" w:eastAsia="宋体"/>
                <w:szCs w:val="21"/>
              </w:rPr>
              <w:t>网络模型</w:t>
            </w:r>
            <w:r>
              <w:rPr>
                <w:rFonts w:hint="eastAsia" w:ascii="Times New Roman" w:hAnsi="Times New Roman" w:eastAsia="宋体"/>
                <w:szCs w:val="21"/>
              </w:rPr>
              <w:t>□</w:t>
            </w:r>
          </w:p>
        </w:tc>
        <w:tc>
          <w:tcPr>
            <w:tcW w:w="346" w:type="pct"/>
            <w:vAlign w:val="center"/>
          </w:tcPr>
          <w:p>
            <w:pPr>
              <w:spacing w:line="340" w:lineRule="exact"/>
              <w:jc w:val="center"/>
              <w:rPr>
                <w:rFonts w:ascii="Times New Roman" w:hAnsi="Times New Roman" w:eastAsia="宋体"/>
                <w:szCs w:val="21"/>
              </w:rPr>
            </w:pPr>
            <w:r>
              <w:rPr>
                <w:rFonts w:hint="eastAsia" w:ascii="Times New Roman" w:eastAsia="宋体"/>
                <w:szCs w:val="21"/>
              </w:rPr>
              <w:t>其他</w:t>
            </w:r>
            <w:r>
              <w:rPr>
                <w:rFonts w:hint="eastAsia" w:ascii="Times New Roman" w:hAnsi="Times New Roman" w:eastAsia="宋体"/>
                <w:szCs w:val="21"/>
              </w:rPr>
              <w:fldChar w:fldCharType="begin"/>
            </w:r>
            <w:r>
              <w:rPr>
                <w:rFonts w:hint="eastAsia" w:ascii="Times New Roman" w:hAnsi="Times New Roman" w:eastAsia="宋体"/>
                <w:szCs w:val="21"/>
              </w:rPr>
              <w:instrText xml:space="preserve"> eq \o\ac(□,</w:instrText>
            </w:r>
            <w:r>
              <w:rPr>
                <w:rFonts w:hint="eastAsia" w:ascii="Times New Roman" w:hAnsi="Times New Roman" w:eastAsia="宋体"/>
                <w:position w:val="2"/>
                <w:szCs w:val="21"/>
              </w:rPr>
              <w:instrText xml:space="preserve">√</w:instrText>
            </w:r>
            <w:r>
              <w:rPr>
                <w:rFonts w:hint="eastAsia" w:ascii="Times New Roman" w:hAnsi="Times New Roman" w:eastAsia="宋体"/>
                <w:szCs w:val="21"/>
              </w:rPr>
              <w:instrText xml:space="preserve">)</w:instrText>
            </w:r>
            <w:r>
              <w:rPr>
                <w:rFonts w:hint="eastAsia" w:ascii="Times New Roman" w:hAnsi="Times New Roman" w:eastAsia="宋体"/>
                <w:szCs w:val="21"/>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560" w:type="pct"/>
            <w:vMerge w:val="continue"/>
            <w:vAlign w:val="center"/>
          </w:tcPr>
          <w:p>
            <w:pPr>
              <w:widowControl/>
              <w:spacing w:line="340" w:lineRule="exact"/>
              <w:jc w:val="left"/>
              <w:rPr>
                <w:rFonts w:ascii="Times New Roman" w:hAnsi="Times New Roman" w:eastAsia="宋体"/>
                <w:szCs w:val="21"/>
              </w:rPr>
            </w:pPr>
          </w:p>
        </w:tc>
        <w:tc>
          <w:tcPr>
            <w:tcW w:w="1110" w:type="pct"/>
            <w:vAlign w:val="center"/>
          </w:tcPr>
          <w:p>
            <w:pPr>
              <w:spacing w:line="340" w:lineRule="exact"/>
              <w:jc w:val="center"/>
              <w:rPr>
                <w:rFonts w:ascii="Times New Roman" w:hAnsi="Times New Roman" w:eastAsia="宋体"/>
                <w:szCs w:val="21"/>
              </w:rPr>
            </w:pPr>
            <w:r>
              <w:rPr>
                <w:rFonts w:hint="eastAsia" w:ascii="Times New Roman" w:eastAsia="宋体"/>
                <w:szCs w:val="21"/>
              </w:rPr>
              <w:t>预测范围</w:t>
            </w:r>
          </w:p>
        </w:tc>
        <w:tc>
          <w:tcPr>
            <w:tcW w:w="1109" w:type="pct"/>
            <w:gridSpan w:val="6"/>
            <w:vAlign w:val="center"/>
          </w:tcPr>
          <w:p>
            <w:pPr>
              <w:spacing w:line="340" w:lineRule="exact"/>
              <w:jc w:val="center"/>
              <w:rPr>
                <w:rFonts w:ascii="Times New Roman" w:hAnsi="Times New Roman" w:eastAsia="宋体"/>
                <w:szCs w:val="21"/>
              </w:rPr>
            </w:pPr>
            <w:r>
              <w:rPr>
                <w:rFonts w:hint="eastAsia" w:ascii="Times New Roman" w:eastAsia="宋体"/>
                <w:szCs w:val="21"/>
              </w:rPr>
              <w:t>边长</w:t>
            </w:r>
            <w:r>
              <w:rPr>
                <w:rFonts w:hint="eastAsia" w:ascii="Times New Roman" w:hAnsi="Times New Roman" w:eastAsia="宋体"/>
                <w:szCs w:val="21"/>
              </w:rPr>
              <w:t>≥</w:t>
            </w:r>
            <w:r>
              <w:rPr>
                <w:rFonts w:ascii="Times New Roman" w:hAnsi="Times New Roman" w:eastAsia="宋体"/>
                <w:szCs w:val="21"/>
              </w:rPr>
              <w:t>50km</w:t>
            </w:r>
            <w:r>
              <w:rPr>
                <w:rFonts w:hint="eastAsia" w:ascii="Times New Roman" w:hAnsi="Times New Roman" w:eastAsia="宋体"/>
                <w:szCs w:val="21"/>
              </w:rPr>
              <w:t>□</w:t>
            </w:r>
          </w:p>
        </w:tc>
        <w:tc>
          <w:tcPr>
            <w:tcW w:w="1114" w:type="pct"/>
            <w:gridSpan w:val="10"/>
            <w:vAlign w:val="center"/>
          </w:tcPr>
          <w:p>
            <w:pPr>
              <w:spacing w:line="340" w:lineRule="exact"/>
              <w:jc w:val="center"/>
              <w:rPr>
                <w:rFonts w:ascii="Times New Roman" w:hAnsi="Times New Roman" w:eastAsia="宋体"/>
                <w:szCs w:val="21"/>
              </w:rPr>
            </w:pPr>
            <w:r>
              <w:rPr>
                <w:rFonts w:hint="eastAsia" w:ascii="Times New Roman" w:eastAsia="宋体"/>
                <w:szCs w:val="21"/>
              </w:rPr>
              <w:t>边长</w:t>
            </w:r>
            <w:r>
              <w:rPr>
                <w:rFonts w:ascii="Times New Roman" w:hAnsi="Times New Roman" w:eastAsia="宋体"/>
                <w:szCs w:val="21"/>
              </w:rPr>
              <w:t>5~50km</w:t>
            </w:r>
            <w:r>
              <w:rPr>
                <w:rFonts w:hint="eastAsia" w:ascii="Times New Roman" w:hAnsi="Times New Roman" w:eastAsia="宋体"/>
                <w:szCs w:val="21"/>
              </w:rPr>
              <w:t>□</w:t>
            </w:r>
          </w:p>
        </w:tc>
        <w:tc>
          <w:tcPr>
            <w:tcW w:w="1107" w:type="pct"/>
            <w:gridSpan w:val="7"/>
            <w:vAlign w:val="center"/>
          </w:tcPr>
          <w:p>
            <w:pPr>
              <w:spacing w:line="340" w:lineRule="exact"/>
              <w:jc w:val="center"/>
              <w:rPr>
                <w:rFonts w:ascii="Times New Roman" w:hAnsi="Times New Roman" w:eastAsia="宋体"/>
                <w:szCs w:val="21"/>
              </w:rPr>
            </w:pPr>
            <w:r>
              <w:rPr>
                <w:rFonts w:hint="eastAsia" w:ascii="Times New Roman" w:eastAsia="宋体"/>
                <w:szCs w:val="21"/>
              </w:rPr>
              <w:t>边长</w:t>
            </w:r>
            <w:r>
              <w:rPr>
                <w:rFonts w:ascii="Times New Roman" w:hAnsi="Times New Roman" w:eastAsia="宋体"/>
                <w:szCs w:val="21"/>
              </w:rPr>
              <w:t>=5km</w:t>
            </w:r>
            <w:r>
              <w:rPr>
                <w:rFonts w:hint="eastAsia" w:ascii="Times New Roman" w:hAnsi="Times New Roman" w:eastAsia="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560" w:type="pct"/>
            <w:vMerge w:val="continue"/>
            <w:vAlign w:val="center"/>
          </w:tcPr>
          <w:p>
            <w:pPr>
              <w:widowControl/>
              <w:spacing w:line="340" w:lineRule="exact"/>
              <w:jc w:val="left"/>
              <w:rPr>
                <w:rFonts w:ascii="Times New Roman" w:hAnsi="Times New Roman" w:eastAsia="宋体"/>
                <w:szCs w:val="21"/>
              </w:rPr>
            </w:pPr>
          </w:p>
        </w:tc>
        <w:tc>
          <w:tcPr>
            <w:tcW w:w="1110" w:type="pct"/>
            <w:vAlign w:val="center"/>
          </w:tcPr>
          <w:p>
            <w:pPr>
              <w:spacing w:line="340" w:lineRule="exact"/>
              <w:jc w:val="center"/>
              <w:rPr>
                <w:rFonts w:ascii="Times New Roman" w:hAnsi="Times New Roman" w:eastAsia="宋体"/>
                <w:szCs w:val="21"/>
              </w:rPr>
            </w:pPr>
            <w:r>
              <w:rPr>
                <w:rFonts w:hint="eastAsia" w:ascii="Times New Roman" w:eastAsia="宋体"/>
                <w:szCs w:val="21"/>
              </w:rPr>
              <w:t>预测因子</w:t>
            </w:r>
          </w:p>
        </w:tc>
        <w:tc>
          <w:tcPr>
            <w:tcW w:w="1856" w:type="pct"/>
            <w:gridSpan w:val="12"/>
            <w:vAlign w:val="center"/>
          </w:tcPr>
          <w:p>
            <w:pPr>
              <w:spacing w:line="340" w:lineRule="exact"/>
              <w:jc w:val="center"/>
              <w:rPr>
                <w:rFonts w:ascii="Times New Roman" w:hAnsi="Times New Roman" w:eastAsia="宋体"/>
                <w:szCs w:val="21"/>
              </w:rPr>
            </w:pPr>
            <w:r>
              <w:rPr>
                <w:rFonts w:hint="eastAsia" w:ascii="Times New Roman" w:eastAsia="宋体"/>
                <w:szCs w:val="21"/>
              </w:rPr>
              <w:t>预测因子（非甲烷总烃）</w:t>
            </w:r>
          </w:p>
        </w:tc>
        <w:tc>
          <w:tcPr>
            <w:tcW w:w="1474" w:type="pct"/>
            <w:gridSpan w:val="11"/>
            <w:vAlign w:val="center"/>
          </w:tcPr>
          <w:p>
            <w:pPr>
              <w:spacing w:line="340" w:lineRule="exact"/>
              <w:jc w:val="center"/>
              <w:rPr>
                <w:rFonts w:ascii="Times New Roman" w:hAnsi="Times New Roman" w:eastAsia="宋体"/>
                <w:szCs w:val="21"/>
                <w:vertAlign w:val="subscript"/>
              </w:rPr>
            </w:pPr>
            <w:r>
              <w:rPr>
                <w:rFonts w:hint="eastAsia" w:ascii="Times New Roman" w:eastAsia="宋体"/>
                <w:szCs w:val="21"/>
              </w:rPr>
              <w:t>包括二次</w:t>
            </w:r>
            <w:r>
              <w:rPr>
                <w:rFonts w:ascii="Times New Roman" w:hAnsi="Times New Roman" w:eastAsia="宋体"/>
                <w:szCs w:val="21"/>
              </w:rPr>
              <w:t>PM</w:t>
            </w:r>
            <w:r>
              <w:rPr>
                <w:rFonts w:ascii="Times New Roman" w:hAnsi="Times New Roman" w:eastAsia="宋体"/>
                <w:szCs w:val="21"/>
                <w:vertAlign w:val="subscript"/>
              </w:rPr>
              <w:t>2.5</w:t>
            </w:r>
            <w:r>
              <w:rPr>
                <w:rFonts w:hint="eastAsia" w:ascii="Times New Roman" w:hAnsi="Times New Roman" w:eastAsia="宋体"/>
                <w:szCs w:val="21"/>
              </w:rPr>
              <w:t>□</w:t>
            </w:r>
          </w:p>
          <w:p>
            <w:pPr>
              <w:spacing w:line="340" w:lineRule="exact"/>
              <w:jc w:val="center"/>
              <w:rPr>
                <w:rFonts w:ascii="Times New Roman" w:hAnsi="Times New Roman" w:eastAsia="宋体"/>
                <w:szCs w:val="21"/>
              </w:rPr>
            </w:pPr>
            <w:r>
              <w:rPr>
                <w:rFonts w:hint="eastAsia" w:ascii="Times New Roman" w:eastAsia="宋体"/>
                <w:szCs w:val="21"/>
              </w:rPr>
              <w:t>不包括二次</w:t>
            </w:r>
            <w:r>
              <w:rPr>
                <w:rFonts w:ascii="Times New Roman" w:hAnsi="Times New Roman" w:eastAsia="宋体"/>
                <w:szCs w:val="21"/>
              </w:rPr>
              <w:t>PM</w:t>
            </w:r>
            <w:r>
              <w:rPr>
                <w:rFonts w:ascii="Times New Roman" w:hAnsi="Times New Roman" w:eastAsia="宋体"/>
                <w:szCs w:val="21"/>
                <w:vertAlign w:val="subscript"/>
              </w:rPr>
              <w:t>2.5</w:t>
            </w:r>
            <w:r>
              <w:rPr>
                <w:rFonts w:hint="eastAsia" w:ascii="Times New Roman" w:hAnsi="Times New Roman" w:eastAsia="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560" w:type="pct"/>
            <w:vMerge w:val="continue"/>
            <w:vAlign w:val="center"/>
          </w:tcPr>
          <w:p>
            <w:pPr>
              <w:widowControl/>
              <w:spacing w:line="340" w:lineRule="exact"/>
              <w:jc w:val="left"/>
              <w:rPr>
                <w:rFonts w:ascii="Times New Roman" w:hAnsi="Times New Roman" w:eastAsia="宋体"/>
                <w:szCs w:val="21"/>
              </w:rPr>
            </w:pPr>
          </w:p>
        </w:tc>
        <w:tc>
          <w:tcPr>
            <w:tcW w:w="1110" w:type="pct"/>
            <w:vAlign w:val="center"/>
          </w:tcPr>
          <w:p>
            <w:pPr>
              <w:spacing w:line="340" w:lineRule="exact"/>
              <w:jc w:val="center"/>
              <w:rPr>
                <w:rFonts w:ascii="Times New Roman" w:hAnsi="Times New Roman" w:eastAsia="宋体"/>
                <w:szCs w:val="21"/>
              </w:rPr>
            </w:pPr>
            <w:r>
              <w:rPr>
                <w:rFonts w:hint="eastAsia" w:ascii="Times New Roman" w:eastAsia="宋体"/>
                <w:szCs w:val="21"/>
              </w:rPr>
              <w:t>正常排放短期浓度</w:t>
            </w:r>
          </w:p>
          <w:p>
            <w:pPr>
              <w:spacing w:line="340" w:lineRule="exact"/>
              <w:jc w:val="center"/>
              <w:rPr>
                <w:rFonts w:ascii="Times New Roman" w:hAnsi="Times New Roman" w:eastAsia="宋体"/>
                <w:szCs w:val="21"/>
              </w:rPr>
            </w:pPr>
            <w:r>
              <w:rPr>
                <w:rFonts w:hint="eastAsia" w:ascii="Times New Roman" w:eastAsia="宋体"/>
                <w:szCs w:val="21"/>
              </w:rPr>
              <w:t>贡献值</w:t>
            </w:r>
          </w:p>
        </w:tc>
        <w:tc>
          <w:tcPr>
            <w:tcW w:w="1856" w:type="pct"/>
            <w:gridSpan w:val="12"/>
            <w:vAlign w:val="center"/>
          </w:tcPr>
          <w:p>
            <w:pPr>
              <w:spacing w:line="340" w:lineRule="exact"/>
              <w:jc w:val="center"/>
              <w:rPr>
                <w:rFonts w:ascii="Times New Roman" w:hAnsi="Times New Roman" w:eastAsia="宋体"/>
                <w:szCs w:val="21"/>
              </w:rPr>
            </w:pPr>
            <w:r>
              <w:rPr>
                <w:rFonts w:ascii="Times New Roman" w:hAnsi="Times New Roman" w:eastAsia="宋体"/>
                <w:szCs w:val="21"/>
              </w:rPr>
              <w:t>C</w:t>
            </w:r>
            <w:r>
              <w:rPr>
                <w:rFonts w:hint="eastAsia" w:ascii="Times New Roman" w:eastAsia="宋体"/>
                <w:szCs w:val="21"/>
                <w:vertAlign w:val="subscript"/>
              </w:rPr>
              <w:t>本项目</w:t>
            </w:r>
            <w:r>
              <w:rPr>
                <w:rFonts w:hint="eastAsia" w:ascii="Times New Roman" w:eastAsia="宋体"/>
                <w:szCs w:val="21"/>
              </w:rPr>
              <w:t>最大占标率</w:t>
            </w:r>
            <w:r>
              <w:rPr>
                <w:rFonts w:hint="eastAsia" w:ascii="Times New Roman" w:hAnsi="Times New Roman" w:eastAsia="宋体"/>
                <w:szCs w:val="21"/>
              </w:rPr>
              <w:t>≤</w:t>
            </w:r>
            <w:r>
              <w:rPr>
                <w:rFonts w:ascii="Times New Roman" w:hAnsi="Times New Roman" w:eastAsia="宋体"/>
                <w:szCs w:val="21"/>
              </w:rPr>
              <w:t>100%</w:t>
            </w:r>
            <w:r>
              <w:rPr>
                <w:rFonts w:hint="eastAsia" w:ascii="Times New Roman" w:hAnsi="Times New Roman" w:eastAsia="宋体"/>
                <w:szCs w:val="21"/>
              </w:rPr>
              <w:t>□</w:t>
            </w:r>
          </w:p>
        </w:tc>
        <w:tc>
          <w:tcPr>
            <w:tcW w:w="1474" w:type="pct"/>
            <w:gridSpan w:val="11"/>
            <w:vAlign w:val="center"/>
          </w:tcPr>
          <w:p>
            <w:pPr>
              <w:spacing w:line="340" w:lineRule="exact"/>
              <w:jc w:val="center"/>
              <w:rPr>
                <w:rFonts w:ascii="Times New Roman" w:hAnsi="Times New Roman" w:eastAsia="宋体"/>
                <w:szCs w:val="21"/>
              </w:rPr>
            </w:pPr>
            <w:r>
              <w:rPr>
                <w:rFonts w:ascii="Times New Roman" w:hAnsi="Times New Roman" w:eastAsia="宋体"/>
                <w:szCs w:val="21"/>
              </w:rPr>
              <w:t>C</w:t>
            </w:r>
            <w:r>
              <w:rPr>
                <w:rFonts w:hint="eastAsia" w:ascii="Times New Roman" w:eastAsia="宋体"/>
                <w:szCs w:val="21"/>
                <w:vertAlign w:val="subscript"/>
              </w:rPr>
              <w:t>本项目</w:t>
            </w:r>
            <w:r>
              <w:rPr>
                <w:rFonts w:hint="eastAsia" w:ascii="Times New Roman" w:eastAsia="宋体"/>
                <w:szCs w:val="21"/>
              </w:rPr>
              <w:t>最大占标率＞</w:t>
            </w:r>
            <w:r>
              <w:rPr>
                <w:rFonts w:ascii="Times New Roman" w:hAnsi="Times New Roman" w:eastAsia="宋体"/>
                <w:szCs w:val="21"/>
              </w:rPr>
              <w:t>100%</w:t>
            </w:r>
            <w:r>
              <w:rPr>
                <w:rFonts w:hint="eastAsia" w:ascii="Times New Roman" w:hAnsi="Times New Roman" w:eastAsia="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560" w:type="pct"/>
            <w:vMerge w:val="continue"/>
            <w:vAlign w:val="center"/>
          </w:tcPr>
          <w:p>
            <w:pPr>
              <w:widowControl/>
              <w:spacing w:line="340" w:lineRule="exact"/>
              <w:jc w:val="left"/>
              <w:rPr>
                <w:rFonts w:ascii="Times New Roman" w:hAnsi="Times New Roman" w:eastAsia="宋体"/>
                <w:szCs w:val="21"/>
              </w:rPr>
            </w:pPr>
          </w:p>
        </w:tc>
        <w:tc>
          <w:tcPr>
            <w:tcW w:w="1110" w:type="pct"/>
            <w:vMerge w:val="restart"/>
            <w:vAlign w:val="center"/>
          </w:tcPr>
          <w:p>
            <w:pPr>
              <w:spacing w:line="340" w:lineRule="exact"/>
              <w:jc w:val="center"/>
              <w:rPr>
                <w:rFonts w:ascii="Times New Roman" w:hAnsi="Times New Roman" w:eastAsia="宋体"/>
                <w:szCs w:val="21"/>
              </w:rPr>
            </w:pPr>
            <w:r>
              <w:rPr>
                <w:rFonts w:hint="eastAsia" w:ascii="Times New Roman" w:eastAsia="宋体"/>
                <w:szCs w:val="21"/>
              </w:rPr>
              <w:t>正常排放年均浓度</w:t>
            </w:r>
          </w:p>
          <w:p>
            <w:pPr>
              <w:spacing w:line="340" w:lineRule="exact"/>
              <w:jc w:val="center"/>
              <w:rPr>
                <w:rFonts w:ascii="Times New Roman" w:hAnsi="Times New Roman" w:eastAsia="宋体"/>
                <w:szCs w:val="21"/>
              </w:rPr>
            </w:pPr>
            <w:r>
              <w:rPr>
                <w:rFonts w:hint="eastAsia" w:ascii="Times New Roman" w:eastAsia="宋体"/>
                <w:szCs w:val="21"/>
              </w:rPr>
              <w:t>贡献值</w:t>
            </w:r>
          </w:p>
        </w:tc>
        <w:tc>
          <w:tcPr>
            <w:tcW w:w="439" w:type="pct"/>
            <w:vAlign w:val="center"/>
          </w:tcPr>
          <w:p>
            <w:pPr>
              <w:spacing w:line="340" w:lineRule="exact"/>
              <w:jc w:val="center"/>
              <w:rPr>
                <w:rFonts w:ascii="Times New Roman" w:hAnsi="Times New Roman" w:eastAsia="宋体"/>
                <w:szCs w:val="21"/>
              </w:rPr>
            </w:pPr>
            <w:r>
              <w:rPr>
                <w:rFonts w:hint="eastAsia" w:ascii="Times New Roman" w:eastAsia="宋体"/>
                <w:szCs w:val="21"/>
              </w:rPr>
              <w:t>一类区</w:t>
            </w:r>
          </w:p>
        </w:tc>
        <w:tc>
          <w:tcPr>
            <w:tcW w:w="1418" w:type="pct"/>
            <w:gridSpan w:val="11"/>
            <w:vAlign w:val="center"/>
          </w:tcPr>
          <w:p>
            <w:pPr>
              <w:spacing w:line="340" w:lineRule="exact"/>
              <w:jc w:val="center"/>
              <w:rPr>
                <w:rFonts w:ascii="Times New Roman" w:hAnsi="Times New Roman" w:eastAsia="宋体"/>
                <w:szCs w:val="21"/>
              </w:rPr>
            </w:pPr>
            <w:r>
              <w:rPr>
                <w:rFonts w:ascii="Times New Roman" w:hAnsi="Times New Roman" w:eastAsia="宋体"/>
                <w:szCs w:val="21"/>
              </w:rPr>
              <w:t>C</w:t>
            </w:r>
            <w:r>
              <w:rPr>
                <w:rFonts w:hint="eastAsia" w:ascii="Times New Roman" w:eastAsia="宋体"/>
                <w:szCs w:val="21"/>
                <w:vertAlign w:val="subscript"/>
              </w:rPr>
              <w:t>本项目</w:t>
            </w:r>
            <w:r>
              <w:rPr>
                <w:rFonts w:hint="eastAsia" w:ascii="Times New Roman" w:eastAsia="宋体"/>
                <w:szCs w:val="21"/>
              </w:rPr>
              <w:t>最大占标率</w:t>
            </w:r>
            <w:r>
              <w:rPr>
                <w:rFonts w:hint="eastAsia" w:ascii="Times New Roman" w:hAnsi="Times New Roman" w:eastAsia="宋体"/>
                <w:szCs w:val="21"/>
              </w:rPr>
              <w:t>≤</w:t>
            </w:r>
            <w:r>
              <w:rPr>
                <w:rFonts w:ascii="Times New Roman" w:hAnsi="Times New Roman" w:eastAsia="宋体"/>
                <w:szCs w:val="21"/>
              </w:rPr>
              <w:t>10%</w:t>
            </w:r>
            <w:r>
              <w:rPr>
                <w:rFonts w:hint="eastAsia" w:ascii="Times New Roman" w:hAnsi="Times New Roman" w:eastAsia="宋体"/>
                <w:szCs w:val="21"/>
              </w:rPr>
              <w:t>□</w:t>
            </w:r>
          </w:p>
        </w:tc>
        <w:tc>
          <w:tcPr>
            <w:tcW w:w="1474" w:type="pct"/>
            <w:gridSpan w:val="11"/>
            <w:vAlign w:val="center"/>
          </w:tcPr>
          <w:p>
            <w:pPr>
              <w:spacing w:line="340" w:lineRule="exact"/>
              <w:jc w:val="center"/>
              <w:rPr>
                <w:rFonts w:ascii="Times New Roman" w:hAnsi="Times New Roman" w:eastAsia="宋体"/>
                <w:szCs w:val="21"/>
              </w:rPr>
            </w:pPr>
            <w:r>
              <w:rPr>
                <w:rFonts w:ascii="Times New Roman" w:hAnsi="Times New Roman" w:eastAsia="宋体"/>
                <w:szCs w:val="21"/>
              </w:rPr>
              <w:t>C</w:t>
            </w:r>
            <w:r>
              <w:rPr>
                <w:rFonts w:hint="eastAsia" w:ascii="Times New Roman" w:eastAsia="宋体"/>
                <w:szCs w:val="21"/>
                <w:vertAlign w:val="subscript"/>
              </w:rPr>
              <w:t>本项目</w:t>
            </w:r>
            <w:r>
              <w:rPr>
                <w:rFonts w:hint="eastAsia" w:ascii="Times New Roman" w:eastAsia="宋体"/>
                <w:szCs w:val="21"/>
              </w:rPr>
              <w:t>最大占标率＞</w:t>
            </w:r>
            <w:r>
              <w:rPr>
                <w:rFonts w:ascii="Times New Roman" w:hAnsi="Times New Roman" w:eastAsia="宋体"/>
                <w:szCs w:val="21"/>
              </w:rPr>
              <w:t>10%</w:t>
            </w:r>
            <w:r>
              <w:rPr>
                <w:rFonts w:hint="eastAsia" w:ascii="Times New Roman" w:hAnsi="Times New Roman" w:eastAsia="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560" w:type="pct"/>
            <w:vMerge w:val="continue"/>
            <w:vAlign w:val="center"/>
          </w:tcPr>
          <w:p>
            <w:pPr>
              <w:widowControl/>
              <w:spacing w:line="340" w:lineRule="exact"/>
              <w:jc w:val="left"/>
              <w:rPr>
                <w:rFonts w:ascii="Times New Roman" w:hAnsi="Times New Roman" w:eastAsia="宋体"/>
                <w:szCs w:val="21"/>
              </w:rPr>
            </w:pPr>
          </w:p>
        </w:tc>
        <w:tc>
          <w:tcPr>
            <w:tcW w:w="1110" w:type="pct"/>
            <w:vMerge w:val="continue"/>
            <w:vAlign w:val="center"/>
          </w:tcPr>
          <w:p>
            <w:pPr>
              <w:widowControl/>
              <w:spacing w:line="340" w:lineRule="exact"/>
              <w:jc w:val="center"/>
              <w:rPr>
                <w:rFonts w:ascii="Times New Roman" w:hAnsi="Times New Roman" w:eastAsia="宋体"/>
                <w:szCs w:val="21"/>
              </w:rPr>
            </w:pPr>
          </w:p>
        </w:tc>
        <w:tc>
          <w:tcPr>
            <w:tcW w:w="439" w:type="pct"/>
            <w:vAlign w:val="center"/>
          </w:tcPr>
          <w:p>
            <w:pPr>
              <w:spacing w:line="340" w:lineRule="exact"/>
              <w:jc w:val="center"/>
              <w:rPr>
                <w:rFonts w:ascii="Times New Roman" w:hAnsi="Times New Roman" w:eastAsia="宋体"/>
                <w:szCs w:val="21"/>
              </w:rPr>
            </w:pPr>
            <w:r>
              <w:rPr>
                <w:rFonts w:hint="eastAsia" w:ascii="Times New Roman" w:eastAsia="宋体"/>
                <w:szCs w:val="21"/>
              </w:rPr>
              <w:t>二类区</w:t>
            </w:r>
          </w:p>
        </w:tc>
        <w:tc>
          <w:tcPr>
            <w:tcW w:w="1418" w:type="pct"/>
            <w:gridSpan w:val="11"/>
            <w:vAlign w:val="center"/>
          </w:tcPr>
          <w:p>
            <w:pPr>
              <w:spacing w:line="340" w:lineRule="exact"/>
              <w:jc w:val="center"/>
              <w:rPr>
                <w:rFonts w:ascii="Times New Roman" w:hAnsi="Times New Roman" w:eastAsia="宋体"/>
                <w:szCs w:val="21"/>
              </w:rPr>
            </w:pPr>
            <w:r>
              <w:rPr>
                <w:rFonts w:ascii="Times New Roman" w:hAnsi="Times New Roman" w:eastAsia="宋体"/>
                <w:szCs w:val="21"/>
              </w:rPr>
              <w:t>C</w:t>
            </w:r>
            <w:r>
              <w:rPr>
                <w:rFonts w:hint="eastAsia" w:ascii="Times New Roman" w:eastAsia="宋体"/>
                <w:szCs w:val="21"/>
                <w:vertAlign w:val="subscript"/>
              </w:rPr>
              <w:t>本项目</w:t>
            </w:r>
            <w:r>
              <w:rPr>
                <w:rFonts w:hint="eastAsia" w:ascii="Times New Roman" w:eastAsia="宋体"/>
                <w:szCs w:val="21"/>
              </w:rPr>
              <w:t>最大占标率</w:t>
            </w:r>
            <w:r>
              <w:rPr>
                <w:rFonts w:hint="eastAsia" w:ascii="Times New Roman" w:hAnsi="Times New Roman" w:eastAsia="宋体"/>
                <w:szCs w:val="21"/>
              </w:rPr>
              <w:t>≤</w:t>
            </w:r>
            <w:r>
              <w:rPr>
                <w:rFonts w:ascii="Times New Roman" w:hAnsi="Times New Roman" w:eastAsia="宋体"/>
                <w:szCs w:val="21"/>
              </w:rPr>
              <w:t>30%</w:t>
            </w:r>
            <w:r>
              <w:rPr>
                <w:rFonts w:hint="eastAsia" w:ascii="Times New Roman" w:hAnsi="Times New Roman" w:eastAsia="宋体"/>
                <w:szCs w:val="21"/>
              </w:rPr>
              <w:t>□</w:t>
            </w:r>
          </w:p>
        </w:tc>
        <w:tc>
          <w:tcPr>
            <w:tcW w:w="1474" w:type="pct"/>
            <w:gridSpan w:val="11"/>
            <w:vAlign w:val="center"/>
          </w:tcPr>
          <w:p>
            <w:pPr>
              <w:spacing w:line="340" w:lineRule="exact"/>
              <w:jc w:val="center"/>
              <w:rPr>
                <w:rFonts w:ascii="Times New Roman" w:hAnsi="Times New Roman" w:eastAsia="宋体"/>
                <w:szCs w:val="21"/>
              </w:rPr>
            </w:pPr>
            <w:r>
              <w:rPr>
                <w:rFonts w:ascii="Times New Roman" w:hAnsi="Times New Roman" w:eastAsia="宋体"/>
                <w:szCs w:val="21"/>
              </w:rPr>
              <w:t>C</w:t>
            </w:r>
            <w:r>
              <w:rPr>
                <w:rFonts w:hint="eastAsia" w:ascii="Times New Roman" w:eastAsia="宋体"/>
                <w:szCs w:val="21"/>
                <w:vertAlign w:val="subscript"/>
              </w:rPr>
              <w:t>本项目</w:t>
            </w:r>
            <w:r>
              <w:rPr>
                <w:rFonts w:hint="eastAsia" w:ascii="Times New Roman" w:eastAsia="宋体"/>
                <w:szCs w:val="21"/>
              </w:rPr>
              <w:t>最大占标率＞</w:t>
            </w:r>
            <w:r>
              <w:rPr>
                <w:rFonts w:ascii="Times New Roman" w:hAnsi="Times New Roman" w:eastAsia="宋体"/>
                <w:szCs w:val="21"/>
              </w:rPr>
              <w:t>30%</w:t>
            </w:r>
            <w:r>
              <w:rPr>
                <w:rFonts w:hint="eastAsia" w:ascii="Times New Roman" w:hAnsi="Times New Roman" w:eastAsia="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560" w:type="pct"/>
            <w:vMerge w:val="continue"/>
            <w:vAlign w:val="center"/>
          </w:tcPr>
          <w:p>
            <w:pPr>
              <w:widowControl/>
              <w:spacing w:line="340" w:lineRule="exact"/>
              <w:jc w:val="left"/>
              <w:rPr>
                <w:rFonts w:ascii="Times New Roman" w:hAnsi="Times New Roman" w:eastAsia="宋体"/>
                <w:szCs w:val="21"/>
              </w:rPr>
            </w:pPr>
          </w:p>
        </w:tc>
        <w:tc>
          <w:tcPr>
            <w:tcW w:w="1110" w:type="pct"/>
            <w:vAlign w:val="center"/>
          </w:tcPr>
          <w:p>
            <w:pPr>
              <w:spacing w:line="340" w:lineRule="exact"/>
              <w:jc w:val="center"/>
              <w:rPr>
                <w:rFonts w:ascii="Times New Roman" w:hAnsi="Times New Roman" w:eastAsia="宋体"/>
                <w:szCs w:val="21"/>
              </w:rPr>
            </w:pPr>
            <w:r>
              <w:rPr>
                <w:rFonts w:hint="eastAsia" w:ascii="Times New Roman" w:eastAsia="宋体"/>
                <w:szCs w:val="21"/>
              </w:rPr>
              <w:t>非正常排放</w:t>
            </w:r>
            <w:r>
              <w:rPr>
                <w:rFonts w:ascii="Times New Roman" w:hAnsi="Times New Roman" w:eastAsia="宋体"/>
                <w:szCs w:val="21"/>
              </w:rPr>
              <w:t>1h</w:t>
            </w:r>
            <w:r>
              <w:rPr>
                <w:rFonts w:hint="eastAsia" w:ascii="Times New Roman" w:eastAsia="宋体"/>
                <w:szCs w:val="21"/>
              </w:rPr>
              <w:t>浓度</w:t>
            </w:r>
          </w:p>
          <w:p>
            <w:pPr>
              <w:spacing w:line="340" w:lineRule="exact"/>
              <w:jc w:val="center"/>
              <w:rPr>
                <w:rFonts w:ascii="Times New Roman" w:hAnsi="Times New Roman" w:eastAsia="宋体"/>
                <w:szCs w:val="21"/>
              </w:rPr>
            </w:pPr>
            <w:r>
              <w:rPr>
                <w:rFonts w:hint="eastAsia" w:ascii="Times New Roman" w:eastAsia="宋体"/>
                <w:szCs w:val="21"/>
              </w:rPr>
              <w:t>贡献值</w:t>
            </w:r>
          </w:p>
        </w:tc>
        <w:tc>
          <w:tcPr>
            <w:tcW w:w="1109" w:type="pct"/>
            <w:gridSpan w:val="6"/>
            <w:vAlign w:val="center"/>
          </w:tcPr>
          <w:p>
            <w:pPr>
              <w:spacing w:line="340" w:lineRule="exact"/>
              <w:jc w:val="center"/>
              <w:rPr>
                <w:rFonts w:ascii="Times New Roman" w:hAnsi="Times New Roman" w:eastAsia="宋体"/>
                <w:szCs w:val="21"/>
              </w:rPr>
            </w:pPr>
            <w:r>
              <w:rPr>
                <w:rFonts w:hint="eastAsia" w:ascii="Times New Roman" w:eastAsia="宋体"/>
                <w:szCs w:val="21"/>
              </w:rPr>
              <w:t>非正常持续时长（</w:t>
            </w:r>
            <w:r>
              <w:rPr>
                <w:rFonts w:ascii="Times New Roman" w:hAnsi="Times New Roman" w:eastAsia="宋体"/>
                <w:szCs w:val="21"/>
              </w:rPr>
              <w:t>/</w:t>
            </w:r>
            <w:r>
              <w:rPr>
                <w:rFonts w:hint="eastAsia" w:ascii="Times New Roman" w:eastAsia="宋体"/>
                <w:szCs w:val="21"/>
              </w:rPr>
              <w:t>）</w:t>
            </w:r>
            <w:r>
              <w:rPr>
                <w:rFonts w:ascii="Times New Roman" w:hAnsi="Times New Roman" w:eastAsia="宋体"/>
                <w:szCs w:val="21"/>
              </w:rPr>
              <w:t>h</w:t>
            </w:r>
          </w:p>
        </w:tc>
        <w:tc>
          <w:tcPr>
            <w:tcW w:w="1114" w:type="pct"/>
            <w:gridSpan w:val="10"/>
            <w:vAlign w:val="center"/>
          </w:tcPr>
          <w:p>
            <w:pPr>
              <w:spacing w:line="340" w:lineRule="exact"/>
              <w:jc w:val="center"/>
              <w:rPr>
                <w:rFonts w:ascii="Times New Roman" w:hAnsi="Times New Roman" w:eastAsia="宋体"/>
                <w:szCs w:val="21"/>
              </w:rPr>
            </w:pPr>
            <w:r>
              <w:rPr>
                <w:rFonts w:ascii="Times New Roman" w:hAnsi="Times New Roman" w:eastAsia="宋体"/>
                <w:szCs w:val="21"/>
              </w:rPr>
              <w:t>C</w:t>
            </w:r>
            <w:r>
              <w:rPr>
                <w:rFonts w:hint="eastAsia" w:ascii="Times New Roman" w:eastAsia="宋体"/>
                <w:szCs w:val="21"/>
                <w:vertAlign w:val="subscript"/>
              </w:rPr>
              <w:t>非正常</w:t>
            </w:r>
            <w:r>
              <w:rPr>
                <w:rFonts w:hint="eastAsia" w:ascii="Times New Roman" w:eastAsia="宋体"/>
                <w:szCs w:val="21"/>
              </w:rPr>
              <w:t>最大占标率</w:t>
            </w:r>
            <w:r>
              <w:rPr>
                <w:rFonts w:hint="eastAsia" w:ascii="Times New Roman" w:hAnsi="Times New Roman" w:eastAsia="宋体"/>
                <w:szCs w:val="21"/>
              </w:rPr>
              <w:t>≤</w:t>
            </w:r>
            <w:r>
              <w:rPr>
                <w:rFonts w:ascii="Times New Roman" w:hAnsi="Times New Roman" w:eastAsia="宋体"/>
                <w:szCs w:val="21"/>
              </w:rPr>
              <w:t>100%</w:t>
            </w:r>
            <w:r>
              <w:rPr>
                <w:rFonts w:hint="eastAsia" w:ascii="Times New Roman" w:hAnsi="Times New Roman" w:eastAsia="宋体"/>
                <w:szCs w:val="21"/>
              </w:rPr>
              <w:t>□</w:t>
            </w:r>
          </w:p>
        </w:tc>
        <w:tc>
          <w:tcPr>
            <w:tcW w:w="1107" w:type="pct"/>
            <w:gridSpan w:val="7"/>
            <w:vAlign w:val="center"/>
          </w:tcPr>
          <w:p>
            <w:pPr>
              <w:spacing w:line="340" w:lineRule="exact"/>
              <w:jc w:val="center"/>
              <w:rPr>
                <w:rFonts w:ascii="Times New Roman" w:hAnsi="Times New Roman" w:eastAsia="宋体"/>
                <w:szCs w:val="21"/>
              </w:rPr>
            </w:pPr>
            <w:r>
              <w:rPr>
                <w:rFonts w:ascii="Times New Roman" w:hAnsi="Times New Roman" w:eastAsia="宋体"/>
                <w:szCs w:val="21"/>
              </w:rPr>
              <w:t>C</w:t>
            </w:r>
            <w:r>
              <w:rPr>
                <w:rFonts w:hint="eastAsia" w:ascii="Times New Roman" w:eastAsia="宋体"/>
                <w:szCs w:val="21"/>
                <w:vertAlign w:val="subscript"/>
              </w:rPr>
              <w:t>非正常</w:t>
            </w:r>
            <w:r>
              <w:rPr>
                <w:rFonts w:hint="eastAsia" w:ascii="Times New Roman" w:eastAsia="宋体"/>
                <w:szCs w:val="21"/>
              </w:rPr>
              <w:t>最大占标率＞</w:t>
            </w:r>
            <w:r>
              <w:rPr>
                <w:rFonts w:ascii="Times New Roman" w:hAnsi="Times New Roman" w:eastAsia="宋体"/>
                <w:szCs w:val="21"/>
              </w:rPr>
              <w:t>100%</w:t>
            </w:r>
            <w:r>
              <w:rPr>
                <w:rFonts w:hint="eastAsia" w:ascii="Times New Roman" w:hAnsi="Times New Roman" w:eastAsia="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560" w:type="pct"/>
            <w:vMerge w:val="continue"/>
            <w:vAlign w:val="center"/>
          </w:tcPr>
          <w:p>
            <w:pPr>
              <w:widowControl/>
              <w:spacing w:line="340" w:lineRule="exact"/>
              <w:jc w:val="left"/>
              <w:rPr>
                <w:rFonts w:ascii="Times New Roman" w:hAnsi="Times New Roman" w:eastAsia="宋体"/>
                <w:szCs w:val="21"/>
              </w:rPr>
            </w:pPr>
          </w:p>
        </w:tc>
        <w:tc>
          <w:tcPr>
            <w:tcW w:w="1110" w:type="pct"/>
            <w:vAlign w:val="center"/>
          </w:tcPr>
          <w:p>
            <w:pPr>
              <w:spacing w:line="340" w:lineRule="exact"/>
              <w:jc w:val="center"/>
              <w:rPr>
                <w:rFonts w:ascii="Times New Roman" w:hAnsi="Times New Roman" w:eastAsia="宋体"/>
                <w:szCs w:val="21"/>
              </w:rPr>
            </w:pPr>
            <w:r>
              <w:rPr>
                <w:rFonts w:hint="eastAsia" w:ascii="Times New Roman" w:eastAsia="宋体"/>
                <w:szCs w:val="21"/>
              </w:rPr>
              <w:t>保证率日平均浓度和年平均浓度叠加值</w:t>
            </w:r>
          </w:p>
        </w:tc>
        <w:tc>
          <w:tcPr>
            <w:tcW w:w="1665" w:type="pct"/>
            <w:gridSpan w:val="10"/>
            <w:vAlign w:val="center"/>
          </w:tcPr>
          <w:p>
            <w:pPr>
              <w:spacing w:line="340" w:lineRule="exact"/>
              <w:jc w:val="center"/>
              <w:rPr>
                <w:rFonts w:ascii="Times New Roman" w:hAnsi="Times New Roman" w:eastAsia="宋体"/>
                <w:szCs w:val="21"/>
              </w:rPr>
            </w:pPr>
            <w:r>
              <w:rPr>
                <w:rFonts w:ascii="Times New Roman" w:hAnsi="Times New Roman" w:eastAsia="宋体"/>
                <w:szCs w:val="21"/>
              </w:rPr>
              <w:t>C</w:t>
            </w:r>
            <w:r>
              <w:rPr>
                <w:rFonts w:hint="eastAsia" w:ascii="Times New Roman" w:eastAsia="宋体"/>
                <w:szCs w:val="21"/>
                <w:vertAlign w:val="subscript"/>
              </w:rPr>
              <w:t>叠加</w:t>
            </w:r>
            <w:r>
              <w:rPr>
                <w:rFonts w:hint="eastAsia" w:ascii="Times New Roman" w:eastAsia="宋体"/>
                <w:szCs w:val="21"/>
              </w:rPr>
              <w:t>达标</w:t>
            </w:r>
            <w:r>
              <w:rPr>
                <w:rFonts w:hint="eastAsia" w:ascii="Times New Roman" w:hAnsi="Times New Roman" w:eastAsia="宋体"/>
                <w:szCs w:val="21"/>
              </w:rPr>
              <w:t>□</w:t>
            </w:r>
          </w:p>
        </w:tc>
        <w:tc>
          <w:tcPr>
            <w:tcW w:w="1666" w:type="pct"/>
            <w:gridSpan w:val="13"/>
            <w:vAlign w:val="center"/>
          </w:tcPr>
          <w:p>
            <w:pPr>
              <w:spacing w:line="340" w:lineRule="exact"/>
              <w:jc w:val="center"/>
              <w:rPr>
                <w:rFonts w:ascii="Times New Roman" w:hAnsi="Times New Roman" w:eastAsia="宋体"/>
                <w:szCs w:val="21"/>
              </w:rPr>
            </w:pPr>
            <w:r>
              <w:rPr>
                <w:rFonts w:ascii="Times New Roman" w:hAnsi="Times New Roman" w:eastAsia="宋体"/>
                <w:szCs w:val="21"/>
              </w:rPr>
              <w:t>C</w:t>
            </w:r>
            <w:r>
              <w:rPr>
                <w:rFonts w:hint="eastAsia" w:ascii="Times New Roman" w:eastAsia="宋体"/>
                <w:szCs w:val="21"/>
                <w:vertAlign w:val="subscript"/>
              </w:rPr>
              <w:t>叠加</w:t>
            </w:r>
            <w:r>
              <w:rPr>
                <w:rFonts w:hint="eastAsia" w:ascii="Times New Roman" w:eastAsia="宋体"/>
                <w:szCs w:val="21"/>
              </w:rPr>
              <w:t>不达标</w:t>
            </w:r>
            <w:r>
              <w:rPr>
                <w:rFonts w:hint="eastAsia" w:ascii="Times New Roman" w:hAnsi="Times New Roman" w:eastAsia="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560" w:type="pct"/>
            <w:vMerge w:val="continue"/>
            <w:vAlign w:val="center"/>
          </w:tcPr>
          <w:p>
            <w:pPr>
              <w:widowControl/>
              <w:spacing w:line="340" w:lineRule="exact"/>
              <w:jc w:val="left"/>
              <w:rPr>
                <w:rFonts w:ascii="Times New Roman" w:hAnsi="Times New Roman" w:eastAsia="宋体"/>
                <w:szCs w:val="21"/>
              </w:rPr>
            </w:pPr>
          </w:p>
        </w:tc>
        <w:tc>
          <w:tcPr>
            <w:tcW w:w="1110" w:type="pct"/>
            <w:vAlign w:val="center"/>
          </w:tcPr>
          <w:p>
            <w:pPr>
              <w:spacing w:line="340" w:lineRule="exact"/>
              <w:jc w:val="center"/>
              <w:rPr>
                <w:rFonts w:ascii="Times New Roman" w:hAnsi="Times New Roman" w:eastAsia="宋体"/>
                <w:szCs w:val="21"/>
              </w:rPr>
            </w:pPr>
            <w:r>
              <w:rPr>
                <w:rFonts w:hint="eastAsia" w:ascii="Times New Roman" w:eastAsia="宋体"/>
                <w:szCs w:val="21"/>
              </w:rPr>
              <w:t>区域环境质量的整体变化情况</w:t>
            </w:r>
          </w:p>
        </w:tc>
        <w:tc>
          <w:tcPr>
            <w:tcW w:w="1665" w:type="pct"/>
            <w:gridSpan w:val="10"/>
            <w:vAlign w:val="center"/>
          </w:tcPr>
          <w:p>
            <w:pPr>
              <w:spacing w:line="340" w:lineRule="exact"/>
              <w:jc w:val="center"/>
              <w:rPr>
                <w:rFonts w:ascii="Times New Roman" w:hAnsi="Times New Roman" w:eastAsia="宋体"/>
                <w:szCs w:val="21"/>
              </w:rPr>
            </w:pPr>
            <w:r>
              <w:rPr>
                <w:rFonts w:ascii="Times New Roman" w:hAnsi="Times New Roman" w:eastAsia="宋体"/>
                <w:szCs w:val="21"/>
              </w:rPr>
              <w:t>k</w:t>
            </w:r>
            <w:r>
              <w:rPr>
                <w:rFonts w:hint="eastAsia" w:ascii="Times New Roman" w:hAnsi="Times New Roman" w:eastAsia="宋体"/>
                <w:szCs w:val="21"/>
              </w:rPr>
              <w:t>≤</w:t>
            </w:r>
            <w:r>
              <w:rPr>
                <w:rFonts w:ascii="Times New Roman" w:hAnsi="Times New Roman" w:eastAsia="宋体"/>
                <w:szCs w:val="21"/>
              </w:rPr>
              <w:t>-20%</w:t>
            </w:r>
            <w:r>
              <w:rPr>
                <w:rFonts w:hint="eastAsia" w:ascii="Times New Roman" w:hAnsi="Times New Roman" w:eastAsia="宋体"/>
                <w:szCs w:val="21"/>
              </w:rPr>
              <w:t>□</w:t>
            </w:r>
          </w:p>
        </w:tc>
        <w:tc>
          <w:tcPr>
            <w:tcW w:w="1666" w:type="pct"/>
            <w:gridSpan w:val="13"/>
            <w:vAlign w:val="center"/>
          </w:tcPr>
          <w:p>
            <w:pPr>
              <w:spacing w:line="340" w:lineRule="exact"/>
              <w:jc w:val="center"/>
              <w:rPr>
                <w:rFonts w:ascii="Times New Roman" w:hAnsi="Times New Roman" w:eastAsia="宋体"/>
                <w:szCs w:val="21"/>
              </w:rPr>
            </w:pPr>
            <w:r>
              <w:rPr>
                <w:rFonts w:ascii="Times New Roman" w:hAnsi="Times New Roman" w:eastAsia="宋体"/>
                <w:szCs w:val="21"/>
              </w:rPr>
              <w:t>k</w:t>
            </w:r>
            <w:r>
              <w:rPr>
                <w:rFonts w:hint="eastAsia" w:ascii="Times New Roman" w:eastAsia="宋体"/>
                <w:szCs w:val="21"/>
              </w:rPr>
              <w:t>＞</w:t>
            </w:r>
            <w:r>
              <w:rPr>
                <w:rFonts w:ascii="Times New Roman" w:hAnsi="Times New Roman" w:eastAsia="宋体"/>
                <w:szCs w:val="21"/>
              </w:rPr>
              <w:t>-20%</w:t>
            </w:r>
            <w:r>
              <w:rPr>
                <w:rFonts w:hint="eastAsia" w:ascii="Times New Roman" w:hAnsi="Times New Roman" w:eastAsia="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560" w:type="pct"/>
            <w:vMerge w:val="restart"/>
            <w:vAlign w:val="center"/>
          </w:tcPr>
          <w:p>
            <w:pPr>
              <w:spacing w:line="340" w:lineRule="exact"/>
              <w:jc w:val="center"/>
              <w:rPr>
                <w:rFonts w:ascii="Times New Roman" w:hAnsi="Times New Roman" w:eastAsia="宋体"/>
                <w:szCs w:val="21"/>
              </w:rPr>
            </w:pPr>
            <w:r>
              <w:rPr>
                <w:rFonts w:hint="eastAsia" w:ascii="Times New Roman" w:eastAsia="宋体"/>
                <w:szCs w:val="21"/>
              </w:rPr>
              <w:t>环境监测计划</w:t>
            </w:r>
          </w:p>
        </w:tc>
        <w:tc>
          <w:tcPr>
            <w:tcW w:w="1110" w:type="pct"/>
            <w:vAlign w:val="center"/>
          </w:tcPr>
          <w:p>
            <w:pPr>
              <w:spacing w:line="340" w:lineRule="exact"/>
              <w:jc w:val="center"/>
              <w:rPr>
                <w:rFonts w:ascii="Times New Roman" w:hAnsi="Times New Roman" w:eastAsia="宋体"/>
                <w:szCs w:val="21"/>
              </w:rPr>
            </w:pPr>
            <w:r>
              <w:rPr>
                <w:rFonts w:hint="eastAsia" w:ascii="Times New Roman" w:eastAsia="宋体"/>
                <w:szCs w:val="21"/>
              </w:rPr>
              <w:t>污染源监测</w:t>
            </w:r>
          </w:p>
        </w:tc>
        <w:tc>
          <w:tcPr>
            <w:tcW w:w="1109" w:type="pct"/>
            <w:gridSpan w:val="6"/>
            <w:vAlign w:val="center"/>
          </w:tcPr>
          <w:p>
            <w:pPr>
              <w:spacing w:line="340" w:lineRule="exact"/>
              <w:jc w:val="center"/>
              <w:rPr>
                <w:rFonts w:ascii="Times New Roman" w:hAnsi="Times New Roman" w:eastAsia="宋体"/>
                <w:szCs w:val="21"/>
              </w:rPr>
            </w:pPr>
            <w:r>
              <w:rPr>
                <w:rFonts w:hint="eastAsia" w:ascii="Times New Roman" w:eastAsia="宋体"/>
                <w:szCs w:val="21"/>
              </w:rPr>
              <w:t>监测因子（</w:t>
            </w:r>
            <w:r>
              <w:rPr>
                <w:rFonts w:hint="eastAsia" w:ascii="Times New Roman" w:hAnsi="Times New Roman" w:eastAsia="宋体"/>
                <w:szCs w:val="21"/>
              </w:rPr>
              <w:t>非甲烷总烃</w:t>
            </w:r>
            <w:r>
              <w:rPr>
                <w:rFonts w:hint="eastAsia" w:ascii="Times New Roman" w:eastAsia="宋体"/>
                <w:szCs w:val="21"/>
              </w:rPr>
              <w:t>）</w:t>
            </w:r>
          </w:p>
        </w:tc>
        <w:tc>
          <w:tcPr>
            <w:tcW w:w="1114" w:type="pct"/>
            <w:gridSpan w:val="10"/>
            <w:vAlign w:val="center"/>
          </w:tcPr>
          <w:p>
            <w:pPr>
              <w:spacing w:line="340" w:lineRule="exact"/>
              <w:jc w:val="center"/>
              <w:rPr>
                <w:rFonts w:ascii="Times New Roman" w:hAnsi="Times New Roman" w:eastAsia="宋体"/>
                <w:szCs w:val="21"/>
              </w:rPr>
            </w:pPr>
            <w:r>
              <w:rPr>
                <w:rFonts w:hint="eastAsia" w:ascii="Times New Roman" w:eastAsia="宋体"/>
                <w:szCs w:val="21"/>
              </w:rPr>
              <w:t>有组织废气监测</w:t>
            </w:r>
            <w:r>
              <w:rPr>
                <w:rFonts w:hint="eastAsia" w:ascii="Times New Roman" w:hAnsi="Times New Roman" w:eastAsia="宋体"/>
                <w:szCs w:val="21"/>
              </w:rPr>
              <w:fldChar w:fldCharType="begin"/>
            </w:r>
            <w:r>
              <w:rPr>
                <w:rFonts w:hint="eastAsia" w:ascii="Times New Roman" w:hAnsi="Times New Roman" w:eastAsia="宋体"/>
                <w:szCs w:val="21"/>
              </w:rPr>
              <w:instrText xml:space="preserve"> eq \o\ac(□,</w:instrText>
            </w:r>
            <w:r>
              <w:rPr>
                <w:rFonts w:hint="eastAsia" w:ascii="Times New Roman" w:hAnsi="Times New Roman" w:eastAsia="宋体"/>
                <w:position w:val="2"/>
                <w:szCs w:val="21"/>
              </w:rPr>
              <w:instrText xml:space="preserve">√</w:instrText>
            </w:r>
            <w:r>
              <w:rPr>
                <w:rFonts w:hint="eastAsia" w:ascii="Times New Roman" w:hAnsi="Times New Roman" w:eastAsia="宋体"/>
                <w:szCs w:val="21"/>
              </w:rPr>
              <w:instrText xml:space="preserve">)</w:instrText>
            </w:r>
            <w:r>
              <w:rPr>
                <w:rFonts w:hint="eastAsia" w:ascii="Times New Roman" w:hAnsi="Times New Roman" w:eastAsia="宋体"/>
                <w:szCs w:val="21"/>
              </w:rPr>
              <w:fldChar w:fldCharType="end"/>
            </w:r>
          </w:p>
          <w:p>
            <w:pPr>
              <w:spacing w:line="340" w:lineRule="exact"/>
              <w:jc w:val="center"/>
              <w:rPr>
                <w:rFonts w:ascii="Times New Roman" w:hAnsi="Times New Roman" w:eastAsia="宋体"/>
                <w:szCs w:val="21"/>
              </w:rPr>
            </w:pPr>
            <w:r>
              <w:rPr>
                <w:rFonts w:hint="eastAsia" w:ascii="Times New Roman" w:eastAsia="宋体"/>
                <w:szCs w:val="21"/>
              </w:rPr>
              <w:t>无组织废气监测</w:t>
            </w:r>
            <w:r>
              <w:rPr>
                <w:rFonts w:hint="eastAsia" w:ascii="Times New Roman" w:hAnsi="Times New Roman" w:eastAsia="宋体"/>
                <w:szCs w:val="21"/>
              </w:rPr>
              <w:t>□</w:t>
            </w:r>
          </w:p>
        </w:tc>
        <w:tc>
          <w:tcPr>
            <w:tcW w:w="1107" w:type="pct"/>
            <w:gridSpan w:val="7"/>
            <w:vAlign w:val="center"/>
          </w:tcPr>
          <w:p>
            <w:pPr>
              <w:spacing w:line="340" w:lineRule="exact"/>
              <w:jc w:val="center"/>
              <w:rPr>
                <w:rFonts w:ascii="Times New Roman" w:hAnsi="Times New Roman" w:eastAsia="宋体"/>
                <w:szCs w:val="21"/>
              </w:rPr>
            </w:pPr>
            <w:r>
              <w:rPr>
                <w:rFonts w:hint="eastAsia" w:ascii="Times New Roman" w:eastAsia="宋体"/>
                <w:szCs w:val="21"/>
              </w:rPr>
              <w:t>无监测</w:t>
            </w:r>
            <w:r>
              <w:rPr>
                <w:rFonts w:hint="eastAsia" w:ascii="Times New Roman" w:hAnsi="Times New Roman" w:eastAsia="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560" w:type="pct"/>
            <w:vMerge w:val="continue"/>
            <w:vAlign w:val="center"/>
          </w:tcPr>
          <w:p>
            <w:pPr>
              <w:widowControl/>
              <w:spacing w:line="340" w:lineRule="exact"/>
              <w:jc w:val="center"/>
              <w:rPr>
                <w:rFonts w:ascii="Times New Roman" w:hAnsi="Times New Roman" w:eastAsia="宋体"/>
                <w:szCs w:val="21"/>
              </w:rPr>
            </w:pPr>
          </w:p>
        </w:tc>
        <w:tc>
          <w:tcPr>
            <w:tcW w:w="1110" w:type="pct"/>
            <w:vAlign w:val="center"/>
          </w:tcPr>
          <w:p>
            <w:pPr>
              <w:spacing w:line="340" w:lineRule="exact"/>
              <w:jc w:val="center"/>
              <w:rPr>
                <w:rFonts w:ascii="Times New Roman" w:hAnsi="Times New Roman" w:eastAsia="宋体"/>
                <w:szCs w:val="21"/>
              </w:rPr>
            </w:pPr>
            <w:r>
              <w:rPr>
                <w:rFonts w:hint="eastAsia" w:ascii="Times New Roman" w:eastAsia="宋体"/>
                <w:szCs w:val="21"/>
              </w:rPr>
              <w:t>环境质量监测</w:t>
            </w:r>
          </w:p>
        </w:tc>
        <w:tc>
          <w:tcPr>
            <w:tcW w:w="1109" w:type="pct"/>
            <w:gridSpan w:val="6"/>
            <w:vAlign w:val="center"/>
          </w:tcPr>
          <w:p>
            <w:pPr>
              <w:spacing w:line="340" w:lineRule="exact"/>
              <w:jc w:val="center"/>
              <w:rPr>
                <w:rFonts w:ascii="Times New Roman" w:hAnsi="Times New Roman" w:eastAsia="宋体"/>
                <w:szCs w:val="21"/>
              </w:rPr>
            </w:pPr>
            <w:r>
              <w:rPr>
                <w:rFonts w:hint="eastAsia" w:ascii="Times New Roman" w:eastAsia="宋体"/>
                <w:szCs w:val="21"/>
              </w:rPr>
              <w:t>监测因子（</w:t>
            </w:r>
            <w:r>
              <w:rPr>
                <w:rFonts w:ascii="Times New Roman" w:hAnsi="Times New Roman" w:eastAsia="宋体"/>
                <w:szCs w:val="21"/>
              </w:rPr>
              <w:t>/</w:t>
            </w:r>
            <w:r>
              <w:rPr>
                <w:rFonts w:hint="eastAsia" w:ascii="Times New Roman" w:eastAsia="宋体"/>
                <w:szCs w:val="21"/>
              </w:rPr>
              <w:t>）</w:t>
            </w:r>
          </w:p>
        </w:tc>
        <w:tc>
          <w:tcPr>
            <w:tcW w:w="1114" w:type="pct"/>
            <w:gridSpan w:val="10"/>
            <w:vAlign w:val="center"/>
          </w:tcPr>
          <w:p>
            <w:pPr>
              <w:spacing w:line="340" w:lineRule="exact"/>
              <w:jc w:val="center"/>
              <w:rPr>
                <w:rFonts w:ascii="Times New Roman" w:hAnsi="Times New Roman" w:eastAsia="宋体"/>
                <w:szCs w:val="21"/>
              </w:rPr>
            </w:pPr>
            <w:r>
              <w:rPr>
                <w:rFonts w:hint="eastAsia" w:ascii="Times New Roman" w:eastAsia="宋体"/>
                <w:szCs w:val="21"/>
              </w:rPr>
              <w:t>监测点位数（</w:t>
            </w:r>
            <w:r>
              <w:rPr>
                <w:rFonts w:ascii="Times New Roman" w:hAnsi="Times New Roman" w:eastAsia="宋体"/>
                <w:szCs w:val="21"/>
              </w:rPr>
              <w:t>/</w:t>
            </w:r>
            <w:r>
              <w:rPr>
                <w:rFonts w:hint="eastAsia" w:ascii="Times New Roman" w:eastAsia="宋体"/>
                <w:szCs w:val="21"/>
              </w:rPr>
              <w:t>）</w:t>
            </w:r>
          </w:p>
        </w:tc>
        <w:tc>
          <w:tcPr>
            <w:tcW w:w="1107" w:type="pct"/>
            <w:gridSpan w:val="7"/>
            <w:vAlign w:val="center"/>
          </w:tcPr>
          <w:p>
            <w:pPr>
              <w:spacing w:line="340" w:lineRule="exact"/>
              <w:jc w:val="center"/>
              <w:rPr>
                <w:rFonts w:ascii="Times New Roman" w:hAnsi="Times New Roman" w:eastAsia="宋体"/>
                <w:szCs w:val="21"/>
              </w:rPr>
            </w:pPr>
            <w:r>
              <w:rPr>
                <w:rFonts w:hint="eastAsia" w:ascii="Times New Roman" w:eastAsia="宋体"/>
                <w:szCs w:val="21"/>
              </w:rPr>
              <w:t>无监测</w:t>
            </w:r>
            <w:r>
              <w:rPr>
                <w:rFonts w:hint="eastAsia" w:ascii="Times New Roman" w:hAnsi="Times New Roman" w:eastAsia="宋体"/>
                <w:szCs w:val="21"/>
              </w:rPr>
              <w:fldChar w:fldCharType="begin"/>
            </w:r>
            <w:r>
              <w:rPr>
                <w:rFonts w:hint="eastAsia" w:ascii="Times New Roman" w:hAnsi="Times New Roman" w:eastAsia="宋体"/>
                <w:szCs w:val="21"/>
              </w:rPr>
              <w:instrText xml:space="preserve"> eq \o\ac(□,</w:instrText>
            </w:r>
            <w:r>
              <w:rPr>
                <w:rFonts w:hint="eastAsia" w:ascii="Times New Roman" w:hAnsi="Times New Roman" w:eastAsia="宋体"/>
                <w:position w:val="2"/>
                <w:szCs w:val="21"/>
              </w:rPr>
              <w:instrText xml:space="preserve">√</w:instrText>
            </w:r>
            <w:r>
              <w:rPr>
                <w:rFonts w:hint="eastAsia" w:ascii="Times New Roman" w:hAnsi="Times New Roman" w:eastAsia="宋体"/>
                <w:szCs w:val="21"/>
              </w:rPr>
              <w:instrText xml:space="preserve">)</w:instrText>
            </w:r>
            <w:r>
              <w:rPr>
                <w:rFonts w:hint="eastAsia" w:ascii="Times New Roman" w:hAnsi="Times New Roman" w:eastAsia="宋体"/>
                <w:szCs w:val="21"/>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560" w:type="pct"/>
            <w:vMerge w:val="restart"/>
            <w:vAlign w:val="center"/>
          </w:tcPr>
          <w:p>
            <w:pPr>
              <w:spacing w:line="340" w:lineRule="exact"/>
              <w:jc w:val="center"/>
              <w:rPr>
                <w:rFonts w:ascii="Times New Roman" w:hAnsi="Times New Roman" w:eastAsia="宋体"/>
                <w:szCs w:val="21"/>
              </w:rPr>
            </w:pPr>
            <w:r>
              <w:rPr>
                <w:rFonts w:hint="eastAsia" w:ascii="Times New Roman" w:eastAsia="宋体"/>
                <w:szCs w:val="21"/>
              </w:rPr>
              <w:t>评价结论</w:t>
            </w:r>
          </w:p>
        </w:tc>
        <w:tc>
          <w:tcPr>
            <w:tcW w:w="1110" w:type="pct"/>
            <w:vAlign w:val="center"/>
          </w:tcPr>
          <w:p>
            <w:pPr>
              <w:spacing w:line="340" w:lineRule="exact"/>
              <w:jc w:val="center"/>
              <w:rPr>
                <w:rFonts w:ascii="Times New Roman" w:hAnsi="Times New Roman" w:eastAsia="宋体"/>
                <w:szCs w:val="21"/>
              </w:rPr>
            </w:pPr>
            <w:r>
              <w:rPr>
                <w:rFonts w:hint="eastAsia" w:ascii="Times New Roman" w:eastAsia="宋体"/>
                <w:szCs w:val="21"/>
              </w:rPr>
              <w:t>环境影响</w:t>
            </w:r>
          </w:p>
        </w:tc>
        <w:tc>
          <w:tcPr>
            <w:tcW w:w="3331" w:type="pct"/>
            <w:gridSpan w:val="23"/>
            <w:vAlign w:val="center"/>
          </w:tcPr>
          <w:p>
            <w:pPr>
              <w:spacing w:line="340" w:lineRule="exact"/>
              <w:jc w:val="center"/>
              <w:rPr>
                <w:rFonts w:ascii="Times New Roman" w:hAnsi="Times New Roman" w:eastAsia="宋体"/>
                <w:szCs w:val="21"/>
              </w:rPr>
            </w:pPr>
            <w:r>
              <w:rPr>
                <w:rFonts w:hint="eastAsia" w:ascii="Times New Roman" w:eastAsia="宋体"/>
                <w:szCs w:val="21"/>
              </w:rPr>
              <w:t>可以接受</w:t>
            </w:r>
            <w:r>
              <w:rPr>
                <w:rFonts w:hint="eastAsia" w:ascii="Times New Roman" w:hAnsi="Times New Roman" w:eastAsia="宋体"/>
                <w:szCs w:val="21"/>
              </w:rPr>
              <w:fldChar w:fldCharType="begin"/>
            </w:r>
            <w:r>
              <w:rPr>
                <w:rFonts w:hint="eastAsia" w:ascii="Times New Roman" w:hAnsi="Times New Roman" w:eastAsia="宋体"/>
                <w:szCs w:val="21"/>
              </w:rPr>
              <w:instrText xml:space="preserve"> eq \o\ac(□,</w:instrText>
            </w:r>
            <w:r>
              <w:rPr>
                <w:rFonts w:hint="eastAsia" w:ascii="Times New Roman" w:hAnsi="Times New Roman" w:eastAsia="宋体"/>
                <w:position w:val="2"/>
                <w:szCs w:val="21"/>
              </w:rPr>
              <w:instrText xml:space="preserve">√</w:instrText>
            </w:r>
            <w:r>
              <w:rPr>
                <w:rFonts w:hint="eastAsia" w:ascii="Times New Roman" w:hAnsi="Times New Roman" w:eastAsia="宋体"/>
                <w:szCs w:val="21"/>
              </w:rPr>
              <w:instrText xml:space="preserve">)</w:instrText>
            </w:r>
            <w:r>
              <w:rPr>
                <w:rFonts w:hint="eastAsia" w:ascii="Times New Roman" w:hAnsi="Times New Roman" w:eastAsia="宋体"/>
                <w:szCs w:val="21"/>
              </w:rPr>
              <w:fldChar w:fldCharType="end"/>
            </w:r>
            <w:r>
              <w:rPr>
                <w:rFonts w:ascii="Times New Roman" w:hAnsi="Times New Roman" w:eastAsia="宋体"/>
                <w:szCs w:val="21"/>
              </w:rPr>
              <w:t xml:space="preserve">         </w:t>
            </w:r>
            <w:r>
              <w:rPr>
                <w:rFonts w:hint="eastAsia" w:ascii="Times New Roman" w:eastAsia="宋体"/>
                <w:szCs w:val="21"/>
              </w:rPr>
              <w:t>不可以接受</w:t>
            </w:r>
            <w:r>
              <w:rPr>
                <w:rFonts w:hint="eastAsia" w:ascii="Times New Roman" w:hAnsi="Times New Roman" w:eastAsia="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560" w:type="pct"/>
            <w:vMerge w:val="continue"/>
            <w:vAlign w:val="center"/>
          </w:tcPr>
          <w:p>
            <w:pPr>
              <w:widowControl/>
              <w:spacing w:line="340" w:lineRule="exact"/>
              <w:jc w:val="left"/>
              <w:rPr>
                <w:rFonts w:ascii="Times New Roman" w:hAnsi="Times New Roman" w:eastAsia="宋体"/>
                <w:szCs w:val="21"/>
              </w:rPr>
            </w:pPr>
          </w:p>
        </w:tc>
        <w:tc>
          <w:tcPr>
            <w:tcW w:w="1110" w:type="pct"/>
            <w:vAlign w:val="center"/>
          </w:tcPr>
          <w:p>
            <w:pPr>
              <w:spacing w:line="340" w:lineRule="exact"/>
              <w:jc w:val="center"/>
              <w:rPr>
                <w:rFonts w:ascii="Times New Roman" w:hAnsi="Times New Roman" w:eastAsia="宋体"/>
                <w:szCs w:val="21"/>
              </w:rPr>
            </w:pPr>
            <w:r>
              <w:rPr>
                <w:rFonts w:hint="eastAsia" w:ascii="Times New Roman" w:eastAsia="宋体"/>
                <w:szCs w:val="21"/>
              </w:rPr>
              <w:t>大气环境防护距离</w:t>
            </w:r>
          </w:p>
        </w:tc>
        <w:tc>
          <w:tcPr>
            <w:tcW w:w="3331" w:type="pct"/>
            <w:gridSpan w:val="23"/>
            <w:vAlign w:val="center"/>
          </w:tcPr>
          <w:p>
            <w:pPr>
              <w:spacing w:line="340" w:lineRule="exact"/>
              <w:jc w:val="center"/>
              <w:rPr>
                <w:rFonts w:ascii="Times New Roman" w:hAnsi="Times New Roman" w:eastAsia="宋体"/>
                <w:szCs w:val="21"/>
              </w:rPr>
            </w:pPr>
            <w:r>
              <w:rPr>
                <w:rFonts w:hint="eastAsia" w:ascii="Times New Roman" w:eastAsia="宋体"/>
                <w:szCs w:val="21"/>
              </w:rPr>
              <w:t>距（</w:t>
            </w:r>
            <w:r>
              <w:rPr>
                <w:rFonts w:ascii="Times New Roman" w:hAnsi="Times New Roman" w:eastAsia="宋体"/>
                <w:szCs w:val="21"/>
              </w:rPr>
              <w:t>/</w:t>
            </w:r>
            <w:r>
              <w:rPr>
                <w:rFonts w:hint="eastAsia" w:ascii="Times New Roman" w:eastAsia="宋体"/>
                <w:szCs w:val="21"/>
              </w:rPr>
              <w:t>）厂界最远（</w:t>
            </w:r>
            <w:r>
              <w:rPr>
                <w:rFonts w:hint="eastAsia" w:ascii="Times New Roman" w:hAnsi="Times New Roman" w:eastAsia="宋体"/>
                <w:szCs w:val="21"/>
              </w:rPr>
              <w:t>/</w:t>
            </w:r>
            <w:r>
              <w:rPr>
                <w:rFonts w:hint="eastAsia" w:ascii="Times New Roman" w:eastAsia="宋体"/>
                <w:szCs w:val="21"/>
              </w:rPr>
              <w:t>）</w:t>
            </w:r>
            <w:r>
              <w:rPr>
                <w:rFonts w:hint="eastAsia" w:ascii="Times New Roman" w:hAnsi="Times New Roman" w:eastAsia="宋体"/>
                <w:szCs w:val="21"/>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560" w:type="pct"/>
            <w:vMerge w:val="continue"/>
            <w:vAlign w:val="center"/>
          </w:tcPr>
          <w:p>
            <w:pPr>
              <w:widowControl/>
              <w:spacing w:line="340" w:lineRule="exact"/>
              <w:jc w:val="left"/>
              <w:rPr>
                <w:rFonts w:ascii="Times New Roman" w:hAnsi="Times New Roman" w:eastAsia="宋体"/>
                <w:szCs w:val="21"/>
              </w:rPr>
            </w:pPr>
          </w:p>
        </w:tc>
        <w:tc>
          <w:tcPr>
            <w:tcW w:w="1110" w:type="pct"/>
            <w:vAlign w:val="center"/>
          </w:tcPr>
          <w:p>
            <w:pPr>
              <w:spacing w:line="340" w:lineRule="exact"/>
              <w:jc w:val="center"/>
              <w:rPr>
                <w:rFonts w:ascii="Times New Roman" w:hAnsi="Times New Roman" w:eastAsia="宋体"/>
                <w:szCs w:val="21"/>
              </w:rPr>
            </w:pPr>
            <w:r>
              <w:rPr>
                <w:rFonts w:hint="eastAsia" w:ascii="Times New Roman" w:eastAsia="宋体"/>
                <w:szCs w:val="21"/>
              </w:rPr>
              <w:t>污染源年排放量</w:t>
            </w:r>
          </w:p>
        </w:tc>
        <w:tc>
          <w:tcPr>
            <w:tcW w:w="679" w:type="pct"/>
            <w:gridSpan w:val="2"/>
            <w:vAlign w:val="center"/>
          </w:tcPr>
          <w:p>
            <w:pPr>
              <w:spacing w:line="340" w:lineRule="exact"/>
              <w:jc w:val="center"/>
              <w:rPr>
                <w:rFonts w:ascii="Times New Roman" w:hAnsi="Times New Roman" w:eastAsia="宋体"/>
                <w:szCs w:val="21"/>
              </w:rPr>
            </w:pPr>
            <w:r>
              <w:rPr>
                <w:rFonts w:ascii="Times New Roman" w:hAnsi="Times New Roman" w:eastAsia="宋体"/>
                <w:szCs w:val="21"/>
              </w:rPr>
              <w:t>SO</w:t>
            </w:r>
            <w:r>
              <w:rPr>
                <w:rFonts w:ascii="Times New Roman" w:hAnsi="Times New Roman" w:eastAsia="宋体"/>
                <w:szCs w:val="21"/>
                <w:vertAlign w:val="subscript"/>
              </w:rPr>
              <w:t>2</w:t>
            </w:r>
            <w:r>
              <w:rPr>
                <w:rFonts w:hint="eastAsia" w:ascii="Times New Roman" w:eastAsia="宋体"/>
                <w:szCs w:val="21"/>
              </w:rPr>
              <w:t>：（</w:t>
            </w:r>
            <w:r>
              <w:rPr>
                <w:rFonts w:ascii="Times New Roman" w:hAnsi="Times New Roman" w:eastAsia="宋体"/>
                <w:szCs w:val="21"/>
              </w:rPr>
              <w:t>/</w:t>
            </w:r>
            <w:r>
              <w:rPr>
                <w:rFonts w:hint="eastAsia" w:ascii="Times New Roman" w:eastAsia="宋体"/>
                <w:szCs w:val="21"/>
              </w:rPr>
              <w:t>）</w:t>
            </w:r>
            <w:r>
              <w:rPr>
                <w:rFonts w:ascii="Times New Roman" w:hAnsi="Times New Roman" w:eastAsia="宋体"/>
                <w:szCs w:val="21"/>
              </w:rPr>
              <w:t>t/a</w:t>
            </w:r>
          </w:p>
        </w:tc>
        <w:tc>
          <w:tcPr>
            <w:tcW w:w="717" w:type="pct"/>
            <w:gridSpan w:val="6"/>
            <w:vAlign w:val="center"/>
          </w:tcPr>
          <w:p>
            <w:pPr>
              <w:spacing w:line="340" w:lineRule="exact"/>
              <w:jc w:val="center"/>
              <w:rPr>
                <w:rFonts w:ascii="Times New Roman" w:hAnsi="Times New Roman" w:eastAsia="宋体"/>
                <w:szCs w:val="21"/>
              </w:rPr>
            </w:pPr>
            <w:r>
              <w:rPr>
                <w:rFonts w:ascii="Times New Roman" w:hAnsi="Times New Roman" w:eastAsia="宋体"/>
                <w:szCs w:val="21"/>
              </w:rPr>
              <w:t>NO</w:t>
            </w:r>
            <w:r>
              <w:rPr>
                <w:rFonts w:ascii="Times New Roman" w:hAnsi="Times New Roman" w:eastAsia="宋体"/>
                <w:szCs w:val="21"/>
                <w:vertAlign w:val="subscript"/>
              </w:rPr>
              <w:t>X</w:t>
            </w:r>
            <w:r>
              <w:rPr>
                <w:rFonts w:hint="eastAsia" w:ascii="Times New Roman" w:eastAsia="宋体"/>
                <w:szCs w:val="21"/>
              </w:rPr>
              <w:t>：（</w:t>
            </w:r>
            <w:r>
              <w:rPr>
                <w:rFonts w:ascii="Times New Roman" w:hAnsi="Times New Roman" w:eastAsia="宋体"/>
                <w:szCs w:val="21"/>
              </w:rPr>
              <w:t>/</w:t>
            </w:r>
            <w:r>
              <w:rPr>
                <w:rFonts w:hint="eastAsia" w:ascii="Times New Roman" w:eastAsia="宋体"/>
                <w:szCs w:val="21"/>
              </w:rPr>
              <w:t>）</w:t>
            </w:r>
            <w:r>
              <w:rPr>
                <w:rFonts w:ascii="Times New Roman" w:hAnsi="Times New Roman" w:eastAsia="宋体"/>
                <w:szCs w:val="21"/>
              </w:rPr>
              <w:t>t/a</w:t>
            </w:r>
          </w:p>
        </w:tc>
        <w:tc>
          <w:tcPr>
            <w:tcW w:w="946" w:type="pct"/>
            <w:gridSpan w:val="10"/>
            <w:vAlign w:val="center"/>
          </w:tcPr>
          <w:p>
            <w:pPr>
              <w:spacing w:line="340" w:lineRule="exact"/>
              <w:jc w:val="center"/>
              <w:rPr>
                <w:rFonts w:ascii="Times New Roman" w:hAnsi="Times New Roman" w:eastAsia="宋体"/>
                <w:szCs w:val="21"/>
              </w:rPr>
            </w:pPr>
            <w:r>
              <w:rPr>
                <w:rFonts w:hint="eastAsia" w:ascii="Times New Roman" w:eastAsia="宋体"/>
                <w:szCs w:val="21"/>
              </w:rPr>
              <w:t>颗粒物：（</w:t>
            </w:r>
            <w:r>
              <w:rPr>
                <w:rFonts w:hint="eastAsia" w:ascii="Times New Roman" w:hAnsi="Times New Roman" w:eastAsia="宋体"/>
                <w:szCs w:val="21"/>
              </w:rPr>
              <w:t>/</w:t>
            </w:r>
            <w:r>
              <w:rPr>
                <w:rFonts w:hint="eastAsia" w:ascii="Times New Roman" w:eastAsia="宋体"/>
                <w:szCs w:val="21"/>
              </w:rPr>
              <w:t>）</w:t>
            </w:r>
            <w:r>
              <w:rPr>
                <w:rFonts w:ascii="Times New Roman" w:hAnsi="Times New Roman" w:eastAsia="宋体"/>
                <w:szCs w:val="21"/>
              </w:rPr>
              <w:t>t/a</w:t>
            </w:r>
          </w:p>
        </w:tc>
        <w:tc>
          <w:tcPr>
            <w:tcW w:w="989" w:type="pct"/>
            <w:gridSpan w:val="5"/>
            <w:vAlign w:val="center"/>
          </w:tcPr>
          <w:p>
            <w:pPr>
              <w:spacing w:line="340" w:lineRule="exact"/>
              <w:jc w:val="center"/>
              <w:rPr>
                <w:rFonts w:ascii="Times New Roman" w:hAnsi="Times New Roman" w:eastAsia="宋体"/>
                <w:szCs w:val="21"/>
              </w:rPr>
            </w:pPr>
            <w:r>
              <w:rPr>
                <w:rFonts w:ascii="Times New Roman" w:hAnsi="Times New Roman" w:eastAsia="宋体"/>
                <w:szCs w:val="21"/>
              </w:rPr>
              <w:t>VOCs</w:t>
            </w:r>
            <w:r>
              <w:rPr>
                <w:rFonts w:hint="eastAsia" w:ascii="Times New Roman" w:eastAsia="宋体"/>
                <w:szCs w:val="21"/>
              </w:rPr>
              <w:t>：（</w:t>
            </w:r>
            <w:r>
              <w:rPr>
                <w:rFonts w:hint="eastAsia" w:ascii="Times New Roman" w:hAnsi="Times New Roman" w:eastAsia="宋体"/>
                <w:szCs w:val="21"/>
              </w:rPr>
              <w:t>0.0686</w:t>
            </w:r>
            <w:r>
              <w:rPr>
                <w:rFonts w:hint="eastAsia" w:ascii="Times New Roman" w:eastAsia="宋体"/>
                <w:szCs w:val="21"/>
              </w:rPr>
              <w:t>）</w:t>
            </w:r>
            <w:r>
              <w:rPr>
                <w:rFonts w:ascii="Times New Roman" w:hAnsi="Times New Roman" w:eastAsia="宋体"/>
                <w:szCs w:val="21"/>
              </w:rPr>
              <w:t>t/a</w:t>
            </w:r>
          </w:p>
        </w:tc>
      </w:tr>
    </w:tbl>
    <w:p>
      <w:pPr>
        <w:pStyle w:val="2"/>
        <w:jc w:val="both"/>
        <w:sectPr>
          <w:pgSz w:w="11906" w:h="16838"/>
          <w:pgMar w:top="1417" w:right="1417" w:bottom="1417" w:left="1417" w:header="851" w:footer="992" w:gutter="0"/>
          <w:cols w:space="720" w:num="1"/>
          <w:docGrid w:type="lines" w:linePitch="312" w:charSpace="0"/>
        </w:sectPr>
      </w:pPr>
    </w:p>
    <w:p>
      <w:pPr>
        <w:pStyle w:val="2"/>
        <w:jc w:val="both"/>
      </w:pPr>
      <w:r>
        <w:drawing>
          <wp:anchor distT="0" distB="0" distL="114300" distR="114300" simplePos="0" relativeHeight="251777024" behindDoc="1" locked="0" layoutInCell="1" allowOverlap="1">
            <wp:simplePos x="0" y="0"/>
            <wp:positionH relativeFrom="column">
              <wp:posOffset>728980</wp:posOffset>
            </wp:positionH>
            <wp:positionV relativeFrom="paragraph">
              <wp:posOffset>-2042795</wp:posOffset>
            </wp:positionV>
            <wp:extent cx="6894195" cy="9658350"/>
            <wp:effectExtent l="1409700" t="0" r="1373505" b="0"/>
            <wp:wrapNone/>
            <wp:docPr id="3" name="图片 6" descr="C:\Users\linhu\AppData\Local\Temp\WeChat Files\c120a96db1972bd2670a51bf9a4f6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C:\Users\linhu\AppData\Local\Temp\WeChat Files\c120a96db1972bd2670a51bf9a4f61a.jpg"/>
                    <pic:cNvPicPr>
                      <a:picLocks noChangeAspect="1" noChangeArrowheads="1"/>
                    </pic:cNvPicPr>
                  </pic:nvPicPr>
                  <pic:blipFill>
                    <a:blip r:embed="rId48"/>
                    <a:srcRect/>
                    <a:stretch>
                      <a:fillRect/>
                    </a:stretch>
                  </pic:blipFill>
                  <pic:spPr>
                    <a:xfrm rot="16200000">
                      <a:off x="0" y="0"/>
                      <a:ext cx="6894195" cy="9658350"/>
                    </a:xfrm>
                    <a:prstGeom prst="rect">
                      <a:avLst/>
                    </a:prstGeom>
                    <a:noFill/>
                    <a:ln w="9525">
                      <a:noFill/>
                      <a:miter lim="800000"/>
                      <a:headEnd/>
                      <a:tailEnd/>
                    </a:ln>
                  </pic:spPr>
                </pic:pic>
              </a:graphicData>
            </a:graphic>
          </wp:anchor>
        </w:drawing>
      </w:r>
    </w:p>
    <w:p/>
    <w:p>
      <w:pPr>
        <w:pStyle w:val="2"/>
      </w:pPr>
    </w:p>
    <w:sectPr>
      <w:pgSz w:w="16838" w:h="11906" w:orient="landscape"/>
      <w:pgMar w:top="1417" w:right="1417" w:bottom="1417" w:left="141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serif">
    <w:altName w:val="微软雅黑"/>
    <w:panose1 w:val="00000000000000000000"/>
    <w:charset w:val="00"/>
    <w:family w:val="auto"/>
    <w:pitch w:val="default"/>
    <w:sig w:usb0="00000000" w:usb1="00000000" w:usb2="00000000" w:usb3="00000000" w:csb0="00040001" w:csb1="00000000"/>
  </w:font>
  <w:font w:name="Courier New">
    <w:panose1 w:val="02070309020205020404"/>
    <w:charset w:val="00"/>
    <w:family w:val="modern"/>
    <w:pitch w:val="default"/>
    <w:sig w:usb0="E0002AFF" w:usb1="C0007843" w:usb2="00000009" w:usb3="00000000" w:csb0="400001FF" w:csb1="FFFF0000"/>
  </w:font>
  <w:font w:name="Arial">
    <w:panose1 w:val="020B0604020202020204"/>
    <w:charset w:val="00"/>
    <w:family w:val="swiss"/>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8"/>
      </w:rPr>
    </w:pPr>
    <w:r>
      <w:rPr>
        <w:sz w:val="24"/>
      </w:rPr>
      <w:fldChar w:fldCharType="begin"/>
    </w:r>
    <w:r>
      <w:rPr>
        <w:rStyle w:val="28"/>
      </w:rPr>
      <w:instrText xml:space="preserve">PAGE  </w:instrText>
    </w:r>
    <w:r>
      <w:rPr>
        <w:sz w:val="24"/>
      </w:rPr>
      <w:fldChar w:fldCharType="separate"/>
    </w:r>
    <w:r>
      <w:rPr>
        <w:rStyle w:val="28"/>
      </w:rPr>
      <w:t>100</w:t>
    </w:r>
    <w:r>
      <w:rPr>
        <w:sz w:val="24"/>
      </w:rPr>
      <w:fldChar w:fldCharType="end"/>
    </w:r>
  </w:p>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8"/>
      </w:rPr>
    </w:pPr>
    <w:r>
      <w:fldChar w:fldCharType="begin"/>
    </w:r>
    <w:r>
      <w:rPr>
        <w:rStyle w:val="28"/>
      </w:rPr>
      <w:instrText xml:space="preserve">PAGE  </w:instrText>
    </w:r>
    <w:r>
      <w:fldChar w:fldCharType="end"/>
    </w:r>
  </w:p>
  <w:p>
    <w:pPr>
      <w:pStyle w:val="1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81353D"/>
    <w:rsid w:val="00000500"/>
    <w:rsid w:val="000008B8"/>
    <w:rsid w:val="00001046"/>
    <w:rsid w:val="000011FF"/>
    <w:rsid w:val="000013F0"/>
    <w:rsid w:val="000014FB"/>
    <w:rsid w:val="0000195A"/>
    <w:rsid w:val="00001B52"/>
    <w:rsid w:val="00002012"/>
    <w:rsid w:val="00002388"/>
    <w:rsid w:val="000025BC"/>
    <w:rsid w:val="000026F6"/>
    <w:rsid w:val="0000274E"/>
    <w:rsid w:val="00002A60"/>
    <w:rsid w:val="00002B5D"/>
    <w:rsid w:val="00002C34"/>
    <w:rsid w:val="00002F0B"/>
    <w:rsid w:val="0000332A"/>
    <w:rsid w:val="0000358D"/>
    <w:rsid w:val="0000388D"/>
    <w:rsid w:val="00003E57"/>
    <w:rsid w:val="00003F99"/>
    <w:rsid w:val="000040F8"/>
    <w:rsid w:val="0000433C"/>
    <w:rsid w:val="0000450B"/>
    <w:rsid w:val="000046AA"/>
    <w:rsid w:val="000053B7"/>
    <w:rsid w:val="000054A2"/>
    <w:rsid w:val="00005709"/>
    <w:rsid w:val="00006466"/>
    <w:rsid w:val="000064AE"/>
    <w:rsid w:val="000065E2"/>
    <w:rsid w:val="00006AF8"/>
    <w:rsid w:val="0000718F"/>
    <w:rsid w:val="000071BB"/>
    <w:rsid w:val="00007299"/>
    <w:rsid w:val="0000764F"/>
    <w:rsid w:val="00007686"/>
    <w:rsid w:val="00007DA8"/>
    <w:rsid w:val="00010B39"/>
    <w:rsid w:val="00010D40"/>
    <w:rsid w:val="0001132D"/>
    <w:rsid w:val="00011374"/>
    <w:rsid w:val="00011747"/>
    <w:rsid w:val="00011822"/>
    <w:rsid w:val="00011F31"/>
    <w:rsid w:val="000125E5"/>
    <w:rsid w:val="000126F8"/>
    <w:rsid w:val="00012899"/>
    <w:rsid w:val="00012A15"/>
    <w:rsid w:val="00012B5F"/>
    <w:rsid w:val="00013193"/>
    <w:rsid w:val="00013373"/>
    <w:rsid w:val="0001470F"/>
    <w:rsid w:val="00014799"/>
    <w:rsid w:val="0001498B"/>
    <w:rsid w:val="00014D2D"/>
    <w:rsid w:val="00014E10"/>
    <w:rsid w:val="0001509A"/>
    <w:rsid w:val="000152E8"/>
    <w:rsid w:val="000154A0"/>
    <w:rsid w:val="000154D0"/>
    <w:rsid w:val="00015654"/>
    <w:rsid w:val="00015AEC"/>
    <w:rsid w:val="00015B69"/>
    <w:rsid w:val="00016921"/>
    <w:rsid w:val="000169D4"/>
    <w:rsid w:val="00016E07"/>
    <w:rsid w:val="00016F2E"/>
    <w:rsid w:val="000176AC"/>
    <w:rsid w:val="000176B0"/>
    <w:rsid w:val="000177B9"/>
    <w:rsid w:val="00017824"/>
    <w:rsid w:val="00017849"/>
    <w:rsid w:val="000179F3"/>
    <w:rsid w:val="00017CBE"/>
    <w:rsid w:val="00017FB4"/>
    <w:rsid w:val="000205C3"/>
    <w:rsid w:val="0002097B"/>
    <w:rsid w:val="00021070"/>
    <w:rsid w:val="0002149F"/>
    <w:rsid w:val="000219A9"/>
    <w:rsid w:val="00021E9E"/>
    <w:rsid w:val="00022B61"/>
    <w:rsid w:val="00022B6D"/>
    <w:rsid w:val="00022CB0"/>
    <w:rsid w:val="0002300B"/>
    <w:rsid w:val="00023A5E"/>
    <w:rsid w:val="00023C05"/>
    <w:rsid w:val="00023D24"/>
    <w:rsid w:val="00023D98"/>
    <w:rsid w:val="00024448"/>
    <w:rsid w:val="00024562"/>
    <w:rsid w:val="00024878"/>
    <w:rsid w:val="00024B72"/>
    <w:rsid w:val="00024B9C"/>
    <w:rsid w:val="000251EB"/>
    <w:rsid w:val="00025369"/>
    <w:rsid w:val="000255FD"/>
    <w:rsid w:val="00025D93"/>
    <w:rsid w:val="000264B8"/>
    <w:rsid w:val="0002696F"/>
    <w:rsid w:val="00026E83"/>
    <w:rsid w:val="00027003"/>
    <w:rsid w:val="00027635"/>
    <w:rsid w:val="000276FF"/>
    <w:rsid w:val="00027754"/>
    <w:rsid w:val="00027A83"/>
    <w:rsid w:val="00027AC7"/>
    <w:rsid w:val="00027DF8"/>
    <w:rsid w:val="00027E0B"/>
    <w:rsid w:val="00027EA4"/>
    <w:rsid w:val="00027EFF"/>
    <w:rsid w:val="00027FF1"/>
    <w:rsid w:val="00030069"/>
    <w:rsid w:val="00030599"/>
    <w:rsid w:val="000305AC"/>
    <w:rsid w:val="000308E7"/>
    <w:rsid w:val="00030966"/>
    <w:rsid w:val="000309AE"/>
    <w:rsid w:val="00030BAF"/>
    <w:rsid w:val="00030C64"/>
    <w:rsid w:val="00030E67"/>
    <w:rsid w:val="00030F65"/>
    <w:rsid w:val="00031163"/>
    <w:rsid w:val="000313B5"/>
    <w:rsid w:val="00031845"/>
    <w:rsid w:val="000318A4"/>
    <w:rsid w:val="00031F57"/>
    <w:rsid w:val="00031FC4"/>
    <w:rsid w:val="00032291"/>
    <w:rsid w:val="0003240D"/>
    <w:rsid w:val="00032A3D"/>
    <w:rsid w:val="00032E76"/>
    <w:rsid w:val="0003322B"/>
    <w:rsid w:val="00033513"/>
    <w:rsid w:val="00033638"/>
    <w:rsid w:val="0003379C"/>
    <w:rsid w:val="00033C40"/>
    <w:rsid w:val="00033F52"/>
    <w:rsid w:val="0003422F"/>
    <w:rsid w:val="00034610"/>
    <w:rsid w:val="00034641"/>
    <w:rsid w:val="000352AE"/>
    <w:rsid w:val="000356A1"/>
    <w:rsid w:val="0003590D"/>
    <w:rsid w:val="00035C5E"/>
    <w:rsid w:val="000363C6"/>
    <w:rsid w:val="0003653F"/>
    <w:rsid w:val="000367F0"/>
    <w:rsid w:val="000368C0"/>
    <w:rsid w:val="000368FE"/>
    <w:rsid w:val="00036A87"/>
    <w:rsid w:val="00036BA8"/>
    <w:rsid w:val="00036BC8"/>
    <w:rsid w:val="00036CBF"/>
    <w:rsid w:val="00036E41"/>
    <w:rsid w:val="000372BE"/>
    <w:rsid w:val="00037356"/>
    <w:rsid w:val="00037722"/>
    <w:rsid w:val="0003782A"/>
    <w:rsid w:val="00037869"/>
    <w:rsid w:val="0003792A"/>
    <w:rsid w:val="00037BD3"/>
    <w:rsid w:val="00037C4F"/>
    <w:rsid w:val="00037D68"/>
    <w:rsid w:val="000401E3"/>
    <w:rsid w:val="00040489"/>
    <w:rsid w:val="00040E84"/>
    <w:rsid w:val="0004108A"/>
    <w:rsid w:val="000410B1"/>
    <w:rsid w:val="000415D2"/>
    <w:rsid w:val="000417EF"/>
    <w:rsid w:val="00041D4D"/>
    <w:rsid w:val="00041D6B"/>
    <w:rsid w:val="00042536"/>
    <w:rsid w:val="000426C0"/>
    <w:rsid w:val="00042ED3"/>
    <w:rsid w:val="00043524"/>
    <w:rsid w:val="000439B4"/>
    <w:rsid w:val="00043E81"/>
    <w:rsid w:val="00043F39"/>
    <w:rsid w:val="00044256"/>
    <w:rsid w:val="0004475B"/>
    <w:rsid w:val="00044C36"/>
    <w:rsid w:val="00045743"/>
    <w:rsid w:val="000457A5"/>
    <w:rsid w:val="000458E3"/>
    <w:rsid w:val="000459AE"/>
    <w:rsid w:val="00045A40"/>
    <w:rsid w:val="00045CC8"/>
    <w:rsid w:val="0004628A"/>
    <w:rsid w:val="0004630F"/>
    <w:rsid w:val="0004665C"/>
    <w:rsid w:val="0004665D"/>
    <w:rsid w:val="000467AB"/>
    <w:rsid w:val="00046880"/>
    <w:rsid w:val="00046F3E"/>
    <w:rsid w:val="0004729B"/>
    <w:rsid w:val="00047C2D"/>
    <w:rsid w:val="00050150"/>
    <w:rsid w:val="00050575"/>
    <w:rsid w:val="00050682"/>
    <w:rsid w:val="00050B71"/>
    <w:rsid w:val="00050D37"/>
    <w:rsid w:val="00051107"/>
    <w:rsid w:val="000516CF"/>
    <w:rsid w:val="000518B0"/>
    <w:rsid w:val="000519DE"/>
    <w:rsid w:val="00051C4E"/>
    <w:rsid w:val="000521E8"/>
    <w:rsid w:val="000522D6"/>
    <w:rsid w:val="000523D4"/>
    <w:rsid w:val="00052621"/>
    <w:rsid w:val="00052814"/>
    <w:rsid w:val="0005298A"/>
    <w:rsid w:val="00052FB5"/>
    <w:rsid w:val="0005322E"/>
    <w:rsid w:val="00053337"/>
    <w:rsid w:val="0005395F"/>
    <w:rsid w:val="00053B80"/>
    <w:rsid w:val="00053E0A"/>
    <w:rsid w:val="00054003"/>
    <w:rsid w:val="00054223"/>
    <w:rsid w:val="0005447D"/>
    <w:rsid w:val="000547A7"/>
    <w:rsid w:val="00054A91"/>
    <w:rsid w:val="00054B30"/>
    <w:rsid w:val="0005505C"/>
    <w:rsid w:val="000551CA"/>
    <w:rsid w:val="0005527A"/>
    <w:rsid w:val="00055B5F"/>
    <w:rsid w:val="00055B9E"/>
    <w:rsid w:val="00055CEF"/>
    <w:rsid w:val="00055DAC"/>
    <w:rsid w:val="00055E85"/>
    <w:rsid w:val="00055F07"/>
    <w:rsid w:val="00055F8E"/>
    <w:rsid w:val="00056111"/>
    <w:rsid w:val="00056477"/>
    <w:rsid w:val="00056BFD"/>
    <w:rsid w:val="00056C3F"/>
    <w:rsid w:val="00056F74"/>
    <w:rsid w:val="00057B00"/>
    <w:rsid w:val="00060147"/>
    <w:rsid w:val="00060227"/>
    <w:rsid w:val="000607A5"/>
    <w:rsid w:val="00060914"/>
    <w:rsid w:val="0006092E"/>
    <w:rsid w:val="00060955"/>
    <w:rsid w:val="00061232"/>
    <w:rsid w:val="0006124A"/>
    <w:rsid w:val="000612E1"/>
    <w:rsid w:val="00061316"/>
    <w:rsid w:val="00061BAF"/>
    <w:rsid w:val="00061BDE"/>
    <w:rsid w:val="00062025"/>
    <w:rsid w:val="00062138"/>
    <w:rsid w:val="00062276"/>
    <w:rsid w:val="00062341"/>
    <w:rsid w:val="000623C5"/>
    <w:rsid w:val="000626E5"/>
    <w:rsid w:val="000628FE"/>
    <w:rsid w:val="00062962"/>
    <w:rsid w:val="00062F53"/>
    <w:rsid w:val="000634A1"/>
    <w:rsid w:val="00063D98"/>
    <w:rsid w:val="00063F7E"/>
    <w:rsid w:val="000647A3"/>
    <w:rsid w:val="0006493B"/>
    <w:rsid w:val="000649AE"/>
    <w:rsid w:val="00064B58"/>
    <w:rsid w:val="00064F17"/>
    <w:rsid w:val="000653E9"/>
    <w:rsid w:val="0006553A"/>
    <w:rsid w:val="0006556B"/>
    <w:rsid w:val="0006562E"/>
    <w:rsid w:val="00065935"/>
    <w:rsid w:val="0006605F"/>
    <w:rsid w:val="000661B3"/>
    <w:rsid w:val="000670B9"/>
    <w:rsid w:val="000678E5"/>
    <w:rsid w:val="00067A1F"/>
    <w:rsid w:val="00067D38"/>
    <w:rsid w:val="00067FCC"/>
    <w:rsid w:val="0007028B"/>
    <w:rsid w:val="000705DB"/>
    <w:rsid w:val="0007068F"/>
    <w:rsid w:val="00070767"/>
    <w:rsid w:val="0007083E"/>
    <w:rsid w:val="00071005"/>
    <w:rsid w:val="0007109F"/>
    <w:rsid w:val="00071227"/>
    <w:rsid w:val="00071570"/>
    <w:rsid w:val="0007167D"/>
    <w:rsid w:val="00071829"/>
    <w:rsid w:val="000719B9"/>
    <w:rsid w:val="00072068"/>
    <w:rsid w:val="000723B1"/>
    <w:rsid w:val="00072553"/>
    <w:rsid w:val="00072EB3"/>
    <w:rsid w:val="0007303C"/>
    <w:rsid w:val="00073751"/>
    <w:rsid w:val="00073A2B"/>
    <w:rsid w:val="00073B73"/>
    <w:rsid w:val="00073FCD"/>
    <w:rsid w:val="00074413"/>
    <w:rsid w:val="00074A2E"/>
    <w:rsid w:val="00074A6E"/>
    <w:rsid w:val="00074D4D"/>
    <w:rsid w:val="00075919"/>
    <w:rsid w:val="00075B8C"/>
    <w:rsid w:val="000760D7"/>
    <w:rsid w:val="000768B0"/>
    <w:rsid w:val="000768BE"/>
    <w:rsid w:val="000773DB"/>
    <w:rsid w:val="00077706"/>
    <w:rsid w:val="000778CE"/>
    <w:rsid w:val="0007797E"/>
    <w:rsid w:val="00077DF0"/>
    <w:rsid w:val="00077E44"/>
    <w:rsid w:val="00080491"/>
    <w:rsid w:val="000805B2"/>
    <w:rsid w:val="00080B51"/>
    <w:rsid w:val="0008122C"/>
    <w:rsid w:val="00081C3E"/>
    <w:rsid w:val="00081CD6"/>
    <w:rsid w:val="00081D27"/>
    <w:rsid w:val="00081FAF"/>
    <w:rsid w:val="0008201F"/>
    <w:rsid w:val="00082138"/>
    <w:rsid w:val="00082600"/>
    <w:rsid w:val="000826FC"/>
    <w:rsid w:val="00082825"/>
    <w:rsid w:val="00082A4E"/>
    <w:rsid w:val="00082CDB"/>
    <w:rsid w:val="00082E73"/>
    <w:rsid w:val="00082EEB"/>
    <w:rsid w:val="00083829"/>
    <w:rsid w:val="00083CC1"/>
    <w:rsid w:val="00083D08"/>
    <w:rsid w:val="000840B6"/>
    <w:rsid w:val="000847C2"/>
    <w:rsid w:val="00084841"/>
    <w:rsid w:val="00084FE6"/>
    <w:rsid w:val="0008532A"/>
    <w:rsid w:val="00085403"/>
    <w:rsid w:val="0008564F"/>
    <w:rsid w:val="00085C0D"/>
    <w:rsid w:val="00085D72"/>
    <w:rsid w:val="000860B3"/>
    <w:rsid w:val="00086189"/>
    <w:rsid w:val="0008650D"/>
    <w:rsid w:val="00087129"/>
    <w:rsid w:val="0008728F"/>
    <w:rsid w:val="00087DDB"/>
    <w:rsid w:val="000902E9"/>
    <w:rsid w:val="00090537"/>
    <w:rsid w:val="00090681"/>
    <w:rsid w:val="00090725"/>
    <w:rsid w:val="0009089B"/>
    <w:rsid w:val="00090AC0"/>
    <w:rsid w:val="00090B33"/>
    <w:rsid w:val="00090D20"/>
    <w:rsid w:val="00090D97"/>
    <w:rsid w:val="00091226"/>
    <w:rsid w:val="0009123B"/>
    <w:rsid w:val="000914CC"/>
    <w:rsid w:val="00092112"/>
    <w:rsid w:val="000921E3"/>
    <w:rsid w:val="00092480"/>
    <w:rsid w:val="00092545"/>
    <w:rsid w:val="000925C5"/>
    <w:rsid w:val="00092889"/>
    <w:rsid w:val="00092987"/>
    <w:rsid w:val="00092C3D"/>
    <w:rsid w:val="00092E6A"/>
    <w:rsid w:val="00092F24"/>
    <w:rsid w:val="000934D5"/>
    <w:rsid w:val="00093784"/>
    <w:rsid w:val="000939E1"/>
    <w:rsid w:val="00093B57"/>
    <w:rsid w:val="000944CF"/>
    <w:rsid w:val="00094772"/>
    <w:rsid w:val="00094DC3"/>
    <w:rsid w:val="000952E4"/>
    <w:rsid w:val="00095433"/>
    <w:rsid w:val="00095A91"/>
    <w:rsid w:val="00095D37"/>
    <w:rsid w:val="0009648A"/>
    <w:rsid w:val="00096963"/>
    <w:rsid w:val="00096A81"/>
    <w:rsid w:val="00096D8B"/>
    <w:rsid w:val="00096DB4"/>
    <w:rsid w:val="00097022"/>
    <w:rsid w:val="0009711E"/>
    <w:rsid w:val="000978BD"/>
    <w:rsid w:val="00097DE1"/>
    <w:rsid w:val="000A02B7"/>
    <w:rsid w:val="000A036B"/>
    <w:rsid w:val="000A0679"/>
    <w:rsid w:val="000A0B4A"/>
    <w:rsid w:val="000A0EEF"/>
    <w:rsid w:val="000A1200"/>
    <w:rsid w:val="000A1CC4"/>
    <w:rsid w:val="000A1DD9"/>
    <w:rsid w:val="000A1F9B"/>
    <w:rsid w:val="000A1FEB"/>
    <w:rsid w:val="000A2268"/>
    <w:rsid w:val="000A254D"/>
    <w:rsid w:val="000A28FB"/>
    <w:rsid w:val="000A29AA"/>
    <w:rsid w:val="000A2BBA"/>
    <w:rsid w:val="000A2D3A"/>
    <w:rsid w:val="000A2FFC"/>
    <w:rsid w:val="000A3625"/>
    <w:rsid w:val="000A3797"/>
    <w:rsid w:val="000A3886"/>
    <w:rsid w:val="000A3D8C"/>
    <w:rsid w:val="000A3E4F"/>
    <w:rsid w:val="000A3E93"/>
    <w:rsid w:val="000A44ED"/>
    <w:rsid w:val="000A465A"/>
    <w:rsid w:val="000A47EC"/>
    <w:rsid w:val="000A4E8F"/>
    <w:rsid w:val="000A516A"/>
    <w:rsid w:val="000A533F"/>
    <w:rsid w:val="000A59D3"/>
    <w:rsid w:val="000A5E37"/>
    <w:rsid w:val="000A5F26"/>
    <w:rsid w:val="000A6B9D"/>
    <w:rsid w:val="000A6C89"/>
    <w:rsid w:val="000A6F2B"/>
    <w:rsid w:val="000A7885"/>
    <w:rsid w:val="000A7D10"/>
    <w:rsid w:val="000B0246"/>
    <w:rsid w:val="000B04DA"/>
    <w:rsid w:val="000B0564"/>
    <w:rsid w:val="000B0572"/>
    <w:rsid w:val="000B0E44"/>
    <w:rsid w:val="000B0ECF"/>
    <w:rsid w:val="000B0FAF"/>
    <w:rsid w:val="000B1238"/>
    <w:rsid w:val="000B12A0"/>
    <w:rsid w:val="000B1814"/>
    <w:rsid w:val="000B1889"/>
    <w:rsid w:val="000B1C1B"/>
    <w:rsid w:val="000B1D86"/>
    <w:rsid w:val="000B1EE7"/>
    <w:rsid w:val="000B242E"/>
    <w:rsid w:val="000B2726"/>
    <w:rsid w:val="000B2A90"/>
    <w:rsid w:val="000B2B87"/>
    <w:rsid w:val="000B2C28"/>
    <w:rsid w:val="000B2CD2"/>
    <w:rsid w:val="000B30E9"/>
    <w:rsid w:val="000B3476"/>
    <w:rsid w:val="000B3893"/>
    <w:rsid w:val="000B462F"/>
    <w:rsid w:val="000B48B0"/>
    <w:rsid w:val="000B4A79"/>
    <w:rsid w:val="000B4B24"/>
    <w:rsid w:val="000B4EC1"/>
    <w:rsid w:val="000B504C"/>
    <w:rsid w:val="000B52D2"/>
    <w:rsid w:val="000B58F8"/>
    <w:rsid w:val="000B5912"/>
    <w:rsid w:val="000B5DA4"/>
    <w:rsid w:val="000B5F56"/>
    <w:rsid w:val="000B5F66"/>
    <w:rsid w:val="000B642D"/>
    <w:rsid w:val="000B667D"/>
    <w:rsid w:val="000B6924"/>
    <w:rsid w:val="000B6998"/>
    <w:rsid w:val="000B6FED"/>
    <w:rsid w:val="000B7575"/>
    <w:rsid w:val="000B76DC"/>
    <w:rsid w:val="000B774A"/>
    <w:rsid w:val="000B7C61"/>
    <w:rsid w:val="000B7EFD"/>
    <w:rsid w:val="000C029A"/>
    <w:rsid w:val="000C05E4"/>
    <w:rsid w:val="000C0C1F"/>
    <w:rsid w:val="000C0F17"/>
    <w:rsid w:val="000C1A21"/>
    <w:rsid w:val="000C1E68"/>
    <w:rsid w:val="000C2197"/>
    <w:rsid w:val="000C22D5"/>
    <w:rsid w:val="000C24A7"/>
    <w:rsid w:val="000C2533"/>
    <w:rsid w:val="000C2671"/>
    <w:rsid w:val="000C2947"/>
    <w:rsid w:val="000C2A23"/>
    <w:rsid w:val="000C31C0"/>
    <w:rsid w:val="000C3249"/>
    <w:rsid w:val="000C32E7"/>
    <w:rsid w:val="000C3CED"/>
    <w:rsid w:val="000C4568"/>
    <w:rsid w:val="000C4581"/>
    <w:rsid w:val="000C495F"/>
    <w:rsid w:val="000C4AB6"/>
    <w:rsid w:val="000C50AC"/>
    <w:rsid w:val="000C5153"/>
    <w:rsid w:val="000C539A"/>
    <w:rsid w:val="000C541C"/>
    <w:rsid w:val="000C544F"/>
    <w:rsid w:val="000C5839"/>
    <w:rsid w:val="000C5A39"/>
    <w:rsid w:val="000C5DB7"/>
    <w:rsid w:val="000C5FEF"/>
    <w:rsid w:val="000C6087"/>
    <w:rsid w:val="000C6542"/>
    <w:rsid w:val="000C667B"/>
    <w:rsid w:val="000C69BB"/>
    <w:rsid w:val="000C6A7C"/>
    <w:rsid w:val="000C6A7F"/>
    <w:rsid w:val="000C6BBE"/>
    <w:rsid w:val="000C6E98"/>
    <w:rsid w:val="000C762E"/>
    <w:rsid w:val="000C769D"/>
    <w:rsid w:val="000C7800"/>
    <w:rsid w:val="000C7FE8"/>
    <w:rsid w:val="000D0330"/>
    <w:rsid w:val="000D0380"/>
    <w:rsid w:val="000D070B"/>
    <w:rsid w:val="000D0711"/>
    <w:rsid w:val="000D07BA"/>
    <w:rsid w:val="000D07C3"/>
    <w:rsid w:val="000D0C1F"/>
    <w:rsid w:val="000D0DAB"/>
    <w:rsid w:val="000D0E21"/>
    <w:rsid w:val="000D0F92"/>
    <w:rsid w:val="000D13BD"/>
    <w:rsid w:val="000D14EB"/>
    <w:rsid w:val="000D15AE"/>
    <w:rsid w:val="000D1C71"/>
    <w:rsid w:val="000D23BE"/>
    <w:rsid w:val="000D25A6"/>
    <w:rsid w:val="000D270B"/>
    <w:rsid w:val="000D2E90"/>
    <w:rsid w:val="000D2FF6"/>
    <w:rsid w:val="000D3B04"/>
    <w:rsid w:val="000D3B2C"/>
    <w:rsid w:val="000D479E"/>
    <w:rsid w:val="000D4EE2"/>
    <w:rsid w:val="000D58D9"/>
    <w:rsid w:val="000D5A30"/>
    <w:rsid w:val="000D5D1E"/>
    <w:rsid w:val="000D6373"/>
    <w:rsid w:val="000D64C0"/>
    <w:rsid w:val="000D64D5"/>
    <w:rsid w:val="000D659C"/>
    <w:rsid w:val="000D6808"/>
    <w:rsid w:val="000D6941"/>
    <w:rsid w:val="000D6AA7"/>
    <w:rsid w:val="000D6BE1"/>
    <w:rsid w:val="000D6D7C"/>
    <w:rsid w:val="000D6E3A"/>
    <w:rsid w:val="000D706A"/>
    <w:rsid w:val="000D7606"/>
    <w:rsid w:val="000D7BAF"/>
    <w:rsid w:val="000D7E51"/>
    <w:rsid w:val="000E0196"/>
    <w:rsid w:val="000E03D8"/>
    <w:rsid w:val="000E071D"/>
    <w:rsid w:val="000E092C"/>
    <w:rsid w:val="000E11CD"/>
    <w:rsid w:val="000E12E6"/>
    <w:rsid w:val="000E1694"/>
    <w:rsid w:val="000E1997"/>
    <w:rsid w:val="000E1E60"/>
    <w:rsid w:val="000E22FA"/>
    <w:rsid w:val="000E2695"/>
    <w:rsid w:val="000E28EB"/>
    <w:rsid w:val="000E29E7"/>
    <w:rsid w:val="000E2A92"/>
    <w:rsid w:val="000E2B56"/>
    <w:rsid w:val="000E2C02"/>
    <w:rsid w:val="000E3017"/>
    <w:rsid w:val="000E33D4"/>
    <w:rsid w:val="000E367C"/>
    <w:rsid w:val="000E395D"/>
    <w:rsid w:val="000E3995"/>
    <w:rsid w:val="000E3A6E"/>
    <w:rsid w:val="000E3B9B"/>
    <w:rsid w:val="000E3C88"/>
    <w:rsid w:val="000E3DC8"/>
    <w:rsid w:val="000E40C4"/>
    <w:rsid w:val="000E4332"/>
    <w:rsid w:val="000E4460"/>
    <w:rsid w:val="000E48E9"/>
    <w:rsid w:val="000E4CCB"/>
    <w:rsid w:val="000E4EFD"/>
    <w:rsid w:val="000E4F50"/>
    <w:rsid w:val="000E54A0"/>
    <w:rsid w:val="000E5618"/>
    <w:rsid w:val="000E5B87"/>
    <w:rsid w:val="000E5E2C"/>
    <w:rsid w:val="000E6074"/>
    <w:rsid w:val="000E65F9"/>
    <w:rsid w:val="000E6CC4"/>
    <w:rsid w:val="000E73F1"/>
    <w:rsid w:val="000E7CCA"/>
    <w:rsid w:val="000F001C"/>
    <w:rsid w:val="000F027D"/>
    <w:rsid w:val="000F0589"/>
    <w:rsid w:val="000F05A8"/>
    <w:rsid w:val="000F08E9"/>
    <w:rsid w:val="000F0AB0"/>
    <w:rsid w:val="000F0CCE"/>
    <w:rsid w:val="000F114E"/>
    <w:rsid w:val="000F11DE"/>
    <w:rsid w:val="000F11F3"/>
    <w:rsid w:val="000F1393"/>
    <w:rsid w:val="000F1C6E"/>
    <w:rsid w:val="000F1CB0"/>
    <w:rsid w:val="000F2030"/>
    <w:rsid w:val="000F2058"/>
    <w:rsid w:val="000F2123"/>
    <w:rsid w:val="000F214E"/>
    <w:rsid w:val="000F21A1"/>
    <w:rsid w:val="000F2A60"/>
    <w:rsid w:val="000F2ACB"/>
    <w:rsid w:val="000F2C1D"/>
    <w:rsid w:val="000F300A"/>
    <w:rsid w:val="000F30DC"/>
    <w:rsid w:val="000F3344"/>
    <w:rsid w:val="000F36BC"/>
    <w:rsid w:val="000F385A"/>
    <w:rsid w:val="000F39BA"/>
    <w:rsid w:val="000F3AA6"/>
    <w:rsid w:val="000F3ECA"/>
    <w:rsid w:val="000F44D6"/>
    <w:rsid w:val="000F4918"/>
    <w:rsid w:val="000F4D01"/>
    <w:rsid w:val="000F4DD4"/>
    <w:rsid w:val="000F4EF8"/>
    <w:rsid w:val="000F5ADF"/>
    <w:rsid w:val="000F5BB6"/>
    <w:rsid w:val="000F618A"/>
    <w:rsid w:val="000F61B2"/>
    <w:rsid w:val="000F6447"/>
    <w:rsid w:val="000F663D"/>
    <w:rsid w:val="000F668D"/>
    <w:rsid w:val="000F6909"/>
    <w:rsid w:val="000F6A47"/>
    <w:rsid w:val="000F6C73"/>
    <w:rsid w:val="000F6E5F"/>
    <w:rsid w:val="000F6F57"/>
    <w:rsid w:val="000F75C9"/>
    <w:rsid w:val="000F763E"/>
    <w:rsid w:val="000F77AD"/>
    <w:rsid w:val="000F78A2"/>
    <w:rsid w:val="000F78DC"/>
    <w:rsid w:val="000F7A12"/>
    <w:rsid w:val="000F7A5C"/>
    <w:rsid w:val="000F7CB0"/>
    <w:rsid w:val="000F7E0A"/>
    <w:rsid w:val="000F7E8E"/>
    <w:rsid w:val="0010018E"/>
    <w:rsid w:val="00100655"/>
    <w:rsid w:val="00100882"/>
    <w:rsid w:val="001008B5"/>
    <w:rsid w:val="001009F9"/>
    <w:rsid w:val="00100AEF"/>
    <w:rsid w:val="00100EEA"/>
    <w:rsid w:val="00100EF8"/>
    <w:rsid w:val="0010105F"/>
    <w:rsid w:val="0010204D"/>
    <w:rsid w:val="001021F2"/>
    <w:rsid w:val="00102329"/>
    <w:rsid w:val="0010237B"/>
    <w:rsid w:val="00102951"/>
    <w:rsid w:val="00102CEE"/>
    <w:rsid w:val="001033FA"/>
    <w:rsid w:val="0010371B"/>
    <w:rsid w:val="00103993"/>
    <w:rsid w:val="00103AC5"/>
    <w:rsid w:val="00103C8D"/>
    <w:rsid w:val="00104509"/>
    <w:rsid w:val="00104FF7"/>
    <w:rsid w:val="001061B1"/>
    <w:rsid w:val="001062E7"/>
    <w:rsid w:val="0010637D"/>
    <w:rsid w:val="00106711"/>
    <w:rsid w:val="00106747"/>
    <w:rsid w:val="001068BC"/>
    <w:rsid w:val="00106E6B"/>
    <w:rsid w:val="00106EEB"/>
    <w:rsid w:val="00107047"/>
    <w:rsid w:val="00107245"/>
    <w:rsid w:val="001077F7"/>
    <w:rsid w:val="00107C4B"/>
    <w:rsid w:val="00107E25"/>
    <w:rsid w:val="00110132"/>
    <w:rsid w:val="00110143"/>
    <w:rsid w:val="001102DD"/>
    <w:rsid w:val="001103DA"/>
    <w:rsid w:val="00110ACD"/>
    <w:rsid w:val="00110B37"/>
    <w:rsid w:val="00110C56"/>
    <w:rsid w:val="001115ED"/>
    <w:rsid w:val="00112024"/>
    <w:rsid w:val="00113194"/>
    <w:rsid w:val="001137CB"/>
    <w:rsid w:val="001144BC"/>
    <w:rsid w:val="00114856"/>
    <w:rsid w:val="00114A39"/>
    <w:rsid w:val="00114DF6"/>
    <w:rsid w:val="00114EB3"/>
    <w:rsid w:val="00115AB9"/>
    <w:rsid w:val="00115B9C"/>
    <w:rsid w:val="00115E1B"/>
    <w:rsid w:val="0011605C"/>
    <w:rsid w:val="00116128"/>
    <w:rsid w:val="00116321"/>
    <w:rsid w:val="00116542"/>
    <w:rsid w:val="001169DC"/>
    <w:rsid w:val="00116B9E"/>
    <w:rsid w:val="00116CAC"/>
    <w:rsid w:val="00116EB8"/>
    <w:rsid w:val="00116F5D"/>
    <w:rsid w:val="00117AF5"/>
    <w:rsid w:val="00117E0D"/>
    <w:rsid w:val="001208C8"/>
    <w:rsid w:val="001209B5"/>
    <w:rsid w:val="00120ACA"/>
    <w:rsid w:val="00120C8F"/>
    <w:rsid w:val="00120E30"/>
    <w:rsid w:val="00120FC7"/>
    <w:rsid w:val="001213F3"/>
    <w:rsid w:val="0012153B"/>
    <w:rsid w:val="00121B7C"/>
    <w:rsid w:val="00121BE9"/>
    <w:rsid w:val="00121D19"/>
    <w:rsid w:val="00121D8E"/>
    <w:rsid w:val="0012202B"/>
    <w:rsid w:val="001221A8"/>
    <w:rsid w:val="00122226"/>
    <w:rsid w:val="0012264C"/>
    <w:rsid w:val="00122F3A"/>
    <w:rsid w:val="00122FC4"/>
    <w:rsid w:val="00123394"/>
    <w:rsid w:val="00123ED9"/>
    <w:rsid w:val="001240B7"/>
    <w:rsid w:val="00124A99"/>
    <w:rsid w:val="00125098"/>
    <w:rsid w:val="00125537"/>
    <w:rsid w:val="00125707"/>
    <w:rsid w:val="00125FC3"/>
    <w:rsid w:val="001262CE"/>
    <w:rsid w:val="001264FA"/>
    <w:rsid w:val="00126A49"/>
    <w:rsid w:val="001270FE"/>
    <w:rsid w:val="001272D2"/>
    <w:rsid w:val="00127575"/>
    <w:rsid w:val="00127870"/>
    <w:rsid w:val="001279B9"/>
    <w:rsid w:val="00127DFE"/>
    <w:rsid w:val="001304B8"/>
    <w:rsid w:val="0013074F"/>
    <w:rsid w:val="00130A26"/>
    <w:rsid w:val="00130E50"/>
    <w:rsid w:val="00130E84"/>
    <w:rsid w:val="00131312"/>
    <w:rsid w:val="00132351"/>
    <w:rsid w:val="00132400"/>
    <w:rsid w:val="00132A72"/>
    <w:rsid w:val="00132D4E"/>
    <w:rsid w:val="00133005"/>
    <w:rsid w:val="00133143"/>
    <w:rsid w:val="00133275"/>
    <w:rsid w:val="00133ABA"/>
    <w:rsid w:val="00133BD7"/>
    <w:rsid w:val="00133DDE"/>
    <w:rsid w:val="001341BD"/>
    <w:rsid w:val="00134339"/>
    <w:rsid w:val="00134910"/>
    <w:rsid w:val="00134A34"/>
    <w:rsid w:val="00134B55"/>
    <w:rsid w:val="00134BC0"/>
    <w:rsid w:val="001350A9"/>
    <w:rsid w:val="001357C1"/>
    <w:rsid w:val="00135BC3"/>
    <w:rsid w:val="00135CD9"/>
    <w:rsid w:val="00136282"/>
    <w:rsid w:val="00136456"/>
    <w:rsid w:val="001364EF"/>
    <w:rsid w:val="00136B56"/>
    <w:rsid w:val="00136E01"/>
    <w:rsid w:val="00137131"/>
    <w:rsid w:val="00137819"/>
    <w:rsid w:val="00137BA3"/>
    <w:rsid w:val="0014062B"/>
    <w:rsid w:val="00140A12"/>
    <w:rsid w:val="00140A36"/>
    <w:rsid w:val="00140B7E"/>
    <w:rsid w:val="00141287"/>
    <w:rsid w:val="00141597"/>
    <w:rsid w:val="0014168B"/>
    <w:rsid w:val="00141DC3"/>
    <w:rsid w:val="00141F10"/>
    <w:rsid w:val="00141FB1"/>
    <w:rsid w:val="0014262E"/>
    <w:rsid w:val="00142970"/>
    <w:rsid w:val="00142A70"/>
    <w:rsid w:val="00142B3A"/>
    <w:rsid w:val="00142F35"/>
    <w:rsid w:val="0014326D"/>
    <w:rsid w:val="001432F2"/>
    <w:rsid w:val="001434DA"/>
    <w:rsid w:val="00143518"/>
    <w:rsid w:val="00143659"/>
    <w:rsid w:val="0014370E"/>
    <w:rsid w:val="00143CBA"/>
    <w:rsid w:val="00143F9B"/>
    <w:rsid w:val="00144E64"/>
    <w:rsid w:val="00144E94"/>
    <w:rsid w:val="00144F0C"/>
    <w:rsid w:val="00145025"/>
    <w:rsid w:val="0014533D"/>
    <w:rsid w:val="00145514"/>
    <w:rsid w:val="00145564"/>
    <w:rsid w:val="0014586D"/>
    <w:rsid w:val="00145B9A"/>
    <w:rsid w:val="00145B9D"/>
    <w:rsid w:val="0014619D"/>
    <w:rsid w:val="00146713"/>
    <w:rsid w:val="00146A5D"/>
    <w:rsid w:val="00146CA1"/>
    <w:rsid w:val="00146F3D"/>
    <w:rsid w:val="00146FD7"/>
    <w:rsid w:val="0014708D"/>
    <w:rsid w:val="00147671"/>
    <w:rsid w:val="0014791E"/>
    <w:rsid w:val="00147C66"/>
    <w:rsid w:val="001501F6"/>
    <w:rsid w:val="0015078E"/>
    <w:rsid w:val="00150FE0"/>
    <w:rsid w:val="001517F7"/>
    <w:rsid w:val="00151937"/>
    <w:rsid w:val="00152208"/>
    <w:rsid w:val="0015242B"/>
    <w:rsid w:val="001527D9"/>
    <w:rsid w:val="0015281B"/>
    <w:rsid w:val="0015284C"/>
    <w:rsid w:val="00152D57"/>
    <w:rsid w:val="001533F0"/>
    <w:rsid w:val="001538D0"/>
    <w:rsid w:val="001539CA"/>
    <w:rsid w:val="00153B66"/>
    <w:rsid w:val="00153CED"/>
    <w:rsid w:val="0015479D"/>
    <w:rsid w:val="001549C4"/>
    <w:rsid w:val="00154C2F"/>
    <w:rsid w:val="00154C94"/>
    <w:rsid w:val="00155082"/>
    <w:rsid w:val="00155B2B"/>
    <w:rsid w:val="00155CD0"/>
    <w:rsid w:val="00155E02"/>
    <w:rsid w:val="00155E98"/>
    <w:rsid w:val="00155EB8"/>
    <w:rsid w:val="00155FF8"/>
    <w:rsid w:val="00156141"/>
    <w:rsid w:val="00156358"/>
    <w:rsid w:val="00157872"/>
    <w:rsid w:val="00157BC2"/>
    <w:rsid w:val="00160AEE"/>
    <w:rsid w:val="00160BFA"/>
    <w:rsid w:val="0016114E"/>
    <w:rsid w:val="0016115C"/>
    <w:rsid w:val="0016166C"/>
    <w:rsid w:val="001617AD"/>
    <w:rsid w:val="00161C6A"/>
    <w:rsid w:val="00161DF4"/>
    <w:rsid w:val="001621A8"/>
    <w:rsid w:val="0016226E"/>
    <w:rsid w:val="00162596"/>
    <w:rsid w:val="00162EE4"/>
    <w:rsid w:val="00163285"/>
    <w:rsid w:val="00163788"/>
    <w:rsid w:val="00163900"/>
    <w:rsid w:val="00163F51"/>
    <w:rsid w:val="0016413B"/>
    <w:rsid w:val="00164173"/>
    <w:rsid w:val="001641FE"/>
    <w:rsid w:val="00164258"/>
    <w:rsid w:val="00164B8F"/>
    <w:rsid w:val="00164FBB"/>
    <w:rsid w:val="00165164"/>
    <w:rsid w:val="00165450"/>
    <w:rsid w:val="001655B7"/>
    <w:rsid w:val="0016565F"/>
    <w:rsid w:val="00165768"/>
    <w:rsid w:val="00165C96"/>
    <w:rsid w:val="00165CF9"/>
    <w:rsid w:val="00166566"/>
    <w:rsid w:val="0016678A"/>
    <w:rsid w:val="001667CA"/>
    <w:rsid w:val="0016682C"/>
    <w:rsid w:val="001670B0"/>
    <w:rsid w:val="00167389"/>
    <w:rsid w:val="00167D62"/>
    <w:rsid w:val="0017071C"/>
    <w:rsid w:val="00170B88"/>
    <w:rsid w:val="00170C3B"/>
    <w:rsid w:val="00170D00"/>
    <w:rsid w:val="00170D51"/>
    <w:rsid w:val="00171071"/>
    <w:rsid w:val="001712A3"/>
    <w:rsid w:val="001721F8"/>
    <w:rsid w:val="00172343"/>
    <w:rsid w:val="001723E2"/>
    <w:rsid w:val="0017246F"/>
    <w:rsid w:val="001727CE"/>
    <w:rsid w:val="001728FA"/>
    <w:rsid w:val="001729D7"/>
    <w:rsid w:val="00172BE9"/>
    <w:rsid w:val="00172E1A"/>
    <w:rsid w:val="001741B7"/>
    <w:rsid w:val="00174269"/>
    <w:rsid w:val="001746C8"/>
    <w:rsid w:val="00174CE4"/>
    <w:rsid w:val="0017519F"/>
    <w:rsid w:val="001751FE"/>
    <w:rsid w:val="001757BA"/>
    <w:rsid w:val="00175A36"/>
    <w:rsid w:val="00175D44"/>
    <w:rsid w:val="00175F9F"/>
    <w:rsid w:val="001767FF"/>
    <w:rsid w:val="00177353"/>
    <w:rsid w:val="001774B4"/>
    <w:rsid w:val="00177854"/>
    <w:rsid w:val="00177E77"/>
    <w:rsid w:val="00180015"/>
    <w:rsid w:val="001800A6"/>
    <w:rsid w:val="00180392"/>
    <w:rsid w:val="00180836"/>
    <w:rsid w:val="00180A20"/>
    <w:rsid w:val="00180B13"/>
    <w:rsid w:val="00180BA2"/>
    <w:rsid w:val="001815C7"/>
    <w:rsid w:val="001815CB"/>
    <w:rsid w:val="00181C3C"/>
    <w:rsid w:val="00181D75"/>
    <w:rsid w:val="001828D6"/>
    <w:rsid w:val="001828D8"/>
    <w:rsid w:val="00183044"/>
    <w:rsid w:val="00183279"/>
    <w:rsid w:val="00183299"/>
    <w:rsid w:val="0018348F"/>
    <w:rsid w:val="00183786"/>
    <w:rsid w:val="001839E6"/>
    <w:rsid w:val="00183AAF"/>
    <w:rsid w:val="00183C36"/>
    <w:rsid w:val="001842CA"/>
    <w:rsid w:val="00184359"/>
    <w:rsid w:val="00184803"/>
    <w:rsid w:val="00184AE6"/>
    <w:rsid w:val="00184AF2"/>
    <w:rsid w:val="0018528D"/>
    <w:rsid w:val="00185A42"/>
    <w:rsid w:val="001866AF"/>
    <w:rsid w:val="001866D3"/>
    <w:rsid w:val="001867E2"/>
    <w:rsid w:val="001868E6"/>
    <w:rsid w:val="00186A06"/>
    <w:rsid w:val="00186B81"/>
    <w:rsid w:val="0018733B"/>
    <w:rsid w:val="001874B0"/>
    <w:rsid w:val="001908E2"/>
    <w:rsid w:val="00190BF7"/>
    <w:rsid w:val="00190EDA"/>
    <w:rsid w:val="0019142C"/>
    <w:rsid w:val="001916DA"/>
    <w:rsid w:val="00191B00"/>
    <w:rsid w:val="00191B1F"/>
    <w:rsid w:val="001920E6"/>
    <w:rsid w:val="001924D7"/>
    <w:rsid w:val="0019260F"/>
    <w:rsid w:val="00192842"/>
    <w:rsid w:val="00192861"/>
    <w:rsid w:val="001929A1"/>
    <w:rsid w:val="001929E4"/>
    <w:rsid w:val="00192F7F"/>
    <w:rsid w:val="001939FC"/>
    <w:rsid w:val="00193A96"/>
    <w:rsid w:val="00193CCA"/>
    <w:rsid w:val="00193DF1"/>
    <w:rsid w:val="001946CA"/>
    <w:rsid w:val="00195187"/>
    <w:rsid w:val="001955C2"/>
    <w:rsid w:val="00195614"/>
    <w:rsid w:val="001956C7"/>
    <w:rsid w:val="001957C5"/>
    <w:rsid w:val="00195B52"/>
    <w:rsid w:val="00195EBA"/>
    <w:rsid w:val="00195F1B"/>
    <w:rsid w:val="00196012"/>
    <w:rsid w:val="00196123"/>
    <w:rsid w:val="00196172"/>
    <w:rsid w:val="001964D2"/>
    <w:rsid w:val="00196724"/>
    <w:rsid w:val="00196809"/>
    <w:rsid w:val="00196F8F"/>
    <w:rsid w:val="00197157"/>
    <w:rsid w:val="001976A6"/>
    <w:rsid w:val="001976EC"/>
    <w:rsid w:val="00197731"/>
    <w:rsid w:val="00197957"/>
    <w:rsid w:val="00197976"/>
    <w:rsid w:val="001A04C4"/>
    <w:rsid w:val="001A0563"/>
    <w:rsid w:val="001A07B9"/>
    <w:rsid w:val="001A09CC"/>
    <w:rsid w:val="001A1014"/>
    <w:rsid w:val="001A13DD"/>
    <w:rsid w:val="001A1B7D"/>
    <w:rsid w:val="001A215E"/>
    <w:rsid w:val="001A2BDE"/>
    <w:rsid w:val="001A2C19"/>
    <w:rsid w:val="001A2CD7"/>
    <w:rsid w:val="001A2D00"/>
    <w:rsid w:val="001A2EA5"/>
    <w:rsid w:val="001A31A5"/>
    <w:rsid w:val="001A31D1"/>
    <w:rsid w:val="001A333E"/>
    <w:rsid w:val="001A33CA"/>
    <w:rsid w:val="001A34E1"/>
    <w:rsid w:val="001A3685"/>
    <w:rsid w:val="001A3D42"/>
    <w:rsid w:val="001A3DB7"/>
    <w:rsid w:val="001A3E24"/>
    <w:rsid w:val="001A3EAC"/>
    <w:rsid w:val="001A48E1"/>
    <w:rsid w:val="001A4AA9"/>
    <w:rsid w:val="001A4C05"/>
    <w:rsid w:val="001A4C0D"/>
    <w:rsid w:val="001A4F14"/>
    <w:rsid w:val="001A53C2"/>
    <w:rsid w:val="001A53D7"/>
    <w:rsid w:val="001A5654"/>
    <w:rsid w:val="001A574D"/>
    <w:rsid w:val="001A59B2"/>
    <w:rsid w:val="001A5F2E"/>
    <w:rsid w:val="001A628E"/>
    <w:rsid w:val="001A6814"/>
    <w:rsid w:val="001A6C9A"/>
    <w:rsid w:val="001A72DB"/>
    <w:rsid w:val="001A7671"/>
    <w:rsid w:val="001A77E2"/>
    <w:rsid w:val="001B01CA"/>
    <w:rsid w:val="001B0252"/>
    <w:rsid w:val="001B06A7"/>
    <w:rsid w:val="001B08CB"/>
    <w:rsid w:val="001B093A"/>
    <w:rsid w:val="001B0AEC"/>
    <w:rsid w:val="001B0CA6"/>
    <w:rsid w:val="001B196D"/>
    <w:rsid w:val="001B1C88"/>
    <w:rsid w:val="001B1F8C"/>
    <w:rsid w:val="001B21BB"/>
    <w:rsid w:val="001B2448"/>
    <w:rsid w:val="001B275B"/>
    <w:rsid w:val="001B291E"/>
    <w:rsid w:val="001B3B06"/>
    <w:rsid w:val="001B3C10"/>
    <w:rsid w:val="001B3C25"/>
    <w:rsid w:val="001B3E82"/>
    <w:rsid w:val="001B4038"/>
    <w:rsid w:val="001B4316"/>
    <w:rsid w:val="001B4571"/>
    <w:rsid w:val="001B4B0F"/>
    <w:rsid w:val="001B4D6D"/>
    <w:rsid w:val="001B4E28"/>
    <w:rsid w:val="001B4F3B"/>
    <w:rsid w:val="001B569C"/>
    <w:rsid w:val="001B5A5A"/>
    <w:rsid w:val="001B5CE6"/>
    <w:rsid w:val="001B617C"/>
    <w:rsid w:val="001B63CB"/>
    <w:rsid w:val="001B63D3"/>
    <w:rsid w:val="001B67E3"/>
    <w:rsid w:val="001B6878"/>
    <w:rsid w:val="001B73E2"/>
    <w:rsid w:val="001B79A7"/>
    <w:rsid w:val="001C0011"/>
    <w:rsid w:val="001C0146"/>
    <w:rsid w:val="001C021E"/>
    <w:rsid w:val="001C0442"/>
    <w:rsid w:val="001C0487"/>
    <w:rsid w:val="001C103E"/>
    <w:rsid w:val="001C128E"/>
    <w:rsid w:val="001C12F9"/>
    <w:rsid w:val="001C1358"/>
    <w:rsid w:val="001C167D"/>
    <w:rsid w:val="001C1714"/>
    <w:rsid w:val="001C1BA4"/>
    <w:rsid w:val="001C1E98"/>
    <w:rsid w:val="001C2978"/>
    <w:rsid w:val="001C2D1A"/>
    <w:rsid w:val="001C2D54"/>
    <w:rsid w:val="001C2E41"/>
    <w:rsid w:val="001C30C4"/>
    <w:rsid w:val="001C32C6"/>
    <w:rsid w:val="001C3765"/>
    <w:rsid w:val="001C38E3"/>
    <w:rsid w:val="001C3BF8"/>
    <w:rsid w:val="001C3F5B"/>
    <w:rsid w:val="001C476C"/>
    <w:rsid w:val="001C494C"/>
    <w:rsid w:val="001C4E33"/>
    <w:rsid w:val="001C4E7E"/>
    <w:rsid w:val="001C507D"/>
    <w:rsid w:val="001C57B5"/>
    <w:rsid w:val="001C5A30"/>
    <w:rsid w:val="001C5EF1"/>
    <w:rsid w:val="001C6054"/>
    <w:rsid w:val="001C613F"/>
    <w:rsid w:val="001C62B2"/>
    <w:rsid w:val="001C6717"/>
    <w:rsid w:val="001C6EF3"/>
    <w:rsid w:val="001C7132"/>
    <w:rsid w:val="001C7363"/>
    <w:rsid w:val="001C74C5"/>
    <w:rsid w:val="001C78EC"/>
    <w:rsid w:val="001C78F0"/>
    <w:rsid w:val="001C7B9D"/>
    <w:rsid w:val="001C7D53"/>
    <w:rsid w:val="001D00E0"/>
    <w:rsid w:val="001D0378"/>
    <w:rsid w:val="001D07CD"/>
    <w:rsid w:val="001D0874"/>
    <w:rsid w:val="001D088A"/>
    <w:rsid w:val="001D0CB0"/>
    <w:rsid w:val="001D0D5F"/>
    <w:rsid w:val="001D0E5E"/>
    <w:rsid w:val="001D15F4"/>
    <w:rsid w:val="001D16B9"/>
    <w:rsid w:val="001D1BF8"/>
    <w:rsid w:val="001D1E12"/>
    <w:rsid w:val="001D2320"/>
    <w:rsid w:val="001D25AD"/>
    <w:rsid w:val="001D2F32"/>
    <w:rsid w:val="001D2FDF"/>
    <w:rsid w:val="001D36C9"/>
    <w:rsid w:val="001D3747"/>
    <w:rsid w:val="001D3E72"/>
    <w:rsid w:val="001D404A"/>
    <w:rsid w:val="001D4286"/>
    <w:rsid w:val="001D435F"/>
    <w:rsid w:val="001D45D5"/>
    <w:rsid w:val="001D4A37"/>
    <w:rsid w:val="001D4C00"/>
    <w:rsid w:val="001D4C02"/>
    <w:rsid w:val="001D5112"/>
    <w:rsid w:val="001D511F"/>
    <w:rsid w:val="001D54D2"/>
    <w:rsid w:val="001D58F2"/>
    <w:rsid w:val="001D5C89"/>
    <w:rsid w:val="001D5CBA"/>
    <w:rsid w:val="001D67DB"/>
    <w:rsid w:val="001D6892"/>
    <w:rsid w:val="001D68BC"/>
    <w:rsid w:val="001D699E"/>
    <w:rsid w:val="001D6B57"/>
    <w:rsid w:val="001D6D5F"/>
    <w:rsid w:val="001D702E"/>
    <w:rsid w:val="001D72D2"/>
    <w:rsid w:val="001D76D8"/>
    <w:rsid w:val="001D77D9"/>
    <w:rsid w:val="001E00F0"/>
    <w:rsid w:val="001E049C"/>
    <w:rsid w:val="001E0962"/>
    <w:rsid w:val="001E0BD1"/>
    <w:rsid w:val="001E0FBA"/>
    <w:rsid w:val="001E14D2"/>
    <w:rsid w:val="001E15F4"/>
    <w:rsid w:val="001E170D"/>
    <w:rsid w:val="001E17B2"/>
    <w:rsid w:val="001E1C28"/>
    <w:rsid w:val="001E2103"/>
    <w:rsid w:val="001E2154"/>
    <w:rsid w:val="001E231C"/>
    <w:rsid w:val="001E2609"/>
    <w:rsid w:val="001E289E"/>
    <w:rsid w:val="001E305D"/>
    <w:rsid w:val="001E32A7"/>
    <w:rsid w:val="001E3438"/>
    <w:rsid w:val="001E3467"/>
    <w:rsid w:val="001E34B0"/>
    <w:rsid w:val="001E3942"/>
    <w:rsid w:val="001E3946"/>
    <w:rsid w:val="001E4736"/>
    <w:rsid w:val="001E49C6"/>
    <w:rsid w:val="001E4A21"/>
    <w:rsid w:val="001E5229"/>
    <w:rsid w:val="001E5658"/>
    <w:rsid w:val="001E5682"/>
    <w:rsid w:val="001E5866"/>
    <w:rsid w:val="001E5984"/>
    <w:rsid w:val="001E5AA0"/>
    <w:rsid w:val="001E6265"/>
    <w:rsid w:val="001E6A3D"/>
    <w:rsid w:val="001E6FE9"/>
    <w:rsid w:val="001E7071"/>
    <w:rsid w:val="001E728E"/>
    <w:rsid w:val="001E72AB"/>
    <w:rsid w:val="001E74C2"/>
    <w:rsid w:val="001E7583"/>
    <w:rsid w:val="001E762C"/>
    <w:rsid w:val="001E76CD"/>
    <w:rsid w:val="001E7B24"/>
    <w:rsid w:val="001E7B33"/>
    <w:rsid w:val="001E7D59"/>
    <w:rsid w:val="001E7E78"/>
    <w:rsid w:val="001F04F7"/>
    <w:rsid w:val="001F0572"/>
    <w:rsid w:val="001F0AC6"/>
    <w:rsid w:val="001F0EF6"/>
    <w:rsid w:val="001F1149"/>
    <w:rsid w:val="001F1272"/>
    <w:rsid w:val="001F177A"/>
    <w:rsid w:val="001F1BF5"/>
    <w:rsid w:val="001F1C04"/>
    <w:rsid w:val="001F1C36"/>
    <w:rsid w:val="001F1CC7"/>
    <w:rsid w:val="001F2005"/>
    <w:rsid w:val="001F21BA"/>
    <w:rsid w:val="001F2343"/>
    <w:rsid w:val="001F23C6"/>
    <w:rsid w:val="001F24C3"/>
    <w:rsid w:val="001F2BA3"/>
    <w:rsid w:val="001F34B4"/>
    <w:rsid w:val="001F35C1"/>
    <w:rsid w:val="001F3800"/>
    <w:rsid w:val="001F3A96"/>
    <w:rsid w:val="001F3B05"/>
    <w:rsid w:val="001F46F4"/>
    <w:rsid w:val="001F47F4"/>
    <w:rsid w:val="001F487E"/>
    <w:rsid w:val="001F4B2D"/>
    <w:rsid w:val="001F4C41"/>
    <w:rsid w:val="001F4CA8"/>
    <w:rsid w:val="001F4DE3"/>
    <w:rsid w:val="001F4EDB"/>
    <w:rsid w:val="001F503A"/>
    <w:rsid w:val="001F5091"/>
    <w:rsid w:val="001F50DD"/>
    <w:rsid w:val="001F523A"/>
    <w:rsid w:val="001F5443"/>
    <w:rsid w:val="001F5A0F"/>
    <w:rsid w:val="001F5AAF"/>
    <w:rsid w:val="001F5B73"/>
    <w:rsid w:val="001F5BA6"/>
    <w:rsid w:val="001F5D8B"/>
    <w:rsid w:val="001F6173"/>
    <w:rsid w:val="001F6332"/>
    <w:rsid w:val="001F64C1"/>
    <w:rsid w:val="001F695B"/>
    <w:rsid w:val="001F719E"/>
    <w:rsid w:val="001F7368"/>
    <w:rsid w:val="001F748E"/>
    <w:rsid w:val="001F76E1"/>
    <w:rsid w:val="001F777F"/>
    <w:rsid w:val="00200026"/>
    <w:rsid w:val="002002CB"/>
    <w:rsid w:val="002002E3"/>
    <w:rsid w:val="00200322"/>
    <w:rsid w:val="00200367"/>
    <w:rsid w:val="002014F7"/>
    <w:rsid w:val="00201A24"/>
    <w:rsid w:val="00201BE7"/>
    <w:rsid w:val="00201C1B"/>
    <w:rsid w:val="00201E7C"/>
    <w:rsid w:val="00202922"/>
    <w:rsid w:val="00202B47"/>
    <w:rsid w:val="0020366F"/>
    <w:rsid w:val="002037A7"/>
    <w:rsid w:val="002039CC"/>
    <w:rsid w:val="00203C5D"/>
    <w:rsid w:val="00203D54"/>
    <w:rsid w:val="00203D9C"/>
    <w:rsid w:val="00204066"/>
    <w:rsid w:val="00204714"/>
    <w:rsid w:val="002048AE"/>
    <w:rsid w:val="00204D2C"/>
    <w:rsid w:val="00205423"/>
    <w:rsid w:val="00205BE3"/>
    <w:rsid w:val="00205F7E"/>
    <w:rsid w:val="00205FF0"/>
    <w:rsid w:val="0020608B"/>
    <w:rsid w:val="00206173"/>
    <w:rsid w:val="0020652A"/>
    <w:rsid w:val="002066AD"/>
    <w:rsid w:val="0020693C"/>
    <w:rsid w:val="00206ABB"/>
    <w:rsid w:val="00206BC1"/>
    <w:rsid w:val="00206DCB"/>
    <w:rsid w:val="00206F27"/>
    <w:rsid w:val="002071AC"/>
    <w:rsid w:val="00207427"/>
    <w:rsid w:val="00207630"/>
    <w:rsid w:val="00207693"/>
    <w:rsid w:val="002077E3"/>
    <w:rsid w:val="00207845"/>
    <w:rsid w:val="00207983"/>
    <w:rsid w:val="00210093"/>
    <w:rsid w:val="0021010C"/>
    <w:rsid w:val="00210400"/>
    <w:rsid w:val="00210496"/>
    <w:rsid w:val="002106E4"/>
    <w:rsid w:val="002108E6"/>
    <w:rsid w:val="002109C9"/>
    <w:rsid w:val="00210E22"/>
    <w:rsid w:val="00211977"/>
    <w:rsid w:val="002119CD"/>
    <w:rsid w:val="00211A19"/>
    <w:rsid w:val="00211FF8"/>
    <w:rsid w:val="00212032"/>
    <w:rsid w:val="0021229F"/>
    <w:rsid w:val="002128E5"/>
    <w:rsid w:val="00212E4A"/>
    <w:rsid w:val="00212FD3"/>
    <w:rsid w:val="002131A0"/>
    <w:rsid w:val="00213B86"/>
    <w:rsid w:val="00213C73"/>
    <w:rsid w:val="00213D99"/>
    <w:rsid w:val="00213F37"/>
    <w:rsid w:val="00214A4C"/>
    <w:rsid w:val="00214AAA"/>
    <w:rsid w:val="00214B5F"/>
    <w:rsid w:val="00214BDB"/>
    <w:rsid w:val="00214C65"/>
    <w:rsid w:val="00214F4C"/>
    <w:rsid w:val="00215248"/>
    <w:rsid w:val="00215964"/>
    <w:rsid w:val="00215AD4"/>
    <w:rsid w:val="00215E2B"/>
    <w:rsid w:val="00215F6C"/>
    <w:rsid w:val="002167A6"/>
    <w:rsid w:val="0021692C"/>
    <w:rsid w:val="00216962"/>
    <w:rsid w:val="0021723A"/>
    <w:rsid w:val="00217577"/>
    <w:rsid w:val="0021758D"/>
    <w:rsid w:val="002178C0"/>
    <w:rsid w:val="00217D45"/>
    <w:rsid w:val="0022012E"/>
    <w:rsid w:val="00220B70"/>
    <w:rsid w:val="00220E52"/>
    <w:rsid w:val="00220E72"/>
    <w:rsid w:val="002212EF"/>
    <w:rsid w:val="00221761"/>
    <w:rsid w:val="0022193F"/>
    <w:rsid w:val="00222149"/>
    <w:rsid w:val="0022228B"/>
    <w:rsid w:val="002223DA"/>
    <w:rsid w:val="00222735"/>
    <w:rsid w:val="00222D51"/>
    <w:rsid w:val="00222DE4"/>
    <w:rsid w:val="00223412"/>
    <w:rsid w:val="0022341C"/>
    <w:rsid w:val="002234F3"/>
    <w:rsid w:val="002237DB"/>
    <w:rsid w:val="00223869"/>
    <w:rsid w:val="00223B38"/>
    <w:rsid w:val="00223F6A"/>
    <w:rsid w:val="00224120"/>
    <w:rsid w:val="0022414A"/>
    <w:rsid w:val="002241B7"/>
    <w:rsid w:val="00224C24"/>
    <w:rsid w:val="00224CB0"/>
    <w:rsid w:val="00224DC2"/>
    <w:rsid w:val="0022592B"/>
    <w:rsid w:val="00225B64"/>
    <w:rsid w:val="002263FF"/>
    <w:rsid w:val="002264C8"/>
    <w:rsid w:val="002265C0"/>
    <w:rsid w:val="002268C4"/>
    <w:rsid w:val="00226942"/>
    <w:rsid w:val="00226BE5"/>
    <w:rsid w:val="00226C6E"/>
    <w:rsid w:val="00227381"/>
    <w:rsid w:val="00227677"/>
    <w:rsid w:val="00227E24"/>
    <w:rsid w:val="00227E3E"/>
    <w:rsid w:val="00231256"/>
    <w:rsid w:val="00231569"/>
    <w:rsid w:val="0023180C"/>
    <w:rsid w:val="00231B97"/>
    <w:rsid w:val="002320A8"/>
    <w:rsid w:val="00232195"/>
    <w:rsid w:val="00232446"/>
    <w:rsid w:val="002329B5"/>
    <w:rsid w:val="00232C23"/>
    <w:rsid w:val="00232F6C"/>
    <w:rsid w:val="00232FC9"/>
    <w:rsid w:val="002332A8"/>
    <w:rsid w:val="00233B1D"/>
    <w:rsid w:val="00233EFB"/>
    <w:rsid w:val="002345AC"/>
    <w:rsid w:val="0023461B"/>
    <w:rsid w:val="00234876"/>
    <w:rsid w:val="0023510F"/>
    <w:rsid w:val="0023578E"/>
    <w:rsid w:val="00236048"/>
    <w:rsid w:val="00236741"/>
    <w:rsid w:val="0023695C"/>
    <w:rsid w:val="00236EA6"/>
    <w:rsid w:val="00237139"/>
    <w:rsid w:val="002374B2"/>
    <w:rsid w:val="00237EEF"/>
    <w:rsid w:val="002406B2"/>
    <w:rsid w:val="002408DB"/>
    <w:rsid w:val="00240D78"/>
    <w:rsid w:val="00240FB3"/>
    <w:rsid w:val="00241109"/>
    <w:rsid w:val="00241221"/>
    <w:rsid w:val="0024139B"/>
    <w:rsid w:val="00241422"/>
    <w:rsid w:val="002416E0"/>
    <w:rsid w:val="00241853"/>
    <w:rsid w:val="002419B9"/>
    <w:rsid w:val="002419F9"/>
    <w:rsid w:val="00241EB6"/>
    <w:rsid w:val="00242180"/>
    <w:rsid w:val="002424CE"/>
    <w:rsid w:val="00242731"/>
    <w:rsid w:val="00242811"/>
    <w:rsid w:val="00242A55"/>
    <w:rsid w:val="00242EB0"/>
    <w:rsid w:val="00243DFB"/>
    <w:rsid w:val="00243DFE"/>
    <w:rsid w:val="00244051"/>
    <w:rsid w:val="00244687"/>
    <w:rsid w:val="0024490C"/>
    <w:rsid w:val="00244D90"/>
    <w:rsid w:val="0024524D"/>
    <w:rsid w:val="002453B5"/>
    <w:rsid w:val="002454CA"/>
    <w:rsid w:val="0024563F"/>
    <w:rsid w:val="00245A68"/>
    <w:rsid w:val="00245F69"/>
    <w:rsid w:val="00246412"/>
    <w:rsid w:val="0024686C"/>
    <w:rsid w:val="002469DB"/>
    <w:rsid w:val="00246BC3"/>
    <w:rsid w:val="0024723D"/>
    <w:rsid w:val="0024741A"/>
    <w:rsid w:val="00247635"/>
    <w:rsid w:val="002477D6"/>
    <w:rsid w:val="00247AB5"/>
    <w:rsid w:val="00247CBB"/>
    <w:rsid w:val="00247DF9"/>
    <w:rsid w:val="00250272"/>
    <w:rsid w:val="0025095E"/>
    <w:rsid w:val="002509A0"/>
    <w:rsid w:val="00250D8E"/>
    <w:rsid w:val="00250E99"/>
    <w:rsid w:val="002516C9"/>
    <w:rsid w:val="00251B5F"/>
    <w:rsid w:val="00251C5B"/>
    <w:rsid w:val="00252122"/>
    <w:rsid w:val="0025223A"/>
    <w:rsid w:val="0025268D"/>
    <w:rsid w:val="0025274F"/>
    <w:rsid w:val="00253242"/>
    <w:rsid w:val="00253406"/>
    <w:rsid w:val="00253B19"/>
    <w:rsid w:val="00253B9D"/>
    <w:rsid w:val="00253C17"/>
    <w:rsid w:val="00253F36"/>
    <w:rsid w:val="00253FB4"/>
    <w:rsid w:val="00254273"/>
    <w:rsid w:val="0025499B"/>
    <w:rsid w:val="0025533D"/>
    <w:rsid w:val="0025567D"/>
    <w:rsid w:val="002557B9"/>
    <w:rsid w:val="00256281"/>
    <w:rsid w:val="00256A01"/>
    <w:rsid w:val="00256ACF"/>
    <w:rsid w:val="00256EA7"/>
    <w:rsid w:val="00256EE1"/>
    <w:rsid w:val="00257220"/>
    <w:rsid w:val="00257B26"/>
    <w:rsid w:val="002600DF"/>
    <w:rsid w:val="00260A16"/>
    <w:rsid w:val="00260C7F"/>
    <w:rsid w:val="00260E58"/>
    <w:rsid w:val="0026109A"/>
    <w:rsid w:val="0026190D"/>
    <w:rsid w:val="00261A55"/>
    <w:rsid w:val="00261F29"/>
    <w:rsid w:val="0026208A"/>
    <w:rsid w:val="00262531"/>
    <w:rsid w:val="0026255F"/>
    <w:rsid w:val="002629CE"/>
    <w:rsid w:val="00262AD5"/>
    <w:rsid w:val="00262B22"/>
    <w:rsid w:val="002630E4"/>
    <w:rsid w:val="00263F5F"/>
    <w:rsid w:val="00264103"/>
    <w:rsid w:val="0026446F"/>
    <w:rsid w:val="0026491D"/>
    <w:rsid w:val="0026493F"/>
    <w:rsid w:val="00264966"/>
    <w:rsid w:val="00264A68"/>
    <w:rsid w:val="00264B60"/>
    <w:rsid w:val="00265106"/>
    <w:rsid w:val="0026530B"/>
    <w:rsid w:val="0026564E"/>
    <w:rsid w:val="00265D55"/>
    <w:rsid w:val="00265F4A"/>
    <w:rsid w:val="00265FCA"/>
    <w:rsid w:val="00265FCD"/>
    <w:rsid w:val="00266225"/>
    <w:rsid w:val="00266641"/>
    <w:rsid w:val="00267092"/>
    <w:rsid w:val="00267957"/>
    <w:rsid w:val="00267C2B"/>
    <w:rsid w:val="00267EC2"/>
    <w:rsid w:val="00267FB6"/>
    <w:rsid w:val="00270098"/>
    <w:rsid w:val="002704B8"/>
    <w:rsid w:val="00270686"/>
    <w:rsid w:val="00270702"/>
    <w:rsid w:val="0027108A"/>
    <w:rsid w:val="00271097"/>
    <w:rsid w:val="002713B0"/>
    <w:rsid w:val="0027142F"/>
    <w:rsid w:val="002717C2"/>
    <w:rsid w:val="00271B93"/>
    <w:rsid w:val="00271C0D"/>
    <w:rsid w:val="00271C27"/>
    <w:rsid w:val="00272698"/>
    <w:rsid w:val="002728E6"/>
    <w:rsid w:val="00272B65"/>
    <w:rsid w:val="00272D88"/>
    <w:rsid w:val="0027322E"/>
    <w:rsid w:val="002732CF"/>
    <w:rsid w:val="00273984"/>
    <w:rsid w:val="002739C5"/>
    <w:rsid w:val="00273F86"/>
    <w:rsid w:val="00274D25"/>
    <w:rsid w:val="0027513E"/>
    <w:rsid w:val="0027541A"/>
    <w:rsid w:val="00275853"/>
    <w:rsid w:val="00275928"/>
    <w:rsid w:val="00275956"/>
    <w:rsid w:val="002763BC"/>
    <w:rsid w:val="00276541"/>
    <w:rsid w:val="002769F6"/>
    <w:rsid w:val="00276ECE"/>
    <w:rsid w:val="00276FE3"/>
    <w:rsid w:val="002777BE"/>
    <w:rsid w:val="00277EA1"/>
    <w:rsid w:val="00280020"/>
    <w:rsid w:val="002804A1"/>
    <w:rsid w:val="002809D3"/>
    <w:rsid w:val="00280CCC"/>
    <w:rsid w:val="00280D62"/>
    <w:rsid w:val="00281022"/>
    <w:rsid w:val="0028117F"/>
    <w:rsid w:val="0028119A"/>
    <w:rsid w:val="002813A4"/>
    <w:rsid w:val="0028145A"/>
    <w:rsid w:val="00281CE4"/>
    <w:rsid w:val="00281D01"/>
    <w:rsid w:val="00281D16"/>
    <w:rsid w:val="00282257"/>
    <w:rsid w:val="00282445"/>
    <w:rsid w:val="00282C79"/>
    <w:rsid w:val="0028358F"/>
    <w:rsid w:val="00283706"/>
    <w:rsid w:val="00283798"/>
    <w:rsid w:val="002838F7"/>
    <w:rsid w:val="00283A34"/>
    <w:rsid w:val="00283EF2"/>
    <w:rsid w:val="00284048"/>
    <w:rsid w:val="0028436A"/>
    <w:rsid w:val="002843A8"/>
    <w:rsid w:val="00284618"/>
    <w:rsid w:val="00284C14"/>
    <w:rsid w:val="00285031"/>
    <w:rsid w:val="002856B1"/>
    <w:rsid w:val="00285734"/>
    <w:rsid w:val="00285844"/>
    <w:rsid w:val="00285B71"/>
    <w:rsid w:val="00286010"/>
    <w:rsid w:val="0028616E"/>
    <w:rsid w:val="00286584"/>
    <w:rsid w:val="0028677E"/>
    <w:rsid w:val="002868C1"/>
    <w:rsid w:val="00286C03"/>
    <w:rsid w:val="00286E6B"/>
    <w:rsid w:val="002873ED"/>
    <w:rsid w:val="00287734"/>
    <w:rsid w:val="00287852"/>
    <w:rsid w:val="00287F89"/>
    <w:rsid w:val="00290207"/>
    <w:rsid w:val="002902AB"/>
    <w:rsid w:val="002903E1"/>
    <w:rsid w:val="002906EB"/>
    <w:rsid w:val="00290871"/>
    <w:rsid w:val="00290C05"/>
    <w:rsid w:val="00291A3A"/>
    <w:rsid w:val="0029250C"/>
    <w:rsid w:val="00292575"/>
    <w:rsid w:val="002925E3"/>
    <w:rsid w:val="002927B2"/>
    <w:rsid w:val="00292A48"/>
    <w:rsid w:val="00292C8E"/>
    <w:rsid w:val="00292E71"/>
    <w:rsid w:val="002936AF"/>
    <w:rsid w:val="002937C7"/>
    <w:rsid w:val="00293AFB"/>
    <w:rsid w:val="00294539"/>
    <w:rsid w:val="00294AC8"/>
    <w:rsid w:val="00295300"/>
    <w:rsid w:val="00295550"/>
    <w:rsid w:val="00295708"/>
    <w:rsid w:val="00295E98"/>
    <w:rsid w:val="00295F8C"/>
    <w:rsid w:val="0029632D"/>
    <w:rsid w:val="00296481"/>
    <w:rsid w:val="00296859"/>
    <w:rsid w:val="00296DCD"/>
    <w:rsid w:val="00296F0E"/>
    <w:rsid w:val="0029731A"/>
    <w:rsid w:val="002974D7"/>
    <w:rsid w:val="00297666"/>
    <w:rsid w:val="002977E0"/>
    <w:rsid w:val="00297B7C"/>
    <w:rsid w:val="00297BDD"/>
    <w:rsid w:val="002A009D"/>
    <w:rsid w:val="002A0156"/>
    <w:rsid w:val="002A066D"/>
    <w:rsid w:val="002A09C1"/>
    <w:rsid w:val="002A0FC1"/>
    <w:rsid w:val="002A14FD"/>
    <w:rsid w:val="002A17C3"/>
    <w:rsid w:val="002A1DE1"/>
    <w:rsid w:val="002A2281"/>
    <w:rsid w:val="002A2AA3"/>
    <w:rsid w:val="002A2BC2"/>
    <w:rsid w:val="002A2BCF"/>
    <w:rsid w:val="002A2C6E"/>
    <w:rsid w:val="002A30C1"/>
    <w:rsid w:val="002A3130"/>
    <w:rsid w:val="002A3438"/>
    <w:rsid w:val="002A3A53"/>
    <w:rsid w:val="002A3AF8"/>
    <w:rsid w:val="002A4099"/>
    <w:rsid w:val="002A4659"/>
    <w:rsid w:val="002A49B7"/>
    <w:rsid w:val="002A54E0"/>
    <w:rsid w:val="002A5830"/>
    <w:rsid w:val="002A58C4"/>
    <w:rsid w:val="002A5945"/>
    <w:rsid w:val="002A5DCB"/>
    <w:rsid w:val="002A601C"/>
    <w:rsid w:val="002A6030"/>
    <w:rsid w:val="002A6042"/>
    <w:rsid w:val="002A6536"/>
    <w:rsid w:val="002A6A9B"/>
    <w:rsid w:val="002A6C33"/>
    <w:rsid w:val="002A742D"/>
    <w:rsid w:val="002A7752"/>
    <w:rsid w:val="002A7842"/>
    <w:rsid w:val="002A7A41"/>
    <w:rsid w:val="002B0462"/>
    <w:rsid w:val="002B04A3"/>
    <w:rsid w:val="002B0545"/>
    <w:rsid w:val="002B082A"/>
    <w:rsid w:val="002B090F"/>
    <w:rsid w:val="002B0DBF"/>
    <w:rsid w:val="002B143B"/>
    <w:rsid w:val="002B1711"/>
    <w:rsid w:val="002B1775"/>
    <w:rsid w:val="002B1A0A"/>
    <w:rsid w:val="002B1B9C"/>
    <w:rsid w:val="002B1D29"/>
    <w:rsid w:val="002B200A"/>
    <w:rsid w:val="002B28B4"/>
    <w:rsid w:val="002B2CA3"/>
    <w:rsid w:val="002B331E"/>
    <w:rsid w:val="002B335A"/>
    <w:rsid w:val="002B3470"/>
    <w:rsid w:val="002B3859"/>
    <w:rsid w:val="002B3930"/>
    <w:rsid w:val="002B3AAC"/>
    <w:rsid w:val="002B3C7D"/>
    <w:rsid w:val="002B4135"/>
    <w:rsid w:val="002B4248"/>
    <w:rsid w:val="002B4554"/>
    <w:rsid w:val="002B4651"/>
    <w:rsid w:val="002B48CB"/>
    <w:rsid w:val="002B4C88"/>
    <w:rsid w:val="002B4CD7"/>
    <w:rsid w:val="002B4DF4"/>
    <w:rsid w:val="002B5130"/>
    <w:rsid w:val="002B56D0"/>
    <w:rsid w:val="002B5954"/>
    <w:rsid w:val="002B5C09"/>
    <w:rsid w:val="002B5D84"/>
    <w:rsid w:val="002B61EC"/>
    <w:rsid w:val="002B6B7F"/>
    <w:rsid w:val="002B7290"/>
    <w:rsid w:val="002B7393"/>
    <w:rsid w:val="002B75C5"/>
    <w:rsid w:val="002B7BEF"/>
    <w:rsid w:val="002B7D57"/>
    <w:rsid w:val="002C0254"/>
    <w:rsid w:val="002C02F2"/>
    <w:rsid w:val="002C03AA"/>
    <w:rsid w:val="002C0833"/>
    <w:rsid w:val="002C0F88"/>
    <w:rsid w:val="002C10BD"/>
    <w:rsid w:val="002C1228"/>
    <w:rsid w:val="002C1559"/>
    <w:rsid w:val="002C1794"/>
    <w:rsid w:val="002C1C0F"/>
    <w:rsid w:val="002C2206"/>
    <w:rsid w:val="002C246B"/>
    <w:rsid w:val="002C2615"/>
    <w:rsid w:val="002C29BB"/>
    <w:rsid w:val="002C2E08"/>
    <w:rsid w:val="002C31A3"/>
    <w:rsid w:val="002C3B2C"/>
    <w:rsid w:val="002C4010"/>
    <w:rsid w:val="002C418A"/>
    <w:rsid w:val="002C4261"/>
    <w:rsid w:val="002C4B10"/>
    <w:rsid w:val="002C4D39"/>
    <w:rsid w:val="002C50CF"/>
    <w:rsid w:val="002C53F8"/>
    <w:rsid w:val="002C5777"/>
    <w:rsid w:val="002C57AB"/>
    <w:rsid w:val="002C5A5F"/>
    <w:rsid w:val="002C618F"/>
    <w:rsid w:val="002C6986"/>
    <w:rsid w:val="002C6F69"/>
    <w:rsid w:val="002C7172"/>
    <w:rsid w:val="002C71E7"/>
    <w:rsid w:val="002C7475"/>
    <w:rsid w:val="002C75E8"/>
    <w:rsid w:val="002C7AEC"/>
    <w:rsid w:val="002C7C15"/>
    <w:rsid w:val="002C7C93"/>
    <w:rsid w:val="002D04AC"/>
    <w:rsid w:val="002D055D"/>
    <w:rsid w:val="002D09C4"/>
    <w:rsid w:val="002D0A90"/>
    <w:rsid w:val="002D0C03"/>
    <w:rsid w:val="002D1039"/>
    <w:rsid w:val="002D119B"/>
    <w:rsid w:val="002D130D"/>
    <w:rsid w:val="002D136E"/>
    <w:rsid w:val="002D14C3"/>
    <w:rsid w:val="002D1551"/>
    <w:rsid w:val="002D15A1"/>
    <w:rsid w:val="002D15B8"/>
    <w:rsid w:val="002D191D"/>
    <w:rsid w:val="002D2214"/>
    <w:rsid w:val="002D248C"/>
    <w:rsid w:val="002D249C"/>
    <w:rsid w:val="002D285C"/>
    <w:rsid w:val="002D28C0"/>
    <w:rsid w:val="002D29A5"/>
    <w:rsid w:val="002D2D02"/>
    <w:rsid w:val="002D2E4C"/>
    <w:rsid w:val="002D2FA1"/>
    <w:rsid w:val="002D381B"/>
    <w:rsid w:val="002D3826"/>
    <w:rsid w:val="002D3C05"/>
    <w:rsid w:val="002D4710"/>
    <w:rsid w:val="002D47A5"/>
    <w:rsid w:val="002D495D"/>
    <w:rsid w:val="002D4C50"/>
    <w:rsid w:val="002D4E03"/>
    <w:rsid w:val="002D4E2F"/>
    <w:rsid w:val="002D4FFA"/>
    <w:rsid w:val="002D5544"/>
    <w:rsid w:val="002D554E"/>
    <w:rsid w:val="002D5C08"/>
    <w:rsid w:val="002D5DCE"/>
    <w:rsid w:val="002D610A"/>
    <w:rsid w:val="002D639E"/>
    <w:rsid w:val="002D65E6"/>
    <w:rsid w:val="002D66A8"/>
    <w:rsid w:val="002D670E"/>
    <w:rsid w:val="002D6F64"/>
    <w:rsid w:val="002D70EB"/>
    <w:rsid w:val="002D797A"/>
    <w:rsid w:val="002D7B3D"/>
    <w:rsid w:val="002D7D94"/>
    <w:rsid w:val="002E0167"/>
    <w:rsid w:val="002E0219"/>
    <w:rsid w:val="002E084D"/>
    <w:rsid w:val="002E0905"/>
    <w:rsid w:val="002E0C76"/>
    <w:rsid w:val="002E11F0"/>
    <w:rsid w:val="002E12F7"/>
    <w:rsid w:val="002E1656"/>
    <w:rsid w:val="002E16E2"/>
    <w:rsid w:val="002E1A49"/>
    <w:rsid w:val="002E1CB5"/>
    <w:rsid w:val="002E266F"/>
    <w:rsid w:val="002E2930"/>
    <w:rsid w:val="002E2F12"/>
    <w:rsid w:val="002E308B"/>
    <w:rsid w:val="002E3283"/>
    <w:rsid w:val="002E3A46"/>
    <w:rsid w:val="002E41A7"/>
    <w:rsid w:val="002E437B"/>
    <w:rsid w:val="002E44C8"/>
    <w:rsid w:val="002E553C"/>
    <w:rsid w:val="002E5BEA"/>
    <w:rsid w:val="002E5FDB"/>
    <w:rsid w:val="002E64E0"/>
    <w:rsid w:val="002E6C5A"/>
    <w:rsid w:val="002E6E2E"/>
    <w:rsid w:val="002E7284"/>
    <w:rsid w:val="002E78A8"/>
    <w:rsid w:val="002F04A8"/>
    <w:rsid w:val="002F070B"/>
    <w:rsid w:val="002F0949"/>
    <w:rsid w:val="002F1236"/>
    <w:rsid w:val="002F18E0"/>
    <w:rsid w:val="002F1C11"/>
    <w:rsid w:val="002F1C2D"/>
    <w:rsid w:val="002F1DB7"/>
    <w:rsid w:val="002F1DE1"/>
    <w:rsid w:val="002F230E"/>
    <w:rsid w:val="002F23EC"/>
    <w:rsid w:val="002F262B"/>
    <w:rsid w:val="002F2D99"/>
    <w:rsid w:val="002F31C2"/>
    <w:rsid w:val="002F3277"/>
    <w:rsid w:val="002F335A"/>
    <w:rsid w:val="002F3613"/>
    <w:rsid w:val="002F3B1E"/>
    <w:rsid w:val="002F3E99"/>
    <w:rsid w:val="002F3FDF"/>
    <w:rsid w:val="002F4201"/>
    <w:rsid w:val="002F44AD"/>
    <w:rsid w:val="002F4C80"/>
    <w:rsid w:val="002F4CD0"/>
    <w:rsid w:val="002F51B7"/>
    <w:rsid w:val="002F53AA"/>
    <w:rsid w:val="002F53C4"/>
    <w:rsid w:val="002F5451"/>
    <w:rsid w:val="002F54CE"/>
    <w:rsid w:val="002F5581"/>
    <w:rsid w:val="002F56BE"/>
    <w:rsid w:val="002F578A"/>
    <w:rsid w:val="002F57A8"/>
    <w:rsid w:val="002F57B2"/>
    <w:rsid w:val="002F5BBC"/>
    <w:rsid w:val="002F5D80"/>
    <w:rsid w:val="002F65FB"/>
    <w:rsid w:val="002F67F8"/>
    <w:rsid w:val="002F6DDD"/>
    <w:rsid w:val="002F73A2"/>
    <w:rsid w:val="002F73C3"/>
    <w:rsid w:val="002F74BF"/>
    <w:rsid w:val="002F78BB"/>
    <w:rsid w:val="002F7D41"/>
    <w:rsid w:val="002F7D4E"/>
    <w:rsid w:val="002F7D88"/>
    <w:rsid w:val="00300157"/>
    <w:rsid w:val="003002AB"/>
    <w:rsid w:val="003008B4"/>
    <w:rsid w:val="00300E03"/>
    <w:rsid w:val="00300E21"/>
    <w:rsid w:val="0030164F"/>
    <w:rsid w:val="0030194F"/>
    <w:rsid w:val="00301F56"/>
    <w:rsid w:val="00302383"/>
    <w:rsid w:val="0030244C"/>
    <w:rsid w:val="003024DE"/>
    <w:rsid w:val="00302BF7"/>
    <w:rsid w:val="00302EF6"/>
    <w:rsid w:val="003032F3"/>
    <w:rsid w:val="003033B0"/>
    <w:rsid w:val="00303FC6"/>
    <w:rsid w:val="00304B3C"/>
    <w:rsid w:val="00304C52"/>
    <w:rsid w:val="00304F14"/>
    <w:rsid w:val="0030503D"/>
    <w:rsid w:val="003052DF"/>
    <w:rsid w:val="00305762"/>
    <w:rsid w:val="00305C9B"/>
    <w:rsid w:val="00305FA3"/>
    <w:rsid w:val="00306088"/>
    <w:rsid w:val="003063CC"/>
    <w:rsid w:val="003068AC"/>
    <w:rsid w:val="00307216"/>
    <w:rsid w:val="00307346"/>
    <w:rsid w:val="00307FC6"/>
    <w:rsid w:val="00310194"/>
    <w:rsid w:val="003101E7"/>
    <w:rsid w:val="00310314"/>
    <w:rsid w:val="00310503"/>
    <w:rsid w:val="00310BAE"/>
    <w:rsid w:val="00310EBF"/>
    <w:rsid w:val="003112E1"/>
    <w:rsid w:val="0031163A"/>
    <w:rsid w:val="0031176B"/>
    <w:rsid w:val="003118C8"/>
    <w:rsid w:val="003119AA"/>
    <w:rsid w:val="00311B1B"/>
    <w:rsid w:val="00312210"/>
    <w:rsid w:val="00312461"/>
    <w:rsid w:val="003124F8"/>
    <w:rsid w:val="00312699"/>
    <w:rsid w:val="00312BE3"/>
    <w:rsid w:val="00312D29"/>
    <w:rsid w:val="00312D8B"/>
    <w:rsid w:val="003134A6"/>
    <w:rsid w:val="00313A17"/>
    <w:rsid w:val="00313AF1"/>
    <w:rsid w:val="00313BB5"/>
    <w:rsid w:val="00313CF5"/>
    <w:rsid w:val="00313E5F"/>
    <w:rsid w:val="00313F7A"/>
    <w:rsid w:val="003148CB"/>
    <w:rsid w:val="00315175"/>
    <w:rsid w:val="003152C3"/>
    <w:rsid w:val="003158C8"/>
    <w:rsid w:val="00315E6C"/>
    <w:rsid w:val="00316124"/>
    <w:rsid w:val="0031655F"/>
    <w:rsid w:val="00316849"/>
    <w:rsid w:val="00316AC4"/>
    <w:rsid w:val="00316F77"/>
    <w:rsid w:val="003176CF"/>
    <w:rsid w:val="003177F7"/>
    <w:rsid w:val="003177FC"/>
    <w:rsid w:val="00317891"/>
    <w:rsid w:val="003178C1"/>
    <w:rsid w:val="00317B43"/>
    <w:rsid w:val="0032058F"/>
    <w:rsid w:val="0032065B"/>
    <w:rsid w:val="00320696"/>
    <w:rsid w:val="00320794"/>
    <w:rsid w:val="00320F5C"/>
    <w:rsid w:val="003210E1"/>
    <w:rsid w:val="0032142A"/>
    <w:rsid w:val="00321825"/>
    <w:rsid w:val="00321AC5"/>
    <w:rsid w:val="00321EE4"/>
    <w:rsid w:val="00322381"/>
    <w:rsid w:val="003243BD"/>
    <w:rsid w:val="003244FF"/>
    <w:rsid w:val="0032452E"/>
    <w:rsid w:val="00324872"/>
    <w:rsid w:val="003249B0"/>
    <w:rsid w:val="00325147"/>
    <w:rsid w:val="00325253"/>
    <w:rsid w:val="0032558E"/>
    <w:rsid w:val="00325AC3"/>
    <w:rsid w:val="00325B3E"/>
    <w:rsid w:val="00325BB4"/>
    <w:rsid w:val="00325C85"/>
    <w:rsid w:val="00325CF5"/>
    <w:rsid w:val="00325FE3"/>
    <w:rsid w:val="003260B3"/>
    <w:rsid w:val="003267AB"/>
    <w:rsid w:val="00326DEB"/>
    <w:rsid w:val="00326E14"/>
    <w:rsid w:val="00327098"/>
    <w:rsid w:val="003271A2"/>
    <w:rsid w:val="00327CDA"/>
    <w:rsid w:val="00327D4A"/>
    <w:rsid w:val="00327D7A"/>
    <w:rsid w:val="003307DA"/>
    <w:rsid w:val="00330E77"/>
    <w:rsid w:val="00331103"/>
    <w:rsid w:val="0033123B"/>
    <w:rsid w:val="0033152A"/>
    <w:rsid w:val="003315AB"/>
    <w:rsid w:val="00331A4C"/>
    <w:rsid w:val="00332277"/>
    <w:rsid w:val="00333064"/>
    <w:rsid w:val="00333468"/>
    <w:rsid w:val="003334DC"/>
    <w:rsid w:val="003337D5"/>
    <w:rsid w:val="003341EC"/>
    <w:rsid w:val="00334694"/>
    <w:rsid w:val="00335680"/>
    <w:rsid w:val="0033574B"/>
    <w:rsid w:val="00335BE4"/>
    <w:rsid w:val="00335C9A"/>
    <w:rsid w:val="00335E81"/>
    <w:rsid w:val="00336EF8"/>
    <w:rsid w:val="00336F8E"/>
    <w:rsid w:val="00336FC9"/>
    <w:rsid w:val="003370BB"/>
    <w:rsid w:val="003372D6"/>
    <w:rsid w:val="00337720"/>
    <w:rsid w:val="00337891"/>
    <w:rsid w:val="00337F1F"/>
    <w:rsid w:val="00337FEC"/>
    <w:rsid w:val="00340137"/>
    <w:rsid w:val="0034035E"/>
    <w:rsid w:val="00340A43"/>
    <w:rsid w:val="00340D0D"/>
    <w:rsid w:val="00340D77"/>
    <w:rsid w:val="003418B7"/>
    <w:rsid w:val="0034196F"/>
    <w:rsid w:val="00341A7C"/>
    <w:rsid w:val="00341F22"/>
    <w:rsid w:val="003422B2"/>
    <w:rsid w:val="00342BA5"/>
    <w:rsid w:val="00342E7C"/>
    <w:rsid w:val="00343178"/>
    <w:rsid w:val="003431C6"/>
    <w:rsid w:val="0034356D"/>
    <w:rsid w:val="00343A7A"/>
    <w:rsid w:val="00343D81"/>
    <w:rsid w:val="00343E8D"/>
    <w:rsid w:val="00343F9A"/>
    <w:rsid w:val="0034459D"/>
    <w:rsid w:val="00344689"/>
    <w:rsid w:val="003449A7"/>
    <w:rsid w:val="00344BD9"/>
    <w:rsid w:val="00344D2A"/>
    <w:rsid w:val="00345CFC"/>
    <w:rsid w:val="003462C6"/>
    <w:rsid w:val="003463D1"/>
    <w:rsid w:val="00346456"/>
    <w:rsid w:val="00346846"/>
    <w:rsid w:val="00346CB5"/>
    <w:rsid w:val="003474FB"/>
    <w:rsid w:val="003476C3"/>
    <w:rsid w:val="00347805"/>
    <w:rsid w:val="00350496"/>
    <w:rsid w:val="0035070A"/>
    <w:rsid w:val="0035074C"/>
    <w:rsid w:val="00350E75"/>
    <w:rsid w:val="00350F70"/>
    <w:rsid w:val="00351084"/>
    <w:rsid w:val="003510B6"/>
    <w:rsid w:val="0035125A"/>
    <w:rsid w:val="003516DC"/>
    <w:rsid w:val="00351AFB"/>
    <w:rsid w:val="00351BC4"/>
    <w:rsid w:val="0035260F"/>
    <w:rsid w:val="0035276E"/>
    <w:rsid w:val="00352887"/>
    <w:rsid w:val="00352934"/>
    <w:rsid w:val="00352979"/>
    <w:rsid w:val="00352FBD"/>
    <w:rsid w:val="003532DD"/>
    <w:rsid w:val="0035338E"/>
    <w:rsid w:val="00353667"/>
    <w:rsid w:val="00353841"/>
    <w:rsid w:val="0035390D"/>
    <w:rsid w:val="00353FC2"/>
    <w:rsid w:val="00354258"/>
    <w:rsid w:val="0035486B"/>
    <w:rsid w:val="00354A42"/>
    <w:rsid w:val="00354A9F"/>
    <w:rsid w:val="00354B8B"/>
    <w:rsid w:val="00354D90"/>
    <w:rsid w:val="00354E3D"/>
    <w:rsid w:val="00354E9E"/>
    <w:rsid w:val="003550C1"/>
    <w:rsid w:val="00355540"/>
    <w:rsid w:val="00355C06"/>
    <w:rsid w:val="00356E40"/>
    <w:rsid w:val="00357261"/>
    <w:rsid w:val="003573F2"/>
    <w:rsid w:val="00357475"/>
    <w:rsid w:val="00357784"/>
    <w:rsid w:val="00357F33"/>
    <w:rsid w:val="0036017A"/>
    <w:rsid w:val="00360221"/>
    <w:rsid w:val="00360608"/>
    <w:rsid w:val="00360610"/>
    <w:rsid w:val="0036069B"/>
    <w:rsid w:val="003609CE"/>
    <w:rsid w:val="00360EE6"/>
    <w:rsid w:val="003613DD"/>
    <w:rsid w:val="003616AE"/>
    <w:rsid w:val="00361BED"/>
    <w:rsid w:val="00361DC1"/>
    <w:rsid w:val="00361F7D"/>
    <w:rsid w:val="003620EE"/>
    <w:rsid w:val="003624B1"/>
    <w:rsid w:val="0036277C"/>
    <w:rsid w:val="00362929"/>
    <w:rsid w:val="00362A78"/>
    <w:rsid w:val="00362BFA"/>
    <w:rsid w:val="00362CF4"/>
    <w:rsid w:val="00362EF2"/>
    <w:rsid w:val="0036324A"/>
    <w:rsid w:val="003635D4"/>
    <w:rsid w:val="00363A51"/>
    <w:rsid w:val="00363A8B"/>
    <w:rsid w:val="00363C84"/>
    <w:rsid w:val="00363C91"/>
    <w:rsid w:val="00363D81"/>
    <w:rsid w:val="00363F2A"/>
    <w:rsid w:val="00363F76"/>
    <w:rsid w:val="00364164"/>
    <w:rsid w:val="003649B6"/>
    <w:rsid w:val="00364A19"/>
    <w:rsid w:val="00365133"/>
    <w:rsid w:val="003654EA"/>
    <w:rsid w:val="00365581"/>
    <w:rsid w:val="003655BF"/>
    <w:rsid w:val="003660D6"/>
    <w:rsid w:val="00366616"/>
    <w:rsid w:val="00367363"/>
    <w:rsid w:val="00367C06"/>
    <w:rsid w:val="00370479"/>
    <w:rsid w:val="00370520"/>
    <w:rsid w:val="00370563"/>
    <w:rsid w:val="00370676"/>
    <w:rsid w:val="00370BD4"/>
    <w:rsid w:val="00371491"/>
    <w:rsid w:val="003717A8"/>
    <w:rsid w:val="00371BA9"/>
    <w:rsid w:val="003720A8"/>
    <w:rsid w:val="0037242E"/>
    <w:rsid w:val="0037246F"/>
    <w:rsid w:val="00372857"/>
    <w:rsid w:val="00372C24"/>
    <w:rsid w:val="00372DBD"/>
    <w:rsid w:val="00372E98"/>
    <w:rsid w:val="0037326B"/>
    <w:rsid w:val="00373283"/>
    <w:rsid w:val="003735AD"/>
    <w:rsid w:val="00373676"/>
    <w:rsid w:val="00373826"/>
    <w:rsid w:val="00373B8F"/>
    <w:rsid w:val="00373D6A"/>
    <w:rsid w:val="003744DE"/>
    <w:rsid w:val="003744F5"/>
    <w:rsid w:val="0037462C"/>
    <w:rsid w:val="00374840"/>
    <w:rsid w:val="00374882"/>
    <w:rsid w:val="0037498C"/>
    <w:rsid w:val="00374BB5"/>
    <w:rsid w:val="003757B7"/>
    <w:rsid w:val="00376512"/>
    <w:rsid w:val="003765B6"/>
    <w:rsid w:val="003766B7"/>
    <w:rsid w:val="0037675F"/>
    <w:rsid w:val="00376DE1"/>
    <w:rsid w:val="0037719E"/>
    <w:rsid w:val="003773A7"/>
    <w:rsid w:val="00377433"/>
    <w:rsid w:val="00377667"/>
    <w:rsid w:val="003778DD"/>
    <w:rsid w:val="00377A86"/>
    <w:rsid w:val="00377E50"/>
    <w:rsid w:val="003804DE"/>
    <w:rsid w:val="00380917"/>
    <w:rsid w:val="00380D7F"/>
    <w:rsid w:val="00381445"/>
    <w:rsid w:val="003814F0"/>
    <w:rsid w:val="003816D6"/>
    <w:rsid w:val="00381772"/>
    <w:rsid w:val="003817BE"/>
    <w:rsid w:val="00381A61"/>
    <w:rsid w:val="00382002"/>
    <w:rsid w:val="0038225D"/>
    <w:rsid w:val="00382A2A"/>
    <w:rsid w:val="00382DC4"/>
    <w:rsid w:val="00383311"/>
    <w:rsid w:val="00383395"/>
    <w:rsid w:val="003833E3"/>
    <w:rsid w:val="003837AC"/>
    <w:rsid w:val="00383CD3"/>
    <w:rsid w:val="00383E92"/>
    <w:rsid w:val="003848AF"/>
    <w:rsid w:val="00384E7D"/>
    <w:rsid w:val="00385C4B"/>
    <w:rsid w:val="00385F7B"/>
    <w:rsid w:val="00386022"/>
    <w:rsid w:val="00386086"/>
    <w:rsid w:val="00386093"/>
    <w:rsid w:val="003861B4"/>
    <w:rsid w:val="00386338"/>
    <w:rsid w:val="003866C4"/>
    <w:rsid w:val="003867AF"/>
    <w:rsid w:val="00386AE6"/>
    <w:rsid w:val="00386DFA"/>
    <w:rsid w:val="00386EF7"/>
    <w:rsid w:val="003872A4"/>
    <w:rsid w:val="00387904"/>
    <w:rsid w:val="00387ECC"/>
    <w:rsid w:val="003900EC"/>
    <w:rsid w:val="003906E0"/>
    <w:rsid w:val="0039087E"/>
    <w:rsid w:val="0039150C"/>
    <w:rsid w:val="00392A2B"/>
    <w:rsid w:val="00392AEC"/>
    <w:rsid w:val="00392B11"/>
    <w:rsid w:val="00392B3B"/>
    <w:rsid w:val="00392DEB"/>
    <w:rsid w:val="00392E56"/>
    <w:rsid w:val="003930DF"/>
    <w:rsid w:val="003935FE"/>
    <w:rsid w:val="0039385B"/>
    <w:rsid w:val="00393AD9"/>
    <w:rsid w:val="00393F0E"/>
    <w:rsid w:val="00394034"/>
    <w:rsid w:val="0039444E"/>
    <w:rsid w:val="00394534"/>
    <w:rsid w:val="0039462E"/>
    <w:rsid w:val="003946DB"/>
    <w:rsid w:val="00394B51"/>
    <w:rsid w:val="00394D83"/>
    <w:rsid w:val="00394DB9"/>
    <w:rsid w:val="00394DC4"/>
    <w:rsid w:val="00394FAC"/>
    <w:rsid w:val="0039577B"/>
    <w:rsid w:val="00395C85"/>
    <w:rsid w:val="00395D05"/>
    <w:rsid w:val="00395FD0"/>
    <w:rsid w:val="003960D9"/>
    <w:rsid w:val="0039636D"/>
    <w:rsid w:val="0039642A"/>
    <w:rsid w:val="00396681"/>
    <w:rsid w:val="00397075"/>
    <w:rsid w:val="00397120"/>
    <w:rsid w:val="003973F9"/>
    <w:rsid w:val="00397786"/>
    <w:rsid w:val="00397981"/>
    <w:rsid w:val="00397AF6"/>
    <w:rsid w:val="00397C44"/>
    <w:rsid w:val="00397D48"/>
    <w:rsid w:val="00397F7A"/>
    <w:rsid w:val="003A00BC"/>
    <w:rsid w:val="003A064D"/>
    <w:rsid w:val="003A085A"/>
    <w:rsid w:val="003A10B8"/>
    <w:rsid w:val="003A1225"/>
    <w:rsid w:val="003A1310"/>
    <w:rsid w:val="003A14DF"/>
    <w:rsid w:val="003A168F"/>
    <w:rsid w:val="003A20D6"/>
    <w:rsid w:val="003A25A1"/>
    <w:rsid w:val="003A262A"/>
    <w:rsid w:val="003A26BD"/>
    <w:rsid w:val="003A2818"/>
    <w:rsid w:val="003A2958"/>
    <w:rsid w:val="003A2AAF"/>
    <w:rsid w:val="003A2CAB"/>
    <w:rsid w:val="003A30D7"/>
    <w:rsid w:val="003A31A0"/>
    <w:rsid w:val="003A35DF"/>
    <w:rsid w:val="003A369A"/>
    <w:rsid w:val="003A3AB6"/>
    <w:rsid w:val="003A3C1C"/>
    <w:rsid w:val="003A3C61"/>
    <w:rsid w:val="003A3D7B"/>
    <w:rsid w:val="003A3E54"/>
    <w:rsid w:val="003A3F5D"/>
    <w:rsid w:val="003A46FC"/>
    <w:rsid w:val="003A5014"/>
    <w:rsid w:val="003A55DA"/>
    <w:rsid w:val="003A57F2"/>
    <w:rsid w:val="003A58D7"/>
    <w:rsid w:val="003A58DA"/>
    <w:rsid w:val="003A61C3"/>
    <w:rsid w:val="003A6603"/>
    <w:rsid w:val="003A66E4"/>
    <w:rsid w:val="003A6C56"/>
    <w:rsid w:val="003A6C62"/>
    <w:rsid w:val="003A6FF8"/>
    <w:rsid w:val="003A7252"/>
    <w:rsid w:val="003A7561"/>
    <w:rsid w:val="003A75B4"/>
    <w:rsid w:val="003A7880"/>
    <w:rsid w:val="003A7964"/>
    <w:rsid w:val="003B0559"/>
    <w:rsid w:val="003B0647"/>
    <w:rsid w:val="003B0669"/>
    <w:rsid w:val="003B0B6B"/>
    <w:rsid w:val="003B0CA1"/>
    <w:rsid w:val="003B10CE"/>
    <w:rsid w:val="003B1513"/>
    <w:rsid w:val="003B19B9"/>
    <w:rsid w:val="003B1B6F"/>
    <w:rsid w:val="003B1F4D"/>
    <w:rsid w:val="003B2360"/>
    <w:rsid w:val="003B2850"/>
    <w:rsid w:val="003B28FF"/>
    <w:rsid w:val="003B2CE7"/>
    <w:rsid w:val="003B319D"/>
    <w:rsid w:val="003B31B4"/>
    <w:rsid w:val="003B3253"/>
    <w:rsid w:val="003B3290"/>
    <w:rsid w:val="003B35BE"/>
    <w:rsid w:val="003B37BF"/>
    <w:rsid w:val="003B3D0E"/>
    <w:rsid w:val="003B400B"/>
    <w:rsid w:val="003B4256"/>
    <w:rsid w:val="003B42E0"/>
    <w:rsid w:val="003B4A4C"/>
    <w:rsid w:val="003B4D5F"/>
    <w:rsid w:val="003B4E7C"/>
    <w:rsid w:val="003B5385"/>
    <w:rsid w:val="003B56EB"/>
    <w:rsid w:val="003B5A3A"/>
    <w:rsid w:val="003B5AE5"/>
    <w:rsid w:val="003B5BFF"/>
    <w:rsid w:val="003B5F77"/>
    <w:rsid w:val="003B6150"/>
    <w:rsid w:val="003B6282"/>
    <w:rsid w:val="003B64C6"/>
    <w:rsid w:val="003B69B0"/>
    <w:rsid w:val="003B6A52"/>
    <w:rsid w:val="003B6E1D"/>
    <w:rsid w:val="003B6FDF"/>
    <w:rsid w:val="003B7112"/>
    <w:rsid w:val="003B726D"/>
    <w:rsid w:val="003B745E"/>
    <w:rsid w:val="003B74D4"/>
    <w:rsid w:val="003C024F"/>
    <w:rsid w:val="003C026F"/>
    <w:rsid w:val="003C0A65"/>
    <w:rsid w:val="003C0C5F"/>
    <w:rsid w:val="003C0F80"/>
    <w:rsid w:val="003C167F"/>
    <w:rsid w:val="003C18C4"/>
    <w:rsid w:val="003C1A31"/>
    <w:rsid w:val="003C1AA3"/>
    <w:rsid w:val="003C1C6F"/>
    <w:rsid w:val="003C1D75"/>
    <w:rsid w:val="003C1E4F"/>
    <w:rsid w:val="003C2548"/>
    <w:rsid w:val="003C27A7"/>
    <w:rsid w:val="003C287F"/>
    <w:rsid w:val="003C3005"/>
    <w:rsid w:val="003C31DE"/>
    <w:rsid w:val="003C379A"/>
    <w:rsid w:val="003C37F7"/>
    <w:rsid w:val="003C38C9"/>
    <w:rsid w:val="003C3954"/>
    <w:rsid w:val="003C3D24"/>
    <w:rsid w:val="003C480A"/>
    <w:rsid w:val="003C4960"/>
    <w:rsid w:val="003C497B"/>
    <w:rsid w:val="003C4987"/>
    <w:rsid w:val="003C4A61"/>
    <w:rsid w:val="003C4D03"/>
    <w:rsid w:val="003C4E37"/>
    <w:rsid w:val="003C4F94"/>
    <w:rsid w:val="003C558E"/>
    <w:rsid w:val="003C5865"/>
    <w:rsid w:val="003C5874"/>
    <w:rsid w:val="003C5A7F"/>
    <w:rsid w:val="003C5C05"/>
    <w:rsid w:val="003C5DAA"/>
    <w:rsid w:val="003C5E50"/>
    <w:rsid w:val="003C5F28"/>
    <w:rsid w:val="003C60CC"/>
    <w:rsid w:val="003C66D4"/>
    <w:rsid w:val="003C6700"/>
    <w:rsid w:val="003C690F"/>
    <w:rsid w:val="003C69F5"/>
    <w:rsid w:val="003C6A09"/>
    <w:rsid w:val="003C6B44"/>
    <w:rsid w:val="003C6C22"/>
    <w:rsid w:val="003C7222"/>
    <w:rsid w:val="003C75A9"/>
    <w:rsid w:val="003C7C2A"/>
    <w:rsid w:val="003C7C8E"/>
    <w:rsid w:val="003C7CB5"/>
    <w:rsid w:val="003C7F22"/>
    <w:rsid w:val="003D0070"/>
    <w:rsid w:val="003D01F0"/>
    <w:rsid w:val="003D024B"/>
    <w:rsid w:val="003D026C"/>
    <w:rsid w:val="003D07E8"/>
    <w:rsid w:val="003D0D2D"/>
    <w:rsid w:val="003D139A"/>
    <w:rsid w:val="003D1CAE"/>
    <w:rsid w:val="003D1E94"/>
    <w:rsid w:val="003D209C"/>
    <w:rsid w:val="003D2126"/>
    <w:rsid w:val="003D22D5"/>
    <w:rsid w:val="003D2398"/>
    <w:rsid w:val="003D292A"/>
    <w:rsid w:val="003D293C"/>
    <w:rsid w:val="003D2A9C"/>
    <w:rsid w:val="003D2AE7"/>
    <w:rsid w:val="003D2C0F"/>
    <w:rsid w:val="003D319F"/>
    <w:rsid w:val="003D3213"/>
    <w:rsid w:val="003D353F"/>
    <w:rsid w:val="003D3544"/>
    <w:rsid w:val="003D3773"/>
    <w:rsid w:val="003D3CFE"/>
    <w:rsid w:val="003D3FD7"/>
    <w:rsid w:val="003D42FD"/>
    <w:rsid w:val="003D461C"/>
    <w:rsid w:val="003D4A79"/>
    <w:rsid w:val="003D4C9D"/>
    <w:rsid w:val="003D5126"/>
    <w:rsid w:val="003D5195"/>
    <w:rsid w:val="003D51C2"/>
    <w:rsid w:val="003D54D3"/>
    <w:rsid w:val="003D54EE"/>
    <w:rsid w:val="003D5804"/>
    <w:rsid w:val="003D5B40"/>
    <w:rsid w:val="003D5CD8"/>
    <w:rsid w:val="003D5EF4"/>
    <w:rsid w:val="003D602C"/>
    <w:rsid w:val="003D61B0"/>
    <w:rsid w:val="003D6798"/>
    <w:rsid w:val="003D679D"/>
    <w:rsid w:val="003D6CB4"/>
    <w:rsid w:val="003D6EA8"/>
    <w:rsid w:val="003D7563"/>
    <w:rsid w:val="003D783C"/>
    <w:rsid w:val="003D79A8"/>
    <w:rsid w:val="003D7A18"/>
    <w:rsid w:val="003D7C94"/>
    <w:rsid w:val="003D7CFB"/>
    <w:rsid w:val="003D7F6F"/>
    <w:rsid w:val="003E0027"/>
    <w:rsid w:val="003E00E9"/>
    <w:rsid w:val="003E01B1"/>
    <w:rsid w:val="003E05C1"/>
    <w:rsid w:val="003E0FF4"/>
    <w:rsid w:val="003E1013"/>
    <w:rsid w:val="003E14A4"/>
    <w:rsid w:val="003E1776"/>
    <w:rsid w:val="003E1940"/>
    <w:rsid w:val="003E1941"/>
    <w:rsid w:val="003E1CEA"/>
    <w:rsid w:val="003E1EFE"/>
    <w:rsid w:val="003E20AD"/>
    <w:rsid w:val="003E248F"/>
    <w:rsid w:val="003E2713"/>
    <w:rsid w:val="003E30B7"/>
    <w:rsid w:val="003E3E4E"/>
    <w:rsid w:val="003E422B"/>
    <w:rsid w:val="003E459C"/>
    <w:rsid w:val="003E460E"/>
    <w:rsid w:val="003E47BE"/>
    <w:rsid w:val="003E54F8"/>
    <w:rsid w:val="003E56F9"/>
    <w:rsid w:val="003E5E22"/>
    <w:rsid w:val="003E6428"/>
    <w:rsid w:val="003E6436"/>
    <w:rsid w:val="003E660F"/>
    <w:rsid w:val="003E68E7"/>
    <w:rsid w:val="003E6B22"/>
    <w:rsid w:val="003E6E05"/>
    <w:rsid w:val="003E6E77"/>
    <w:rsid w:val="003E7991"/>
    <w:rsid w:val="003E7CA1"/>
    <w:rsid w:val="003E7FA8"/>
    <w:rsid w:val="003F03D5"/>
    <w:rsid w:val="003F069D"/>
    <w:rsid w:val="003F07C9"/>
    <w:rsid w:val="003F0F5A"/>
    <w:rsid w:val="003F1006"/>
    <w:rsid w:val="003F105F"/>
    <w:rsid w:val="003F11FD"/>
    <w:rsid w:val="003F13B9"/>
    <w:rsid w:val="003F14B0"/>
    <w:rsid w:val="003F160D"/>
    <w:rsid w:val="003F1A72"/>
    <w:rsid w:val="003F1EAE"/>
    <w:rsid w:val="003F2330"/>
    <w:rsid w:val="003F24EF"/>
    <w:rsid w:val="003F25A1"/>
    <w:rsid w:val="003F2944"/>
    <w:rsid w:val="003F2A3D"/>
    <w:rsid w:val="003F313D"/>
    <w:rsid w:val="003F33C0"/>
    <w:rsid w:val="003F33D2"/>
    <w:rsid w:val="003F351D"/>
    <w:rsid w:val="003F3BD1"/>
    <w:rsid w:val="003F3DB4"/>
    <w:rsid w:val="003F3E2D"/>
    <w:rsid w:val="003F46FC"/>
    <w:rsid w:val="003F4E13"/>
    <w:rsid w:val="003F5116"/>
    <w:rsid w:val="003F542C"/>
    <w:rsid w:val="003F54A5"/>
    <w:rsid w:val="003F57E0"/>
    <w:rsid w:val="003F5E88"/>
    <w:rsid w:val="003F5EDD"/>
    <w:rsid w:val="003F60FB"/>
    <w:rsid w:val="003F6198"/>
    <w:rsid w:val="003F6DCF"/>
    <w:rsid w:val="003F734C"/>
    <w:rsid w:val="003F73BD"/>
    <w:rsid w:val="003F7515"/>
    <w:rsid w:val="003F77CF"/>
    <w:rsid w:val="003F7A48"/>
    <w:rsid w:val="003F7E3F"/>
    <w:rsid w:val="003F7EC6"/>
    <w:rsid w:val="00400216"/>
    <w:rsid w:val="004004B4"/>
    <w:rsid w:val="00401007"/>
    <w:rsid w:val="004011FC"/>
    <w:rsid w:val="0040177E"/>
    <w:rsid w:val="00401B99"/>
    <w:rsid w:val="0040231C"/>
    <w:rsid w:val="004027B8"/>
    <w:rsid w:val="00402854"/>
    <w:rsid w:val="00402B3A"/>
    <w:rsid w:val="00402C87"/>
    <w:rsid w:val="0040327D"/>
    <w:rsid w:val="0040339E"/>
    <w:rsid w:val="004034C1"/>
    <w:rsid w:val="004039A0"/>
    <w:rsid w:val="004039A9"/>
    <w:rsid w:val="00403A70"/>
    <w:rsid w:val="00403AF2"/>
    <w:rsid w:val="00403B38"/>
    <w:rsid w:val="00403E57"/>
    <w:rsid w:val="00404015"/>
    <w:rsid w:val="00404117"/>
    <w:rsid w:val="0040414F"/>
    <w:rsid w:val="0040454C"/>
    <w:rsid w:val="004045CF"/>
    <w:rsid w:val="004046A9"/>
    <w:rsid w:val="00404ACA"/>
    <w:rsid w:val="00404B1F"/>
    <w:rsid w:val="00404DBE"/>
    <w:rsid w:val="00405109"/>
    <w:rsid w:val="0040533A"/>
    <w:rsid w:val="0040537A"/>
    <w:rsid w:val="004053DD"/>
    <w:rsid w:val="004056A4"/>
    <w:rsid w:val="004057EA"/>
    <w:rsid w:val="00405AA3"/>
    <w:rsid w:val="00406023"/>
    <w:rsid w:val="00406039"/>
    <w:rsid w:val="0040626B"/>
    <w:rsid w:val="00406560"/>
    <w:rsid w:val="00406569"/>
    <w:rsid w:val="004065E9"/>
    <w:rsid w:val="00406641"/>
    <w:rsid w:val="004066FB"/>
    <w:rsid w:val="00406B5F"/>
    <w:rsid w:val="004073AD"/>
    <w:rsid w:val="00407480"/>
    <w:rsid w:val="00410345"/>
    <w:rsid w:val="00410F63"/>
    <w:rsid w:val="00411136"/>
    <w:rsid w:val="0041116A"/>
    <w:rsid w:val="0041117B"/>
    <w:rsid w:val="00411244"/>
    <w:rsid w:val="004115C9"/>
    <w:rsid w:val="00411720"/>
    <w:rsid w:val="00411A81"/>
    <w:rsid w:val="00411A8C"/>
    <w:rsid w:val="00411CB8"/>
    <w:rsid w:val="00411E0F"/>
    <w:rsid w:val="00411EC7"/>
    <w:rsid w:val="004128A6"/>
    <w:rsid w:val="0041294E"/>
    <w:rsid w:val="00412B69"/>
    <w:rsid w:val="00412BC2"/>
    <w:rsid w:val="00412C16"/>
    <w:rsid w:val="00412DBD"/>
    <w:rsid w:val="00412F16"/>
    <w:rsid w:val="00413000"/>
    <w:rsid w:val="0041305E"/>
    <w:rsid w:val="004131BF"/>
    <w:rsid w:val="0041346E"/>
    <w:rsid w:val="00413661"/>
    <w:rsid w:val="00413705"/>
    <w:rsid w:val="00413739"/>
    <w:rsid w:val="00413D4A"/>
    <w:rsid w:val="00413DF2"/>
    <w:rsid w:val="00413E69"/>
    <w:rsid w:val="004140EB"/>
    <w:rsid w:val="004141B4"/>
    <w:rsid w:val="004142AF"/>
    <w:rsid w:val="0041444E"/>
    <w:rsid w:val="00414711"/>
    <w:rsid w:val="00414936"/>
    <w:rsid w:val="00414A5E"/>
    <w:rsid w:val="00415029"/>
    <w:rsid w:val="00415194"/>
    <w:rsid w:val="0041586B"/>
    <w:rsid w:val="004158FE"/>
    <w:rsid w:val="0041596E"/>
    <w:rsid w:val="004159A4"/>
    <w:rsid w:val="004159D8"/>
    <w:rsid w:val="0041629D"/>
    <w:rsid w:val="0041629E"/>
    <w:rsid w:val="004163AE"/>
    <w:rsid w:val="00416453"/>
    <w:rsid w:val="00416A84"/>
    <w:rsid w:val="00416D98"/>
    <w:rsid w:val="00416F56"/>
    <w:rsid w:val="00417325"/>
    <w:rsid w:val="004173A2"/>
    <w:rsid w:val="0041750B"/>
    <w:rsid w:val="00417760"/>
    <w:rsid w:val="00417A91"/>
    <w:rsid w:val="00417AB2"/>
    <w:rsid w:val="00417CC8"/>
    <w:rsid w:val="00417D40"/>
    <w:rsid w:val="00417EB5"/>
    <w:rsid w:val="004204B6"/>
    <w:rsid w:val="00420ADD"/>
    <w:rsid w:val="00420BB1"/>
    <w:rsid w:val="00420CD1"/>
    <w:rsid w:val="00420DB6"/>
    <w:rsid w:val="00421268"/>
    <w:rsid w:val="00422B64"/>
    <w:rsid w:val="00422CEC"/>
    <w:rsid w:val="00423163"/>
    <w:rsid w:val="00423278"/>
    <w:rsid w:val="00423409"/>
    <w:rsid w:val="00423A89"/>
    <w:rsid w:val="00424189"/>
    <w:rsid w:val="00424426"/>
    <w:rsid w:val="00424A15"/>
    <w:rsid w:val="00425714"/>
    <w:rsid w:val="004258FA"/>
    <w:rsid w:val="00425ABA"/>
    <w:rsid w:val="00425CC6"/>
    <w:rsid w:val="00425D9A"/>
    <w:rsid w:val="00425E45"/>
    <w:rsid w:val="004263EA"/>
    <w:rsid w:val="004263EE"/>
    <w:rsid w:val="004265F4"/>
    <w:rsid w:val="0042682B"/>
    <w:rsid w:val="00426859"/>
    <w:rsid w:val="004269A5"/>
    <w:rsid w:val="00426A0D"/>
    <w:rsid w:val="00426C38"/>
    <w:rsid w:val="004270A0"/>
    <w:rsid w:val="00427365"/>
    <w:rsid w:val="004273EF"/>
    <w:rsid w:val="00427452"/>
    <w:rsid w:val="004279D4"/>
    <w:rsid w:val="00427AC3"/>
    <w:rsid w:val="00427C0B"/>
    <w:rsid w:val="0043014B"/>
    <w:rsid w:val="004301C9"/>
    <w:rsid w:val="00430293"/>
    <w:rsid w:val="0043078F"/>
    <w:rsid w:val="004307FE"/>
    <w:rsid w:val="00430D6D"/>
    <w:rsid w:val="00430DA7"/>
    <w:rsid w:val="00430E75"/>
    <w:rsid w:val="00430E8F"/>
    <w:rsid w:val="00430FD1"/>
    <w:rsid w:val="0043120E"/>
    <w:rsid w:val="00431833"/>
    <w:rsid w:val="00431A0E"/>
    <w:rsid w:val="00431D00"/>
    <w:rsid w:val="004324C1"/>
    <w:rsid w:val="00432766"/>
    <w:rsid w:val="00433528"/>
    <w:rsid w:val="00433877"/>
    <w:rsid w:val="00433C29"/>
    <w:rsid w:val="00433CAE"/>
    <w:rsid w:val="004341DC"/>
    <w:rsid w:val="0043426B"/>
    <w:rsid w:val="004342FA"/>
    <w:rsid w:val="00434507"/>
    <w:rsid w:val="00434955"/>
    <w:rsid w:val="00434CD5"/>
    <w:rsid w:val="00434F46"/>
    <w:rsid w:val="004352B7"/>
    <w:rsid w:val="004354AE"/>
    <w:rsid w:val="004356C1"/>
    <w:rsid w:val="00435794"/>
    <w:rsid w:val="00436027"/>
    <w:rsid w:val="004360AE"/>
    <w:rsid w:val="004361AF"/>
    <w:rsid w:val="00436513"/>
    <w:rsid w:val="004367DB"/>
    <w:rsid w:val="004368B0"/>
    <w:rsid w:val="004369C6"/>
    <w:rsid w:val="00436B25"/>
    <w:rsid w:val="00436CFF"/>
    <w:rsid w:val="00436F7A"/>
    <w:rsid w:val="00437329"/>
    <w:rsid w:val="004400D7"/>
    <w:rsid w:val="004401E7"/>
    <w:rsid w:val="004408C3"/>
    <w:rsid w:val="004417ED"/>
    <w:rsid w:val="00441B69"/>
    <w:rsid w:val="00441DDB"/>
    <w:rsid w:val="00441EEE"/>
    <w:rsid w:val="004420E9"/>
    <w:rsid w:val="00442336"/>
    <w:rsid w:val="0044283D"/>
    <w:rsid w:val="00442EF4"/>
    <w:rsid w:val="00442FD5"/>
    <w:rsid w:val="00443425"/>
    <w:rsid w:val="004436A3"/>
    <w:rsid w:val="0044371C"/>
    <w:rsid w:val="00443770"/>
    <w:rsid w:val="00443DE5"/>
    <w:rsid w:val="00443F93"/>
    <w:rsid w:val="00443FD7"/>
    <w:rsid w:val="004444CA"/>
    <w:rsid w:val="00444DB6"/>
    <w:rsid w:val="00444F77"/>
    <w:rsid w:val="004451C9"/>
    <w:rsid w:val="004451E5"/>
    <w:rsid w:val="0044573B"/>
    <w:rsid w:val="00445CFF"/>
    <w:rsid w:val="00445D5B"/>
    <w:rsid w:val="004465F8"/>
    <w:rsid w:val="00446629"/>
    <w:rsid w:val="00446827"/>
    <w:rsid w:val="00446AEC"/>
    <w:rsid w:val="0044708F"/>
    <w:rsid w:val="004473DC"/>
    <w:rsid w:val="0044784A"/>
    <w:rsid w:val="00447937"/>
    <w:rsid w:val="0044795B"/>
    <w:rsid w:val="00447A08"/>
    <w:rsid w:val="00447B7C"/>
    <w:rsid w:val="00447DB9"/>
    <w:rsid w:val="00447F26"/>
    <w:rsid w:val="00447F77"/>
    <w:rsid w:val="00447FDC"/>
    <w:rsid w:val="00450657"/>
    <w:rsid w:val="004508A9"/>
    <w:rsid w:val="00450E11"/>
    <w:rsid w:val="00451103"/>
    <w:rsid w:val="004512C8"/>
    <w:rsid w:val="004517C3"/>
    <w:rsid w:val="00451806"/>
    <w:rsid w:val="00452045"/>
    <w:rsid w:val="00452157"/>
    <w:rsid w:val="00452556"/>
    <w:rsid w:val="00452E92"/>
    <w:rsid w:val="0045323B"/>
    <w:rsid w:val="00453420"/>
    <w:rsid w:val="004536FF"/>
    <w:rsid w:val="00453A7B"/>
    <w:rsid w:val="00453BE0"/>
    <w:rsid w:val="00453C0A"/>
    <w:rsid w:val="00453FDC"/>
    <w:rsid w:val="004544BF"/>
    <w:rsid w:val="0045450F"/>
    <w:rsid w:val="00454870"/>
    <w:rsid w:val="00454BC5"/>
    <w:rsid w:val="00454DB9"/>
    <w:rsid w:val="00455051"/>
    <w:rsid w:val="00455F0C"/>
    <w:rsid w:val="0045642B"/>
    <w:rsid w:val="004564D3"/>
    <w:rsid w:val="00456515"/>
    <w:rsid w:val="00456B79"/>
    <w:rsid w:val="00456C64"/>
    <w:rsid w:val="00457074"/>
    <w:rsid w:val="0045733C"/>
    <w:rsid w:val="0045739B"/>
    <w:rsid w:val="0045758C"/>
    <w:rsid w:val="0045771B"/>
    <w:rsid w:val="00457D3B"/>
    <w:rsid w:val="004604E3"/>
    <w:rsid w:val="00460574"/>
    <w:rsid w:val="00460617"/>
    <w:rsid w:val="0046061F"/>
    <w:rsid w:val="0046087B"/>
    <w:rsid w:val="004608F2"/>
    <w:rsid w:val="00460B38"/>
    <w:rsid w:val="00460C9C"/>
    <w:rsid w:val="00460CDA"/>
    <w:rsid w:val="00460DDB"/>
    <w:rsid w:val="00461009"/>
    <w:rsid w:val="00461223"/>
    <w:rsid w:val="00461250"/>
    <w:rsid w:val="004614DF"/>
    <w:rsid w:val="004615DC"/>
    <w:rsid w:val="00461633"/>
    <w:rsid w:val="00461700"/>
    <w:rsid w:val="00461EE2"/>
    <w:rsid w:val="00462A07"/>
    <w:rsid w:val="00462E7E"/>
    <w:rsid w:val="00462F3E"/>
    <w:rsid w:val="0046314F"/>
    <w:rsid w:val="00463265"/>
    <w:rsid w:val="00463399"/>
    <w:rsid w:val="00463907"/>
    <w:rsid w:val="00463E02"/>
    <w:rsid w:val="00463E08"/>
    <w:rsid w:val="00463F95"/>
    <w:rsid w:val="00464014"/>
    <w:rsid w:val="0046450D"/>
    <w:rsid w:val="00464541"/>
    <w:rsid w:val="0046457A"/>
    <w:rsid w:val="00464756"/>
    <w:rsid w:val="00464B4A"/>
    <w:rsid w:val="00465014"/>
    <w:rsid w:val="00465481"/>
    <w:rsid w:val="00465E81"/>
    <w:rsid w:val="004662B4"/>
    <w:rsid w:val="00466582"/>
    <w:rsid w:val="004667B7"/>
    <w:rsid w:val="004667C3"/>
    <w:rsid w:val="00466D23"/>
    <w:rsid w:val="004670F5"/>
    <w:rsid w:val="00467153"/>
    <w:rsid w:val="004671FB"/>
    <w:rsid w:val="004674F2"/>
    <w:rsid w:val="00467767"/>
    <w:rsid w:val="004677A6"/>
    <w:rsid w:val="004678DD"/>
    <w:rsid w:val="00467950"/>
    <w:rsid w:val="0047035E"/>
    <w:rsid w:val="00470BAF"/>
    <w:rsid w:val="00471407"/>
    <w:rsid w:val="00471568"/>
    <w:rsid w:val="004715EF"/>
    <w:rsid w:val="00471F82"/>
    <w:rsid w:val="00472313"/>
    <w:rsid w:val="004727AE"/>
    <w:rsid w:val="004727F5"/>
    <w:rsid w:val="00472977"/>
    <w:rsid w:val="004729AF"/>
    <w:rsid w:val="0047310B"/>
    <w:rsid w:val="004731B3"/>
    <w:rsid w:val="0047324B"/>
    <w:rsid w:val="0047346B"/>
    <w:rsid w:val="004743E2"/>
    <w:rsid w:val="00474943"/>
    <w:rsid w:val="00474D46"/>
    <w:rsid w:val="0047516D"/>
    <w:rsid w:val="00475422"/>
    <w:rsid w:val="00475F8F"/>
    <w:rsid w:val="004760F1"/>
    <w:rsid w:val="00476133"/>
    <w:rsid w:val="0047614C"/>
    <w:rsid w:val="0047614F"/>
    <w:rsid w:val="0047647B"/>
    <w:rsid w:val="00476E0D"/>
    <w:rsid w:val="00477083"/>
    <w:rsid w:val="0047730F"/>
    <w:rsid w:val="00477559"/>
    <w:rsid w:val="0047772E"/>
    <w:rsid w:val="00477901"/>
    <w:rsid w:val="00477A6D"/>
    <w:rsid w:val="00480288"/>
    <w:rsid w:val="00480667"/>
    <w:rsid w:val="00480727"/>
    <w:rsid w:val="00480A69"/>
    <w:rsid w:val="00480B9B"/>
    <w:rsid w:val="00480E8E"/>
    <w:rsid w:val="00481493"/>
    <w:rsid w:val="00481615"/>
    <w:rsid w:val="00481C0D"/>
    <w:rsid w:val="00482052"/>
    <w:rsid w:val="004820F5"/>
    <w:rsid w:val="00482192"/>
    <w:rsid w:val="00482981"/>
    <w:rsid w:val="00482A48"/>
    <w:rsid w:val="00482F89"/>
    <w:rsid w:val="0048302B"/>
    <w:rsid w:val="004831C1"/>
    <w:rsid w:val="004831EF"/>
    <w:rsid w:val="0048344D"/>
    <w:rsid w:val="00483710"/>
    <w:rsid w:val="00483E8E"/>
    <w:rsid w:val="00484B85"/>
    <w:rsid w:val="00485557"/>
    <w:rsid w:val="00485876"/>
    <w:rsid w:val="00485E1D"/>
    <w:rsid w:val="00486181"/>
    <w:rsid w:val="004861A3"/>
    <w:rsid w:val="0048621A"/>
    <w:rsid w:val="00486521"/>
    <w:rsid w:val="004867C3"/>
    <w:rsid w:val="004867E7"/>
    <w:rsid w:val="00486DA0"/>
    <w:rsid w:val="004875D3"/>
    <w:rsid w:val="00487912"/>
    <w:rsid w:val="004879A8"/>
    <w:rsid w:val="00487A8D"/>
    <w:rsid w:val="00487A91"/>
    <w:rsid w:val="0049021E"/>
    <w:rsid w:val="004905D5"/>
    <w:rsid w:val="00490833"/>
    <w:rsid w:val="004909F3"/>
    <w:rsid w:val="00490FCF"/>
    <w:rsid w:val="0049134B"/>
    <w:rsid w:val="00491368"/>
    <w:rsid w:val="00491DD4"/>
    <w:rsid w:val="00492257"/>
    <w:rsid w:val="004924C2"/>
    <w:rsid w:val="00492665"/>
    <w:rsid w:val="0049266E"/>
    <w:rsid w:val="00492744"/>
    <w:rsid w:val="004927BF"/>
    <w:rsid w:val="004927EA"/>
    <w:rsid w:val="00492C8B"/>
    <w:rsid w:val="004930D5"/>
    <w:rsid w:val="004936BD"/>
    <w:rsid w:val="00493CB2"/>
    <w:rsid w:val="00493E13"/>
    <w:rsid w:val="004946EC"/>
    <w:rsid w:val="00494938"/>
    <w:rsid w:val="00494AA8"/>
    <w:rsid w:val="00494D68"/>
    <w:rsid w:val="00494E3C"/>
    <w:rsid w:val="004950EE"/>
    <w:rsid w:val="00495138"/>
    <w:rsid w:val="00495461"/>
    <w:rsid w:val="0049576F"/>
    <w:rsid w:val="0049579C"/>
    <w:rsid w:val="00495C46"/>
    <w:rsid w:val="00496596"/>
    <w:rsid w:val="004967CA"/>
    <w:rsid w:val="00496A31"/>
    <w:rsid w:val="00496F0B"/>
    <w:rsid w:val="004974A4"/>
    <w:rsid w:val="00497778"/>
    <w:rsid w:val="004977F1"/>
    <w:rsid w:val="00497935"/>
    <w:rsid w:val="00497EFA"/>
    <w:rsid w:val="004A056E"/>
    <w:rsid w:val="004A0788"/>
    <w:rsid w:val="004A13DB"/>
    <w:rsid w:val="004A1467"/>
    <w:rsid w:val="004A16BC"/>
    <w:rsid w:val="004A1991"/>
    <w:rsid w:val="004A1A52"/>
    <w:rsid w:val="004A1A66"/>
    <w:rsid w:val="004A21BD"/>
    <w:rsid w:val="004A21CC"/>
    <w:rsid w:val="004A2214"/>
    <w:rsid w:val="004A2637"/>
    <w:rsid w:val="004A268F"/>
    <w:rsid w:val="004A2712"/>
    <w:rsid w:val="004A2792"/>
    <w:rsid w:val="004A2916"/>
    <w:rsid w:val="004A2BA9"/>
    <w:rsid w:val="004A2F93"/>
    <w:rsid w:val="004A34C1"/>
    <w:rsid w:val="004A3DFC"/>
    <w:rsid w:val="004A43F6"/>
    <w:rsid w:val="004A468A"/>
    <w:rsid w:val="004A47BF"/>
    <w:rsid w:val="004A4905"/>
    <w:rsid w:val="004A49A8"/>
    <w:rsid w:val="004A4E5B"/>
    <w:rsid w:val="004A4FD6"/>
    <w:rsid w:val="004A53F0"/>
    <w:rsid w:val="004A5738"/>
    <w:rsid w:val="004A5C29"/>
    <w:rsid w:val="004A5CD5"/>
    <w:rsid w:val="004A607F"/>
    <w:rsid w:val="004A628B"/>
    <w:rsid w:val="004A6562"/>
    <w:rsid w:val="004A6F1C"/>
    <w:rsid w:val="004A7192"/>
    <w:rsid w:val="004A7390"/>
    <w:rsid w:val="004A774C"/>
    <w:rsid w:val="004B0017"/>
    <w:rsid w:val="004B08C3"/>
    <w:rsid w:val="004B0C6C"/>
    <w:rsid w:val="004B0D59"/>
    <w:rsid w:val="004B1028"/>
    <w:rsid w:val="004B1647"/>
    <w:rsid w:val="004B1DF5"/>
    <w:rsid w:val="004B1F29"/>
    <w:rsid w:val="004B234F"/>
    <w:rsid w:val="004B2777"/>
    <w:rsid w:val="004B2D51"/>
    <w:rsid w:val="004B2D63"/>
    <w:rsid w:val="004B3021"/>
    <w:rsid w:val="004B316A"/>
    <w:rsid w:val="004B31F7"/>
    <w:rsid w:val="004B3476"/>
    <w:rsid w:val="004B3813"/>
    <w:rsid w:val="004B3A78"/>
    <w:rsid w:val="004B3F92"/>
    <w:rsid w:val="004B41FF"/>
    <w:rsid w:val="004B4898"/>
    <w:rsid w:val="004B4D6B"/>
    <w:rsid w:val="004B4DBD"/>
    <w:rsid w:val="004B520E"/>
    <w:rsid w:val="004B532E"/>
    <w:rsid w:val="004B5651"/>
    <w:rsid w:val="004B5DE1"/>
    <w:rsid w:val="004B5F38"/>
    <w:rsid w:val="004B6CEA"/>
    <w:rsid w:val="004B6D5F"/>
    <w:rsid w:val="004B73BF"/>
    <w:rsid w:val="004B747E"/>
    <w:rsid w:val="004B7714"/>
    <w:rsid w:val="004B7926"/>
    <w:rsid w:val="004B7CD5"/>
    <w:rsid w:val="004C04E9"/>
    <w:rsid w:val="004C0B1B"/>
    <w:rsid w:val="004C15F8"/>
    <w:rsid w:val="004C18C5"/>
    <w:rsid w:val="004C22A9"/>
    <w:rsid w:val="004C26F5"/>
    <w:rsid w:val="004C2A16"/>
    <w:rsid w:val="004C2FF8"/>
    <w:rsid w:val="004C3590"/>
    <w:rsid w:val="004C3AC4"/>
    <w:rsid w:val="004C3D6C"/>
    <w:rsid w:val="004C403C"/>
    <w:rsid w:val="004C418B"/>
    <w:rsid w:val="004C43BC"/>
    <w:rsid w:val="004C44A6"/>
    <w:rsid w:val="004C49C5"/>
    <w:rsid w:val="004C4CA2"/>
    <w:rsid w:val="004C4F31"/>
    <w:rsid w:val="004C5469"/>
    <w:rsid w:val="004C54C3"/>
    <w:rsid w:val="004C56E9"/>
    <w:rsid w:val="004C5755"/>
    <w:rsid w:val="004C594C"/>
    <w:rsid w:val="004C5CE6"/>
    <w:rsid w:val="004C60A1"/>
    <w:rsid w:val="004C67D5"/>
    <w:rsid w:val="004C6801"/>
    <w:rsid w:val="004C681A"/>
    <w:rsid w:val="004C6AFA"/>
    <w:rsid w:val="004C6FB3"/>
    <w:rsid w:val="004C7118"/>
    <w:rsid w:val="004C7129"/>
    <w:rsid w:val="004C72B5"/>
    <w:rsid w:val="004C7493"/>
    <w:rsid w:val="004C75E7"/>
    <w:rsid w:val="004C77A9"/>
    <w:rsid w:val="004D0BF8"/>
    <w:rsid w:val="004D119F"/>
    <w:rsid w:val="004D12CD"/>
    <w:rsid w:val="004D143D"/>
    <w:rsid w:val="004D15D2"/>
    <w:rsid w:val="004D1675"/>
    <w:rsid w:val="004D1B5C"/>
    <w:rsid w:val="004D2455"/>
    <w:rsid w:val="004D2570"/>
    <w:rsid w:val="004D2AB7"/>
    <w:rsid w:val="004D2B3B"/>
    <w:rsid w:val="004D2DE5"/>
    <w:rsid w:val="004D3250"/>
    <w:rsid w:val="004D3549"/>
    <w:rsid w:val="004D38A5"/>
    <w:rsid w:val="004D3E7C"/>
    <w:rsid w:val="004D40AD"/>
    <w:rsid w:val="004D41C5"/>
    <w:rsid w:val="004D4304"/>
    <w:rsid w:val="004D453C"/>
    <w:rsid w:val="004D466C"/>
    <w:rsid w:val="004D47E6"/>
    <w:rsid w:val="004D4D58"/>
    <w:rsid w:val="004D4D79"/>
    <w:rsid w:val="004D4FAA"/>
    <w:rsid w:val="004D51CF"/>
    <w:rsid w:val="004D5691"/>
    <w:rsid w:val="004D597A"/>
    <w:rsid w:val="004D5A53"/>
    <w:rsid w:val="004D5A66"/>
    <w:rsid w:val="004D5BF6"/>
    <w:rsid w:val="004D5C46"/>
    <w:rsid w:val="004D5FAB"/>
    <w:rsid w:val="004D6120"/>
    <w:rsid w:val="004D6446"/>
    <w:rsid w:val="004D6573"/>
    <w:rsid w:val="004D691C"/>
    <w:rsid w:val="004D6D9C"/>
    <w:rsid w:val="004D6F22"/>
    <w:rsid w:val="004D7171"/>
    <w:rsid w:val="004D71E0"/>
    <w:rsid w:val="004D7511"/>
    <w:rsid w:val="004D7C2C"/>
    <w:rsid w:val="004D7D98"/>
    <w:rsid w:val="004D7F09"/>
    <w:rsid w:val="004E01C7"/>
    <w:rsid w:val="004E0616"/>
    <w:rsid w:val="004E06DD"/>
    <w:rsid w:val="004E0865"/>
    <w:rsid w:val="004E0BA2"/>
    <w:rsid w:val="004E0E81"/>
    <w:rsid w:val="004E1383"/>
    <w:rsid w:val="004E1415"/>
    <w:rsid w:val="004E14F5"/>
    <w:rsid w:val="004E19BA"/>
    <w:rsid w:val="004E1A6A"/>
    <w:rsid w:val="004E1D1D"/>
    <w:rsid w:val="004E1F72"/>
    <w:rsid w:val="004E22EE"/>
    <w:rsid w:val="004E366B"/>
    <w:rsid w:val="004E36A3"/>
    <w:rsid w:val="004E3A7F"/>
    <w:rsid w:val="004E3C88"/>
    <w:rsid w:val="004E3E7F"/>
    <w:rsid w:val="004E40A5"/>
    <w:rsid w:val="004E4299"/>
    <w:rsid w:val="004E4478"/>
    <w:rsid w:val="004E46E4"/>
    <w:rsid w:val="004E48BE"/>
    <w:rsid w:val="004E4FC8"/>
    <w:rsid w:val="004E5326"/>
    <w:rsid w:val="004E5908"/>
    <w:rsid w:val="004E5DAC"/>
    <w:rsid w:val="004E5EC6"/>
    <w:rsid w:val="004E6035"/>
    <w:rsid w:val="004E6087"/>
    <w:rsid w:val="004E63B5"/>
    <w:rsid w:val="004E669E"/>
    <w:rsid w:val="004E67DE"/>
    <w:rsid w:val="004E6EB4"/>
    <w:rsid w:val="004E6F9D"/>
    <w:rsid w:val="004E7009"/>
    <w:rsid w:val="004E709C"/>
    <w:rsid w:val="004E72D8"/>
    <w:rsid w:val="004E76C4"/>
    <w:rsid w:val="004E786E"/>
    <w:rsid w:val="004E7B9D"/>
    <w:rsid w:val="004E7CC6"/>
    <w:rsid w:val="004E7FD9"/>
    <w:rsid w:val="004F0827"/>
    <w:rsid w:val="004F0F38"/>
    <w:rsid w:val="004F1423"/>
    <w:rsid w:val="004F15DA"/>
    <w:rsid w:val="004F162E"/>
    <w:rsid w:val="004F1F62"/>
    <w:rsid w:val="004F2175"/>
    <w:rsid w:val="004F22CD"/>
    <w:rsid w:val="004F22F9"/>
    <w:rsid w:val="004F2CE1"/>
    <w:rsid w:val="004F3503"/>
    <w:rsid w:val="004F35F2"/>
    <w:rsid w:val="004F3849"/>
    <w:rsid w:val="004F3E99"/>
    <w:rsid w:val="004F4014"/>
    <w:rsid w:val="004F487C"/>
    <w:rsid w:val="004F5105"/>
    <w:rsid w:val="004F53D8"/>
    <w:rsid w:val="004F5876"/>
    <w:rsid w:val="004F5AAC"/>
    <w:rsid w:val="004F5CE5"/>
    <w:rsid w:val="004F5CEC"/>
    <w:rsid w:val="004F5DFD"/>
    <w:rsid w:val="004F6003"/>
    <w:rsid w:val="004F711A"/>
    <w:rsid w:val="004F751F"/>
    <w:rsid w:val="004F786E"/>
    <w:rsid w:val="004F7A3C"/>
    <w:rsid w:val="004F7B40"/>
    <w:rsid w:val="004F7DA1"/>
    <w:rsid w:val="004F7EBB"/>
    <w:rsid w:val="005003D7"/>
    <w:rsid w:val="00500682"/>
    <w:rsid w:val="00500693"/>
    <w:rsid w:val="0050141B"/>
    <w:rsid w:val="005015F8"/>
    <w:rsid w:val="00501AA8"/>
    <w:rsid w:val="00502079"/>
    <w:rsid w:val="00502180"/>
    <w:rsid w:val="00502AF4"/>
    <w:rsid w:val="00502CD9"/>
    <w:rsid w:val="00503286"/>
    <w:rsid w:val="005039C6"/>
    <w:rsid w:val="0050482C"/>
    <w:rsid w:val="00504EE5"/>
    <w:rsid w:val="005050C3"/>
    <w:rsid w:val="005053BA"/>
    <w:rsid w:val="00505A2B"/>
    <w:rsid w:val="00505C68"/>
    <w:rsid w:val="0050650B"/>
    <w:rsid w:val="005066D1"/>
    <w:rsid w:val="00506EF3"/>
    <w:rsid w:val="005070BC"/>
    <w:rsid w:val="005071AD"/>
    <w:rsid w:val="0050732E"/>
    <w:rsid w:val="0050744D"/>
    <w:rsid w:val="00507495"/>
    <w:rsid w:val="00510403"/>
    <w:rsid w:val="00510688"/>
    <w:rsid w:val="00510821"/>
    <w:rsid w:val="0051099E"/>
    <w:rsid w:val="0051140A"/>
    <w:rsid w:val="005119E4"/>
    <w:rsid w:val="00511B13"/>
    <w:rsid w:val="00511DC3"/>
    <w:rsid w:val="00512692"/>
    <w:rsid w:val="005126A7"/>
    <w:rsid w:val="00512869"/>
    <w:rsid w:val="00512991"/>
    <w:rsid w:val="00512A6B"/>
    <w:rsid w:val="00512ABA"/>
    <w:rsid w:val="00512ABD"/>
    <w:rsid w:val="00513728"/>
    <w:rsid w:val="005139A8"/>
    <w:rsid w:val="00513D9C"/>
    <w:rsid w:val="00513DCE"/>
    <w:rsid w:val="00513EF5"/>
    <w:rsid w:val="00513FBB"/>
    <w:rsid w:val="00514073"/>
    <w:rsid w:val="0051414B"/>
    <w:rsid w:val="0051466D"/>
    <w:rsid w:val="0051487A"/>
    <w:rsid w:val="00514983"/>
    <w:rsid w:val="00514B0F"/>
    <w:rsid w:val="00514CDB"/>
    <w:rsid w:val="00514CFE"/>
    <w:rsid w:val="00514E05"/>
    <w:rsid w:val="00514E0D"/>
    <w:rsid w:val="00514EB9"/>
    <w:rsid w:val="005158AA"/>
    <w:rsid w:val="00515B4D"/>
    <w:rsid w:val="00515C3A"/>
    <w:rsid w:val="00515CA1"/>
    <w:rsid w:val="00515F8F"/>
    <w:rsid w:val="00516544"/>
    <w:rsid w:val="005167DE"/>
    <w:rsid w:val="00516849"/>
    <w:rsid w:val="00516955"/>
    <w:rsid w:val="00516C36"/>
    <w:rsid w:val="00516DFD"/>
    <w:rsid w:val="00516F14"/>
    <w:rsid w:val="00517215"/>
    <w:rsid w:val="00517352"/>
    <w:rsid w:val="00517469"/>
    <w:rsid w:val="005202EF"/>
    <w:rsid w:val="00520480"/>
    <w:rsid w:val="00520629"/>
    <w:rsid w:val="00520713"/>
    <w:rsid w:val="00521003"/>
    <w:rsid w:val="0052148F"/>
    <w:rsid w:val="0052185D"/>
    <w:rsid w:val="00521AA0"/>
    <w:rsid w:val="00521ADA"/>
    <w:rsid w:val="00521DA5"/>
    <w:rsid w:val="00521E51"/>
    <w:rsid w:val="0052288A"/>
    <w:rsid w:val="00522E94"/>
    <w:rsid w:val="00523250"/>
    <w:rsid w:val="0052359F"/>
    <w:rsid w:val="0052362C"/>
    <w:rsid w:val="00523782"/>
    <w:rsid w:val="0052381C"/>
    <w:rsid w:val="005239C9"/>
    <w:rsid w:val="00523C23"/>
    <w:rsid w:val="00523E37"/>
    <w:rsid w:val="00523F45"/>
    <w:rsid w:val="005242C2"/>
    <w:rsid w:val="005242C8"/>
    <w:rsid w:val="0052518D"/>
    <w:rsid w:val="00525224"/>
    <w:rsid w:val="00525240"/>
    <w:rsid w:val="00525417"/>
    <w:rsid w:val="00525A32"/>
    <w:rsid w:val="00525F3D"/>
    <w:rsid w:val="00526F41"/>
    <w:rsid w:val="005276CC"/>
    <w:rsid w:val="00527992"/>
    <w:rsid w:val="00527A46"/>
    <w:rsid w:val="00527E9B"/>
    <w:rsid w:val="00530154"/>
    <w:rsid w:val="00530938"/>
    <w:rsid w:val="0053098C"/>
    <w:rsid w:val="00530D75"/>
    <w:rsid w:val="00530DE7"/>
    <w:rsid w:val="00530F31"/>
    <w:rsid w:val="00530F66"/>
    <w:rsid w:val="00531646"/>
    <w:rsid w:val="00531EFB"/>
    <w:rsid w:val="00531F76"/>
    <w:rsid w:val="005320D2"/>
    <w:rsid w:val="00532409"/>
    <w:rsid w:val="005324AB"/>
    <w:rsid w:val="0053284B"/>
    <w:rsid w:val="00532E02"/>
    <w:rsid w:val="0053309B"/>
    <w:rsid w:val="0053345A"/>
    <w:rsid w:val="00533585"/>
    <w:rsid w:val="00533B07"/>
    <w:rsid w:val="00533F1F"/>
    <w:rsid w:val="0053407C"/>
    <w:rsid w:val="00534089"/>
    <w:rsid w:val="005343D2"/>
    <w:rsid w:val="00534817"/>
    <w:rsid w:val="00534846"/>
    <w:rsid w:val="005348C5"/>
    <w:rsid w:val="00534B1F"/>
    <w:rsid w:val="00535A62"/>
    <w:rsid w:val="00535B04"/>
    <w:rsid w:val="005361B9"/>
    <w:rsid w:val="005363E8"/>
    <w:rsid w:val="0053641C"/>
    <w:rsid w:val="00536997"/>
    <w:rsid w:val="00536A34"/>
    <w:rsid w:val="00536C10"/>
    <w:rsid w:val="00536F26"/>
    <w:rsid w:val="00537A01"/>
    <w:rsid w:val="00537AEF"/>
    <w:rsid w:val="00537CF4"/>
    <w:rsid w:val="00537D3A"/>
    <w:rsid w:val="005402E8"/>
    <w:rsid w:val="005403E5"/>
    <w:rsid w:val="00540592"/>
    <w:rsid w:val="00540664"/>
    <w:rsid w:val="00540A84"/>
    <w:rsid w:val="00540CB8"/>
    <w:rsid w:val="00540D3F"/>
    <w:rsid w:val="00541025"/>
    <w:rsid w:val="00541932"/>
    <w:rsid w:val="00541C23"/>
    <w:rsid w:val="00541D0B"/>
    <w:rsid w:val="00541D86"/>
    <w:rsid w:val="00542153"/>
    <w:rsid w:val="005422C6"/>
    <w:rsid w:val="0054233E"/>
    <w:rsid w:val="00542737"/>
    <w:rsid w:val="00542935"/>
    <w:rsid w:val="00542B64"/>
    <w:rsid w:val="00543566"/>
    <w:rsid w:val="005437AD"/>
    <w:rsid w:val="00544126"/>
    <w:rsid w:val="005441FB"/>
    <w:rsid w:val="0054468F"/>
    <w:rsid w:val="00544CCD"/>
    <w:rsid w:val="00545687"/>
    <w:rsid w:val="00545CF3"/>
    <w:rsid w:val="00545DC2"/>
    <w:rsid w:val="00545E88"/>
    <w:rsid w:val="0054606D"/>
    <w:rsid w:val="005460D6"/>
    <w:rsid w:val="00546249"/>
    <w:rsid w:val="0054653F"/>
    <w:rsid w:val="00546B73"/>
    <w:rsid w:val="00547803"/>
    <w:rsid w:val="00547B61"/>
    <w:rsid w:val="00547DA1"/>
    <w:rsid w:val="00550597"/>
    <w:rsid w:val="005505FF"/>
    <w:rsid w:val="00550AC9"/>
    <w:rsid w:val="00550CA4"/>
    <w:rsid w:val="00550EF5"/>
    <w:rsid w:val="00551662"/>
    <w:rsid w:val="00551B8B"/>
    <w:rsid w:val="0055268D"/>
    <w:rsid w:val="0055277D"/>
    <w:rsid w:val="00552DCB"/>
    <w:rsid w:val="00552EE9"/>
    <w:rsid w:val="005530F0"/>
    <w:rsid w:val="005539E5"/>
    <w:rsid w:val="00553D01"/>
    <w:rsid w:val="00553D14"/>
    <w:rsid w:val="0055404C"/>
    <w:rsid w:val="005546A8"/>
    <w:rsid w:val="005551E7"/>
    <w:rsid w:val="005552C5"/>
    <w:rsid w:val="005552C6"/>
    <w:rsid w:val="005558B5"/>
    <w:rsid w:val="00555A59"/>
    <w:rsid w:val="00555B00"/>
    <w:rsid w:val="00555F42"/>
    <w:rsid w:val="00556362"/>
    <w:rsid w:val="005566FE"/>
    <w:rsid w:val="00556779"/>
    <w:rsid w:val="00556A6B"/>
    <w:rsid w:val="00556B59"/>
    <w:rsid w:val="00556BBE"/>
    <w:rsid w:val="00556C04"/>
    <w:rsid w:val="00556D11"/>
    <w:rsid w:val="00556E8B"/>
    <w:rsid w:val="00556FC9"/>
    <w:rsid w:val="005571E3"/>
    <w:rsid w:val="0055723A"/>
    <w:rsid w:val="00557309"/>
    <w:rsid w:val="005574C1"/>
    <w:rsid w:val="005575C9"/>
    <w:rsid w:val="005576C8"/>
    <w:rsid w:val="0055773A"/>
    <w:rsid w:val="00557A2C"/>
    <w:rsid w:val="00557BA3"/>
    <w:rsid w:val="00560267"/>
    <w:rsid w:val="00560B8D"/>
    <w:rsid w:val="00560EAC"/>
    <w:rsid w:val="00561114"/>
    <w:rsid w:val="005616B1"/>
    <w:rsid w:val="00561A90"/>
    <w:rsid w:val="00561C29"/>
    <w:rsid w:val="005629F2"/>
    <w:rsid w:val="00563059"/>
    <w:rsid w:val="00563064"/>
    <w:rsid w:val="00563993"/>
    <w:rsid w:val="00563A14"/>
    <w:rsid w:val="005641C8"/>
    <w:rsid w:val="0056423D"/>
    <w:rsid w:val="0056463C"/>
    <w:rsid w:val="00564B09"/>
    <w:rsid w:val="00564E05"/>
    <w:rsid w:val="00564F7F"/>
    <w:rsid w:val="00565104"/>
    <w:rsid w:val="005651A1"/>
    <w:rsid w:val="0056524C"/>
    <w:rsid w:val="005653FC"/>
    <w:rsid w:val="0056582D"/>
    <w:rsid w:val="00565912"/>
    <w:rsid w:val="005663F4"/>
    <w:rsid w:val="005667FE"/>
    <w:rsid w:val="005668C8"/>
    <w:rsid w:val="00566AB3"/>
    <w:rsid w:val="00566C86"/>
    <w:rsid w:val="00566E57"/>
    <w:rsid w:val="0056721B"/>
    <w:rsid w:val="00567667"/>
    <w:rsid w:val="005676BA"/>
    <w:rsid w:val="0056799E"/>
    <w:rsid w:val="00567AF5"/>
    <w:rsid w:val="00567B9A"/>
    <w:rsid w:val="00567DC0"/>
    <w:rsid w:val="005703E2"/>
    <w:rsid w:val="0057084E"/>
    <w:rsid w:val="00572273"/>
    <w:rsid w:val="00572589"/>
    <w:rsid w:val="0057291A"/>
    <w:rsid w:val="00572C14"/>
    <w:rsid w:val="00572E08"/>
    <w:rsid w:val="00572EEF"/>
    <w:rsid w:val="00573675"/>
    <w:rsid w:val="00573912"/>
    <w:rsid w:val="005740A0"/>
    <w:rsid w:val="00574848"/>
    <w:rsid w:val="005748DA"/>
    <w:rsid w:val="00575460"/>
    <w:rsid w:val="00575819"/>
    <w:rsid w:val="00575910"/>
    <w:rsid w:val="0057592B"/>
    <w:rsid w:val="00575AA6"/>
    <w:rsid w:val="00575F32"/>
    <w:rsid w:val="00576122"/>
    <w:rsid w:val="005762E4"/>
    <w:rsid w:val="00576439"/>
    <w:rsid w:val="00576A9A"/>
    <w:rsid w:val="00577A2F"/>
    <w:rsid w:val="00577A4B"/>
    <w:rsid w:val="00577C14"/>
    <w:rsid w:val="00577E30"/>
    <w:rsid w:val="00577E57"/>
    <w:rsid w:val="00577F5A"/>
    <w:rsid w:val="00580FB6"/>
    <w:rsid w:val="00581073"/>
    <w:rsid w:val="00581521"/>
    <w:rsid w:val="005818A7"/>
    <w:rsid w:val="00581987"/>
    <w:rsid w:val="00581A4F"/>
    <w:rsid w:val="00581BDE"/>
    <w:rsid w:val="00581E28"/>
    <w:rsid w:val="00581E9D"/>
    <w:rsid w:val="00581F08"/>
    <w:rsid w:val="00581F37"/>
    <w:rsid w:val="005820CE"/>
    <w:rsid w:val="00582805"/>
    <w:rsid w:val="005828A9"/>
    <w:rsid w:val="005829C8"/>
    <w:rsid w:val="00582F9B"/>
    <w:rsid w:val="00583111"/>
    <w:rsid w:val="00583F2D"/>
    <w:rsid w:val="00583FD4"/>
    <w:rsid w:val="00584195"/>
    <w:rsid w:val="005842C7"/>
    <w:rsid w:val="005842F3"/>
    <w:rsid w:val="005845E9"/>
    <w:rsid w:val="0058468C"/>
    <w:rsid w:val="005849D3"/>
    <w:rsid w:val="00584F2B"/>
    <w:rsid w:val="0058537B"/>
    <w:rsid w:val="0058554F"/>
    <w:rsid w:val="0058565D"/>
    <w:rsid w:val="00585956"/>
    <w:rsid w:val="00585BAA"/>
    <w:rsid w:val="00585EF4"/>
    <w:rsid w:val="00586243"/>
    <w:rsid w:val="005864DD"/>
    <w:rsid w:val="0058695E"/>
    <w:rsid w:val="00586AAF"/>
    <w:rsid w:val="00586EC1"/>
    <w:rsid w:val="00586EEC"/>
    <w:rsid w:val="005876CD"/>
    <w:rsid w:val="005876F2"/>
    <w:rsid w:val="005878EF"/>
    <w:rsid w:val="005901CA"/>
    <w:rsid w:val="00590348"/>
    <w:rsid w:val="00590610"/>
    <w:rsid w:val="00590808"/>
    <w:rsid w:val="005908B4"/>
    <w:rsid w:val="00590B48"/>
    <w:rsid w:val="00590FB8"/>
    <w:rsid w:val="005911FB"/>
    <w:rsid w:val="005913AE"/>
    <w:rsid w:val="005916B0"/>
    <w:rsid w:val="00591E35"/>
    <w:rsid w:val="00591EC6"/>
    <w:rsid w:val="00591ED2"/>
    <w:rsid w:val="00591F41"/>
    <w:rsid w:val="005922CD"/>
    <w:rsid w:val="005922E7"/>
    <w:rsid w:val="00592677"/>
    <w:rsid w:val="00592A97"/>
    <w:rsid w:val="0059302D"/>
    <w:rsid w:val="00593296"/>
    <w:rsid w:val="0059357D"/>
    <w:rsid w:val="005935C8"/>
    <w:rsid w:val="00593961"/>
    <w:rsid w:val="00593A96"/>
    <w:rsid w:val="00593C2D"/>
    <w:rsid w:val="0059411D"/>
    <w:rsid w:val="00594420"/>
    <w:rsid w:val="005945F5"/>
    <w:rsid w:val="00594BAF"/>
    <w:rsid w:val="00594C29"/>
    <w:rsid w:val="00595050"/>
    <w:rsid w:val="00595121"/>
    <w:rsid w:val="005951D5"/>
    <w:rsid w:val="005954B2"/>
    <w:rsid w:val="00595509"/>
    <w:rsid w:val="00595721"/>
    <w:rsid w:val="00595773"/>
    <w:rsid w:val="00595F13"/>
    <w:rsid w:val="00595FE6"/>
    <w:rsid w:val="0059618C"/>
    <w:rsid w:val="00596203"/>
    <w:rsid w:val="00596446"/>
    <w:rsid w:val="005967D5"/>
    <w:rsid w:val="00596DBD"/>
    <w:rsid w:val="0059750A"/>
    <w:rsid w:val="00597533"/>
    <w:rsid w:val="00597622"/>
    <w:rsid w:val="005976A1"/>
    <w:rsid w:val="005A00D3"/>
    <w:rsid w:val="005A014F"/>
    <w:rsid w:val="005A015E"/>
    <w:rsid w:val="005A079C"/>
    <w:rsid w:val="005A09B0"/>
    <w:rsid w:val="005A0A68"/>
    <w:rsid w:val="005A0ADE"/>
    <w:rsid w:val="005A1619"/>
    <w:rsid w:val="005A171D"/>
    <w:rsid w:val="005A1B11"/>
    <w:rsid w:val="005A1E47"/>
    <w:rsid w:val="005A2060"/>
    <w:rsid w:val="005A2A63"/>
    <w:rsid w:val="005A2C16"/>
    <w:rsid w:val="005A2E19"/>
    <w:rsid w:val="005A3455"/>
    <w:rsid w:val="005A37B9"/>
    <w:rsid w:val="005A3A72"/>
    <w:rsid w:val="005A3A96"/>
    <w:rsid w:val="005A4613"/>
    <w:rsid w:val="005A4839"/>
    <w:rsid w:val="005A4BE7"/>
    <w:rsid w:val="005A4F44"/>
    <w:rsid w:val="005A4F7B"/>
    <w:rsid w:val="005A5386"/>
    <w:rsid w:val="005A544A"/>
    <w:rsid w:val="005A56F4"/>
    <w:rsid w:val="005A5878"/>
    <w:rsid w:val="005A58BA"/>
    <w:rsid w:val="005A5FCF"/>
    <w:rsid w:val="005A656D"/>
    <w:rsid w:val="005A669D"/>
    <w:rsid w:val="005A6A61"/>
    <w:rsid w:val="005A6CA8"/>
    <w:rsid w:val="005A6E75"/>
    <w:rsid w:val="005A7068"/>
    <w:rsid w:val="005A7294"/>
    <w:rsid w:val="005A73C2"/>
    <w:rsid w:val="005A7498"/>
    <w:rsid w:val="005A7FDB"/>
    <w:rsid w:val="005B01EE"/>
    <w:rsid w:val="005B020B"/>
    <w:rsid w:val="005B0453"/>
    <w:rsid w:val="005B0D4B"/>
    <w:rsid w:val="005B0E1B"/>
    <w:rsid w:val="005B0FBD"/>
    <w:rsid w:val="005B12C8"/>
    <w:rsid w:val="005B1BD6"/>
    <w:rsid w:val="005B1CF7"/>
    <w:rsid w:val="005B1D36"/>
    <w:rsid w:val="005B203B"/>
    <w:rsid w:val="005B22CB"/>
    <w:rsid w:val="005B239E"/>
    <w:rsid w:val="005B2522"/>
    <w:rsid w:val="005B29B0"/>
    <w:rsid w:val="005B2B19"/>
    <w:rsid w:val="005B2EB2"/>
    <w:rsid w:val="005B315D"/>
    <w:rsid w:val="005B3268"/>
    <w:rsid w:val="005B341C"/>
    <w:rsid w:val="005B3761"/>
    <w:rsid w:val="005B386D"/>
    <w:rsid w:val="005B3C54"/>
    <w:rsid w:val="005B4249"/>
    <w:rsid w:val="005B480A"/>
    <w:rsid w:val="005B5BD1"/>
    <w:rsid w:val="005B5E33"/>
    <w:rsid w:val="005B611B"/>
    <w:rsid w:val="005B6164"/>
    <w:rsid w:val="005B6345"/>
    <w:rsid w:val="005B6686"/>
    <w:rsid w:val="005B68F3"/>
    <w:rsid w:val="005B6BAB"/>
    <w:rsid w:val="005B6BB0"/>
    <w:rsid w:val="005B6CDC"/>
    <w:rsid w:val="005B70DE"/>
    <w:rsid w:val="005B728A"/>
    <w:rsid w:val="005B7424"/>
    <w:rsid w:val="005B771E"/>
    <w:rsid w:val="005B7D09"/>
    <w:rsid w:val="005C00B0"/>
    <w:rsid w:val="005C0B54"/>
    <w:rsid w:val="005C0DF9"/>
    <w:rsid w:val="005C1B91"/>
    <w:rsid w:val="005C1E55"/>
    <w:rsid w:val="005C20BC"/>
    <w:rsid w:val="005C2391"/>
    <w:rsid w:val="005C23D5"/>
    <w:rsid w:val="005C2A60"/>
    <w:rsid w:val="005C2D27"/>
    <w:rsid w:val="005C2EF4"/>
    <w:rsid w:val="005C35BD"/>
    <w:rsid w:val="005C36B4"/>
    <w:rsid w:val="005C3A5E"/>
    <w:rsid w:val="005C3B98"/>
    <w:rsid w:val="005C3BE0"/>
    <w:rsid w:val="005C3C4A"/>
    <w:rsid w:val="005C3EBC"/>
    <w:rsid w:val="005C44D6"/>
    <w:rsid w:val="005C45BC"/>
    <w:rsid w:val="005C463F"/>
    <w:rsid w:val="005C484A"/>
    <w:rsid w:val="005C4944"/>
    <w:rsid w:val="005C5374"/>
    <w:rsid w:val="005C551B"/>
    <w:rsid w:val="005C5668"/>
    <w:rsid w:val="005C56E3"/>
    <w:rsid w:val="005C5A48"/>
    <w:rsid w:val="005C5A56"/>
    <w:rsid w:val="005C5AC9"/>
    <w:rsid w:val="005C5FB2"/>
    <w:rsid w:val="005C65E7"/>
    <w:rsid w:val="005C6ADD"/>
    <w:rsid w:val="005C7201"/>
    <w:rsid w:val="005C78B9"/>
    <w:rsid w:val="005C7A77"/>
    <w:rsid w:val="005C7C3D"/>
    <w:rsid w:val="005D00C3"/>
    <w:rsid w:val="005D017B"/>
    <w:rsid w:val="005D03F1"/>
    <w:rsid w:val="005D03FE"/>
    <w:rsid w:val="005D0B2C"/>
    <w:rsid w:val="005D0C90"/>
    <w:rsid w:val="005D12D5"/>
    <w:rsid w:val="005D146E"/>
    <w:rsid w:val="005D1744"/>
    <w:rsid w:val="005D184E"/>
    <w:rsid w:val="005D1930"/>
    <w:rsid w:val="005D1A96"/>
    <w:rsid w:val="005D1AD6"/>
    <w:rsid w:val="005D1B31"/>
    <w:rsid w:val="005D1C66"/>
    <w:rsid w:val="005D1D2E"/>
    <w:rsid w:val="005D1DFF"/>
    <w:rsid w:val="005D1FB6"/>
    <w:rsid w:val="005D1FBE"/>
    <w:rsid w:val="005D24A4"/>
    <w:rsid w:val="005D24DF"/>
    <w:rsid w:val="005D2DE8"/>
    <w:rsid w:val="005D3C92"/>
    <w:rsid w:val="005D429E"/>
    <w:rsid w:val="005D481B"/>
    <w:rsid w:val="005D5358"/>
    <w:rsid w:val="005D553C"/>
    <w:rsid w:val="005D557F"/>
    <w:rsid w:val="005D57C0"/>
    <w:rsid w:val="005D5835"/>
    <w:rsid w:val="005D5894"/>
    <w:rsid w:val="005D59F4"/>
    <w:rsid w:val="005D5DC9"/>
    <w:rsid w:val="005D637B"/>
    <w:rsid w:val="005D7183"/>
    <w:rsid w:val="005D73CE"/>
    <w:rsid w:val="005D73F0"/>
    <w:rsid w:val="005D7530"/>
    <w:rsid w:val="005D770D"/>
    <w:rsid w:val="005D786F"/>
    <w:rsid w:val="005D7B5D"/>
    <w:rsid w:val="005D7CC5"/>
    <w:rsid w:val="005D7E91"/>
    <w:rsid w:val="005E0069"/>
    <w:rsid w:val="005E02D6"/>
    <w:rsid w:val="005E0536"/>
    <w:rsid w:val="005E0A9B"/>
    <w:rsid w:val="005E0B48"/>
    <w:rsid w:val="005E10AB"/>
    <w:rsid w:val="005E1207"/>
    <w:rsid w:val="005E188F"/>
    <w:rsid w:val="005E1D94"/>
    <w:rsid w:val="005E1DFB"/>
    <w:rsid w:val="005E23B3"/>
    <w:rsid w:val="005E2619"/>
    <w:rsid w:val="005E2845"/>
    <w:rsid w:val="005E2F8B"/>
    <w:rsid w:val="005E3096"/>
    <w:rsid w:val="005E33A3"/>
    <w:rsid w:val="005E37D1"/>
    <w:rsid w:val="005E4181"/>
    <w:rsid w:val="005E4374"/>
    <w:rsid w:val="005E4CB7"/>
    <w:rsid w:val="005E5297"/>
    <w:rsid w:val="005E541D"/>
    <w:rsid w:val="005E5D59"/>
    <w:rsid w:val="005E5E34"/>
    <w:rsid w:val="005E6089"/>
    <w:rsid w:val="005E6109"/>
    <w:rsid w:val="005E672F"/>
    <w:rsid w:val="005E6A85"/>
    <w:rsid w:val="005E6BF1"/>
    <w:rsid w:val="005E6D99"/>
    <w:rsid w:val="005E6D9C"/>
    <w:rsid w:val="005E71DC"/>
    <w:rsid w:val="005E7476"/>
    <w:rsid w:val="005E76F3"/>
    <w:rsid w:val="005E7A5B"/>
    <w:rsid w:val="005E7C44"/>
    <w:rsid w:val="005E7C68"/>
    <w:rsid w:val="005E7EF7"/>
    <w:rsid w:val="005F036B"/>
    <w:rsid w:val="005F0503"/>
    <w:rsid w:val="005F1121"/>
    <w:rsid w:val="005F1389"/>
    <w:rsid w:val="005F14A3"/>
    <w:rsid w:val="005F1520"/>
    <w:rsid w:val="005F249F"/>
    <w:rsid w:val="005F2975"/>
    <w:rsid w:val="005F350F"/>
    <w:rsid w:val="005F354B"/>
    <w:rsid w:val="005F4083"/>
    <w:rsid w:val="005F4295"/>
    <w:rsid w:val="005F44CA"/>
    <w:rsid w:val="005F4537"/>
    <w:rsid w:val="005F4571"/>
    <w:rsid w:val="005F488F"/>
    <w:rsid w:val="005F4BFB"/>
    <w:rsid w:val="005F4C6A"/>
    <w:rsid w:val="005F4FD2"/>
    <w:rsid w:val="005F51A9"/>
    <w:rsid w:val="005F5201"/>
    <w:rsid w:val="005F579A"/>
    <w:rsid w:val="005F5C34"/>
    <w:rsid w:val="005F5D0C"/>
    <w:rsid w:val="005F5D68"/>
    <w:rsid w:val="005F5E2A"/>
    <w:rsid w:val="005F5E96"/>
    <w:rsid w:val="005F6077"/>
    <w:rsid w:val="005F647E"/>
    <w:rsid w:val="005F649E"/>
    <w:rsid w:val="005F6644"/>
    <w:rsid w:val="005F6A09"/>
    <w:rsid w:val="005F6CE4"/>
    <w:rsid w:val="005F6DA8"/>
    <w:rsid w:val="005F79AD"/>
    <w:rsid w:val="005F79D2"/>
    <w:rsid w:val="005F79F5"/>
    <w:rsid w:val="005F7C68"/>
    <w:rsid w:val="00600285"/>
    <w:rsid w:val="00600484"/>
    <w:rsid w:val="00600ADE"/>
    <w:rsid w:val="00600BBC"/>
    <w:rsid w:val="00600E9B"/>
    <w:rsid w:val="00601495"/>
    <w:rsid w:val="00601936"/>
    <w:rsid w:val="00601BBA"/>
    <w:rsid w:val="00601C23"/>
    <w:rsid w:val="00601C82"/>
    <w:rsid w:val="00601D72"/>
    <w:rsid w:val="00601FB5"/>
    <w:rsid w:val="00602130"/>
    <w:rsid w:val="006029C4"/>
    <w:rsid w:val="006029D6"/>
    <w:rsid w:val="006032B8"/>
    <w:rsid w:val="00603509"/>
    <w:rsid w:val="00603D7B"/>
    <w:rsid w:val="0060480F"/>
    <w:rsid w:val="00604B3E"/>
    <w:rsid w:val="00605227"/>
    <w:rsid w:val="00605494"/>
    <w:rsid w:val="006054F2"/>
    <w:rsid w:val="006055C1"/>
    <w:rsid w:val="00605A14"/>
    <w:rsid w:val="00605E4A"/>
    <w:rsid w:val="00605E96"/>
    <w:rsid w:val="00605FDC"/>
    <w:rsid w:val="00606172"/>
    <w:rsid w:val="00606251"/>
    <w:rsid w:val="0060652E"/>
    <w:rsid w:val="0060670F"/>
    <w:rsid w:val="006068C2"/>
    <w:rsid w:val="00606B32"/>
    <w:rsid w:val="00606CAD"/>
    <w:rsid w:val="00606E66"/>
    <w:rsid w:val="00606FCB"/>
    <w:rsid w:val="0060707A"/>
    <w:rsid w:val="00607250"/>
    <w:rsid w:val="00607760"/>
    <w:rsid w:val="006078D5"/>
    <w:rsid w:val="00607AAB"/>
    <w:rsid w:val="00607BF2"/>
    <w:rsid w:val="00607D9A"/>
    <w:rsid w:val="00607DB1"/>
    <w:rsid w:val="00610117"/>
    <w:rsid w:val="006102D7"/>
    <w:rsid w:val="006103BC"/>
    <w:rsid w:val="006109F8"/>
    <w:rsid w:val="00610BF2"/>
    <w:rsid w:val="00610C32"/>
    <w:rsid w:val="00610C55"/>
    <w:rsid w:val="00610E75"/>
    <w:rsid w:val="00611240"/>
    <w:rsid w:val="00611603"/>
    <w:rsid w:val="006116F2"/>
    <w:rsid w:val="006118CE"/>
    <w:rsid w:val="0061199F"/>
    <w:rsid w:val="006126EE"/>
    <w:rsid w:val="00613B13"/>
    <w:rsid w:val="00613D45"/>
    <w:rsid w:val="006145A0"/>
    <w:rsid w:val="00614704"/>
    <w:rsid w:val="00614750"/>
    <w:rsid w:val="00614A6F"/>
    <w:rsid w:val="00614AB6"/>
    <w:rsid w:val="00614AE0"/>
    <w:rsid w:val="00614CF7"/>
    <w:rsid w:val="00614E41"/>
    <w:rsid w:val="00614F01"/>
    <w:rsid w:val="00615DAA"/>
    <w:rsid w:val="00615E34"/>
    <w:rsid w:val="00616C92"/>
    <w:rsid w:val="00616E5A"/>
    <w:rsid w:val="0061733F"/>
    <w:rsid w:val="00617433"/>
    <w:rsid w:val="006177C7"/>
    <w:rsid w:val="00617A4C"/>
    <w:rsid w:val="00617DD9"/>
    <w:rsid w:val="00617E4B"/>
    <w:rsid w:val="0062013D"/>
    <w:rsid w:val="00620174"/>
    <w:rsid w:val="00620630"/>
    <w:rsid w:val="006207BA"/>
    <w:rsid w:val="006216BC"/>
    <w:rsid w:val="00621B30"/>
    <w:rsid w:val="00622033"/>
    <w:rsid w:val="006220AA"/>
    <w:rsid w:val="0062218B"/>
    <w:rsid w:val="00622504"/>
    <w:rsid w:val="006231D4"/>
    <w:rsid w:val="00623D83"/>
    <w:rsid w:val="00624535"/>
    <w:rsid w:val="006246FB"/>
    <w:rsid w:val="00624C9A"/>
    <w:rsid w:val="00624E6D"/>
    <w:rsid w:val="0062529D"/>
    <w:rsid w:val="00625A27"/>
    <w:rsid w:val="00625BA7"/>
    <w:rsid w:val="00625F53"/>
    <w:rsid w:val="006260B7"/>
    <w:rsid w:val="006265E6"/>
    <w:rsid w:val="00626BCF"/>
    <w:rsid w:val="00626C88"/>
    <w:rsid w:val="00626D94"/>
    <w:rsid w:val="0062762F"/>
    <w:rsid w:val="00627AA8"/>
    <w:rsid w:val="00627B6C"/>
    <w:rsid w:val="00627B72"/>
    <w:rsid w:val="00627FE3"/>
    <w:rsid w:val="006302CF"/>
    <w:rsid w:val="006303E2"/>
    <w:rsid w:val="00630466"/>
    <w:rsid w:val="00630557"/>
    <w:rsid w:val="00630F66"/>
    <w:rsid w:val="00630FDC"/>
    <w:rsid w:val="00631405"/>
    <w:rsid w:val="00631544"/>
    <w:rsid w:val="00631ABC"/>
    <w:rsid w:val="0063218A"/>
    <w:rsid w:val="006324D5"/>
    <w:rsid w:val="006326A0"/>
    <w:rsid w:val="0063274D"/>
    <w:rsid w:val="0063288A"/>
    <w:rsid w:val="006328B7"/>
    <w:rsid w:val="006329DE"/>
    <w:rsid w:val="00632DAD"/>
    <w:rsid w:val="006333D2"/>
    <w:rsid w:val="00633635"/>
    <w:rsid w:val="00633740"/>
    <w:rsid w:val="00633E50"/>
    <w:rsid w:val="00633F09"/>
    <w:rsid w:val="0063407C"/>
    <w:rsid w:val="006349B2"/>
    <w:rsid w:val="006349CE"/>
    <w:rsid w:val="00634BE4"/>
    <w:rsid w:val="00634ECE"/>
    <w:rsid w:val="00635085"/>
    <w:rsid w:val="0063532F"/>
    <w:rsid w:val="0063542D"/>
    <w:rsid w:val="0063593F"/>
    <w:rsid w:val="00635A95"/>
    <w:rsid w:val="00635FC5"/>
    <w:rsid w:val="00636586"/>
    <w:rsid w:val="00637C33"/>
    <w:rsid w:val="00637F5F"/>
    <w:rsid w:val="00640583"/>
    <w:rsid w:val="00640869"/>
    <w:rsid w:val="006408F7"/>
    <w:rsid w:val="0064093B"/>
    <w:rsid w:val="00640B15"/>
    <w:rsid w:val="00641ABC"/>
    <w:rsid w:val="00641CEF"/>
    <w:rsid w:val="00641ECC"/>
    <w:rsid w:val="006423A7"/>
    <w:rsid w:val="00642530"/>
    <w:rsid w:val="00642667"/>
    <w:rsid w:val="00643629"/>
    <w:rsid w:val="00643706"/>
    <w:rsid w:val="006437A2"/>
    <w:rsid w:val="006439AC"/>
    <w:rsid w:val="0064427A"/>
    <w:rsid w:val="00644286"/>
    <w:rsid w:val="00644365"/>
    <w:rsid w:val="00644748"/>
    <w:rsid w:val="00644927"/>
    <w:rsid w:val="00644BCC"/>
    <w:rsid w:val="00644E20"/>
    <w:rsid w:val="00644EF9"/>
    <w:rsid w:val="006451BC"/>
    <w:rsid w:val="00645554"/>
    <w:rsid w:val="006457FB"/>
    <w:rsid w:val="00646337"/>
    <w:rsid w:val="0064667B"/>
    <w:rsid w:val="006467FB"/>
    <w:rsid w:val="0064691A"/>
    <w:rsid w:val="00646957"/>
    <w:rsid w:val="00646A02"/>
    <w:rsid w:val="00646A10"/>
    <w:rsid w:val="00646F67"/>
    <w:rsid w:val="00646FCD"/>
    <w:rsid w:val="006471E1"/>
    <w:rsid w:val="006473D4"/>
    <w:rsid w:val="00647BE8"/>
    <w:rsid w:val="00647C3A"/>
    <w:rsid w:val="00647EF4"/>
    <w:rsid w:val="0065008D"/>
    <w:rsid w:val="0065088A"/>
    <w:rsid w:val="00650ADF"/>
    <w:rsid w:val="00650DAB"/>
    <w:rsid w:val="00650F8B"/>
    <w:rsid w:val="00651120"/>
    <w:rsid w:val="006514FB"/>
    <w:rsid w:val="00651521"/>
    <w:rsid w:val="00651DAE"/>
    <w:rsid w:val="006522C9"/>
    <w:rsid w:val="0065235B"/>
    <w:rsid w:val="0065268B"/>
    <w:rsid w:val="00652774"/>
    <w:rsid w:val="006529F7"/>
    <w:rsid w:val="006529FA"/>
    <w:rsid w:val="00652C52"/>
    <w:rsid w:val="00652CF7"/>
    <w:rsid w:val="00652E57"/>
    <w:rsid w:val="00653311"/>
    <w:rsid w:val="00653735"/>
    <w:rsid w:val="006538AA"/>
    <w:rsid w:val="006542C8"/>
    <w:rsid w:val="006543B1"/>
    <w:rsid w:val="00654641"/>
    <w:rsid w:val="00654751"/>
    <w:rsid w:val="00654764"/>
    <w:rsid w:val="006547C1"/>
    <w:rsid w:val="00654C2D"/>
    <w:rsid w:val="00654D3F"/>
    <w:rsid w:val="0065541D"/>
    <w:rsid w:val="00655EF9"/>
    <w:rsid w:val="0065610E"/>
    <w:rsid w:val="0065669C"/>
    <w:rsid w:val="00656E58"/>
    <w:rsid w:val="00656F88"/>
    <w:rsid w:val="00657498"/>
    <w:rsid w:val="006574F8"/>
    <w:rsid w:val="006577A4"/>
    <w:rsid w:val="00657990"/>
    <w:rsid w:val="00657AA0"/>
    <w:rsid w:val="00660855"/>
    <w:rsid w:val="00660A61"/>
    <w:rsid w:val="00660F62"/>
    <w:rsid w:val="00660F75"/>
    <w:rsid w:val="00661033"/>
    <w:rsid w:val="006612D7"/>
    <w:rsid w:val="00661575"/>
    <w:rsid w:val="00661AF0"/>
    <w:rsid w:val="00661C3B"/>
    <w:rsid w:val="00662084"/>
    <w:rsid w:val="006623F4"/>
    <w:rsid w:val="0066294B"/>
    <w:rsid w:val="00662A17"/>
    <w:rsid w:val="00662A3B"/>
    <w:rsid w:val="00662D7C"/>
    <w:rsid w:val="00662E25"/>
    <w:rsid w:val="00662EDF"/>
    <w:rsid w:val="00662F09"/>
    <w:rsid w:val="00662FD4"/>
    <w:rsid w:val="00663270"/>
    <w:rsid w:val="006634B7"/>
    <w:rsid w:val="006638D0"/>
    <w:rsid w:val="0066391B"/>
    <w:rsid w:val="006639A8"/>
    <w:rsid w:val="0066472A"/>
    <w:rsid w:val="006649D7"/>
    <w:rsid w:val="00664EE6"/>
    <w:rsid w:val="006653CD"/>
    <w:rsid w:val="00665B5D"/>
    <w:rsid w:val="006661EA"/>
    <w:rsid w:val="006664BA"/>
    <w:rsid w:val="0066683C"/>
    <w:rsid w:val="00666A67"/>
    <w:rsid w:val="00666A68"/>
    <w:rsid w:val="00666AAF"/>
    <w:rsid w:val="00666B8C"/>
    <w:rsid w:val="00666C6D"/>
    <w:rsid w:val="00666C91"/>
    <w:rsid w:val="00667663"/>
    <w:rsid w:val="0066799D"/>
    <w:rsid w:val="006702AF"/>
    <w:rsid w:val="0067063A"/>
    <w:rsid w:val="00670A4F"/>
    <w:rsid w:val="00670C01"/>
    <w:rsid w:val="00670DA8"/>
    <w:rsid w:val="006712C4"/>
    <w:rsid w:val="006714D2"/>
    <w:rsid w:val="006714E7"/>
    <w:rsid w:val="0067155E"/>
    <w:rsid w:val="00671B9C"/>
    <w:rsid w:val="00672076"/>
    <w:rsid w:val="006724B8"/>
    <w:rsid w:val="006728D8"/>
    <w:rsid w:val="006730F0"/>
    <w:rsid w:val="00673164"/>
    <w:rsid w:val="0067347E"/>
    <w:rsid w:val="00673568"/>
    <w:rsid w:val="00673AE5"/>
    <w:rsid w:val="00673F70"/>
    <w:rsid w:val="0067465E"/>
    <w:rsid w:val="00674CC4"/>
    <w:rsid w:val="00674D95"/>
    <w:rsid w:val="00674EA7"/>
    <w:rsid w:val="006750F5"/>
    <w:rsid w:val="00675170"/>
    <w:rsid w:val="00675235"/>
    <w:rsid w:val="00675368"/>
    <w:rsid w:val="00675A8F"/>
    <w:rsid w:val="00675CAB"/>
    <w:rsid w:val="00675FA5"/>
    <w:rsid w:val="006761A7"/>
    <w:rsid w:val="00676553"/>
    <w:rsid w:val="006769B7"/>
    <w:rsid w:val="00676C66"/>
    <w:rsid w:val="00677098"/>
    <w:rsid w:val="00677358"/>
    <w:rsid w:val="0067740A"/>
    <w:rsid w:val="00677555"/>
    <w:rsid w:val="0067788B"/>
    <w:rsid w:val="00677AEA"/>
    <w:rsid w:val="00677E03"/>
    <w:rsid w:val="00680158"/>
    <w:rsid w:val="00680371"/>
    <w:rsid w:val="00680433"/>
    <w:rsid w:val="0068054B"/>
    <w:rsid w:val="00680592"/>
    <w:rsid w:val="006808BE"/>
    <w:rsid w:val="006809BA"/>
    <w:rsid w:val="006809DD"/>
    <w:rsid w:val="00680D90"/>
    <w:rsid w:val="00680EAF"/>
    <w:rsid w:val="0068103F"/>
    <w:rsid w:val="006810A9"/>
    <w:rsid w:val="006811BD"/>
    <w:rsid w:val="006813C1"/>
    <w:rsid w:val="00681ECA"/>
    <w:rsid w:val="00681FE1"/>
    <w:rsid w:val="006822BB"/>
    <w:rsid w:val="00682652"/>
    <w:rsid w:val="00682821"/>
    <w:rsid w:val="00682C09"/>
    <w:rsid w:val="00682E0E"/>
    <w:rsid w:val="00682E47"/>
    <w:rsid w:val="00683039"/>
    <w:rsid w:val="0068327D"/>
    <w:rsid w:val="00683476"/>
    <w:rsid w:val="0068376E"/>
    <w:rsid w:val="00683C03"/>
    <w:rsid w:val="00683C15"/>
    <w:rsid w:val="00683EC1"/>
    <w:rsid w:val="00684187"/>
    <w:rsid w:val="0068430B"/>
    <w:rsid w:val="00684969"/>
    <w:rsid w:val="00684C2F"/>
    <w:rsid w:val="00684CBB"/>
    <w:rsid w:val="00684E2D"/>
    <w:rsid w:val="00684F61"/>
    <w:rsid w:val="00685088"/>
    <w:rsid w:val="0068547B"/>
    <w:rsid w:val="00685836"/>
    <w:rsid w:val="0068586C"/>
    <w:rsid w:val="006859A6"/>
    <w:rsid w:val="00685BEB"/>
    <w:rsid w:val="00686022"/>
    <w:rsid w:val="006860D9"/>
    <w:rsid w:val="006862D5"/>
    <w:rsid w:val="0068651C"/>
    <w:rsid w:val="00686886"/>
    <w:rsid w:val="006868E0"/>
    <w:rsid w:val="00686AFA"/>
    <w:rsid w:val="00686D34"/>
    <w:rsid w:val="00686E32"/>
    <w:rsid w:val="006870C6"/>
    <w:rsid w:val="006871F7"/>
    <w:rsid w:val="006876BE"/>
    <w:rsid w:val="006877E3"/>
    <w:rsid w:val="00687BDC"/>
    <w:rsid w:val="00690302"/>
    <w:rsid w:val="00690418"/>
    <w:rsid w:val="006907D0"/>
    <w:rsid w:val="00690818"/>
    <w:rsid w:val="00690C6E"/>
    <w:rsid w:val="00690F08"/>
    <w:rsid w:val="006910A6"/>
    <w:rsid w:val="00691365"/>
    <w:rsid w:val="00691C77"/>
    <w:rsid w:val="00691F78"/>
    <w:rsid w:val="00692091"/>
    <w:rsid w:val="00692133"/>
    <w:rsid w:val="00692A90"/>
    <w:rsid w:val="00693450"/>
    <w:rsid w:val="00693994"/>
    <w:rsid w:val="00694249"/>
    <w:rsid w:val="00694467"/>
    <w:rsid w:val="00694473"/>
    <w:rsid w:val="0069455A"/>
    <w:rsid w:val="00694685"/>
    <w:rsid w:val="006948D2"/>
    <w:rsid w:val="00694BAD"/>
    <w:rsid w:val="00695026"/>
    <w:rsid w:val="0069504C"/>
    <w:rsid w:val="00695223"/>
    <w:rsid w:val="00695782"/>
    <w:rsid w:val="0069578A"/>
    <w:rsid w:val="00695883"/>
    <w:rsid w:val="00695F31"/>
    <w:rsid w:val="00696137"/>
    <w:rsid w:val="00696201"/>
    <w:rsid w:val="006963EB"/>
    <w:rsid w:val="00696CC1"/>
    <w:rsid w:val="00696CCD"/>
    <w:rsid w:val="00696E7B"/>
    <w:rsid w:val="00696ED0"/>
    <w:rsid w:val="00697329"/>
    <w:rsid w:val="0069769E"/>
    <w:rsid w:val="00697713"/>
    <w:rsid w:val="0069785B"/>
    <w:rsid w:val="00697C08"/>
    <w:rsid w:val="00697C7D"/>
    <w:rsid w:val="006A0020"/>
    <w:rsid w:val="006A0181"/>
    <w:rsid w:val="006A0200"/>
    <w:rsid w:val="006A03DC"/>
    <w:rsid w:val="006A0A36"/>
    <w:rsid w:val="006A0BD0"/>
    <w:rsid w:val="006A0C0B"/>
    <w:rsid w:val="006A0D10"/>
    <w:rsid w:val="006A0E3E"/>
    <w:rsid w:val="006A0F01"/>
    <w:rsid w:val="006A1343"/>
    <w:rsid w:val="006A199E"/>
    <w:rsid w:val="006A1AF2"/>
    <w:rsid w:val="006A1EEB"/>
    <w:rsid w:val="006A2007"/>
    <w:rsid w:val="006A21B5"/>
    <w:rsid w:val="006A22A2"/>
    <w:rsid w:val="006A27CA"/>
    <w:rsid w:val="006A2894"/>
    <w:rsid w:val="006A2B62"/>
    <w:rsid w:val="006A3679"/>
    <w:rsid w:val="006A37A7"/>
    <w:rsid w:val="006A3996"/>
    <w:rsid w:val="006A4345"/>
    <w:rsid w:val="006A441C"/>
    <w:rsid w:val="006A4835"/>
    <w:rsid w:val="006A49C0"/>
    <w:rsid w:val="006A4A89"/>
    <w:rsid w:val="006A4AE5"/>
    <w:rsid w:val="006A4D54"/>
    <w:rsid w:val="006A4D9F"/>
    <w:rsid w:val="006A50D2"/>
    <w:rsid w:val="006A594F"/>
    <w:rsid w:val="006A5CB6"/>
    <w:rsid w:val="006A5DB0"/>
    <w:rsid w:val="006A6180"/>
    <w:rsid w:val="006A68EF"/>
    <w:rsid w:val="006A69B6"/>
    <w:rsid w:val="006A6E77"/>
    <w:rsid w:val="006A728A"/>
    <w:rsid w:val="006A76EE"/>
    <w:rsid w:val="006A7A35"/>
    <w:rsid w:val="006A7C33"/>
    <w:rsid w:val="006A7CCA"/>
    <w:rsid w:val="006B061A"/>
    <w:rsid w:val="006B08FD"/>
    <w:rsid w:val="006B0921"/>
    <w:rsid w:val="006B1412"/>
    <w:rsid w:val="006B17C0"/>
    <w:rsid w:val="006B182A"/>
    <w:rsid w:val="006B1949"/>
    <w:rsid w:val="006B1AA0"/>
    <w:rsid w:val="006B1AFE"/>
    <w:rsid w:val="006B1C4F"/>
    <w:rsid w:val="006B1FDB"/>
    <w:rsid w:val="006B2372"/>
    <w:rsid w:val="006B27BD"/>
    <w:rsid w:val="006B3625"/>
    <w:rsid w:val="006B3741"/>
    <w:rsid w:val="006B3C12"/>
    <w:rsid w:val="006B3C95"/>
    <w:rsid w:val="006B3EA6"/>
    <w:rsid w:val="006B4A15"/>
    <w:rsid w:val="006B4A6B"/>
    <w:rsid w:val="006B4E82"/>
    <w:rsid w:val="006B4EE7"/>
    <w:rsid w:val="006B520F"/>
    <w:rsid w:val="006B5541"/>
    <w:rsid w:val="006B583F"/>
    <w:rsid w:val="006B5929"/>
    <w:rsid w:val="006B5B44"/>
    <w:rsid w:val="006B5C91"/>
    <w:rsid w:val="006B5CD3"/>
    <w:rsid w:val="006B6050"/>
    <w:rsid w:val="006B65CE"/>
    <w:rsid w:val="006B66B9"/>
    <w:rsid w:val="006B6775"/>
    <w:rsid w:val="006B69E7"/>
    <w:rsid w:val="006B6C17"/>
    <w:rsid w:val="006B6E19"/>
    <w:rsid w:val="006B6F0B"/>
    <w:rsid w:val="006B7132"/>
    <w:rsid w:val="006B74B9"/>
    <w:rsid w:val="006B7834"/>
    <w:rsid w:val="006B78E7"/>
    <w:rsid w:val="006B7E32"/>
    <w:rsid w:val="006B7ECD"/>
    <w:rsid w:val="006B7F4C"/>
    <w:rsid w:val="006C022F"/>
    <w:rsid w:val="006C05F9"/>
    <w:rsid w:val="006C0986"/>
    <w:rsid w:val="006C0E85"/>
    <w:rsid w:val="006C13B5"/>
    <w:rsid w:val="006C1444"/>
    <w:rsid w:val="006C1446"/>
    <w:rsid w:val="006C1891"/>
    <w:rsid w:val="006C20BC"/>
    <w:rsid w:val="006C23CF"/>
    <w:rsid w:val="006C25D5"/>
    <w:rsid w:val="006C2803"/>
    <w:rsid w:val="006C2A38"/>
    <w:rsid w:val="006C3047"/>
    <w:rsid w:val="006C3354"/>
    <w:rsid w:val="006C33D5"/>
    <w:rsid w:val="006C33E0"/>
    <w:rsid w:val="006C4457"/>
    <w:rsid w:val="006C46B8"/>
    <w:rsid w:val="006C4771"/>
    <w:rsid w:val="006C49FB"/>
    <w:rsid w:val="006C503B"/>
    <w:rsid w:val="006C5046"/>
    <w:rsid w:val="006C5645"/>
    <w:rsid w:val="006C5725"/>
    <w:rsid w:val="006C57A5"/>
    <w:rsid w:val="006C5A2A"/>
    <w:rsid w:val="006C5F65"/>
    <w:rsid w:val="006C5FAD"/>
    <w:rsid w:val="006C627D"/>
    <w:rsid w:val="006C636D"/>
    <w:rsid w:val="006C6771"/>
    <w:rsid w:val="006C68E5"/>
    <w:rsid w:val="006C6B32"/>
    <w:rsid w:val="006C7159"/>
    <w:rsid w:val="006C737B"/>
    <w:rsid w:val="006C7788"/>
    <w:rsid w:val="006C7803"/>
    <w:rsid w:val="006C7B15"/>
    <w:rsid w:val="006C7DAB"/>
    <w:rsid w:val="006C7FCC"/>
    <w:rsid w:val="006D02CE"/>
    <w:rsid w:val="006D0847"/>
    <w:rsid w:val="006D091D"/>
    <w:rsid w:val="006D0985"/>
    <w:rsid w:val="006D0CB5"/>
    <w:rsid w:val="006D0FB5"/>
    <w:rsid w:val="006D12AF"/>
    <w:rsid w:val="006D17A8"/>
    <w:rsid w:val="006D1A87"/>
    <w:rsid w:val="006D241D"/>
    <w:rsid w:val="006D2434"/>
    <w:rsid w:val="006D24DE"/>
    <w:rsid w:val="006D2C62"/>
    <w:rsid w:val="006D34F7"/>
    <w:rsid w:val="006D3A18"/>
    <w:rsid w:val="006D3D0C"/>
    <w:rsid w:val="006D3D73"/>
    <w:rsid w:val="006D3DE1"/>
    <w:rsid w:val="006D42A5"/>
    <w:rsid w:val="006D42ED"/>
    <w:rsid w:val="006D4535"/>
    <w:rsid w:val="006D4841"/>
    <w:rsid w:val="006D4998"/>
    <w:rsid w:val="006D4C79"/>
    <w:rsid w:val="006D4DFF"/>
    <w:rsid w:val="006D509D"/>
    <w:rsid w:val="006D5147"/>
    <w:rsid w:val="006D51A5"/>
    <w:rsid w:val="006D541B"/>
    <w:rsid w:val="006D5732"/>
    <w:rsid w:val="006D59DC"/>
    <w:rsid w:val="006D5C95"/>
    <w:rsid w:val="006D6063"/>
    <w:rsid w:val="006D652A"/>
    <w:rsid w:val="006D65FE"/>
    <w:rsid w:val="006D689E"/>
    <w:rsid w:val="006D68CD"/>
    <w:rsid w:val="006D68CE"/>
    <w:rsid w:val="006D68FD"/>
    <w:rsid w:val="006D6C18"/>
    <w:rsid w:val="006D6C25"/>
    <w:rsid w:val="006D70EF"/>
    <w:rsid w:val="006D75AD"/>
    <w:rsid w:val="006D75FF"/>
    <w:rsid w:val="006D7793"/>
    <w:rsid w:val="006D77FC"/>
    <w:rsid w:val="006D7C76"/>
    <w:rsid w:val="006E01B0"/>
    <w:rsid w:val="006E04D6"/>
    <w:rsid w:val="006E05DF"/>
    <w:rsid w:val="006E07E2"/>
    <w:rsid w:val="006E07FB"/>
    <w:rsid w:val="006E0803"/>
    <w:rsid w:val="006E09F5"/>
    <w:rsid w:val="006E0B45"/>
    <w:rsid w:val="006E0D61"/>
    <w:rsid w:val="006E0ECF"/>
    <w:rsid w:val="006E1097"/>
    <w:rsid w:val="006E10A9"/>
    <w:rsid w:val="006E11C7"/>
    <w:rsid w:val="006E1429"/>
    <w:rsid w:val="006E1A4C"/>
    <w:rsid w:val="006E1BC7"/>
    <w:rsid w:val="006E20BF"/>
    <w:rsid w:val="006E2BC1"/>
    <w:rsid w:val="006E2CEB"/>
    <w:rsid w:val="006E2CFA"/>
    <w:rsid w:val="006E2F88"/>
    <w:rsid w:val="006E3053"/>
    <w:rsid w:val="006E337F"/>
    <w:rsid w:val="006E33ED"/>
    <w:rsid w:val="006E3A1E"/>
    <w:rsid w:val="006E3AF3"/>
    <w:rsid w:val="006E422A"/>
    <w:rsid w:val="006E4837"/>
    <w:rsid w:val="006E4AE5"/>
    <w:rsid w:val="006E4C2E"/>
    <w:rsid w:val="006E5707"/>
    <w:rsid w:val="006E5A70"/>
    <w:rsid w:val="006E5EE5"/>
    <w:rsid w:val="006E62CD"/>
    <w:rsid w:val="006E62F9"/>
    <w:rsid w:val="006E630C"/>
    <w:rsid w:val="006E64B0"/>
    <w:rsid w:val="006E6571"/>
    <w:rsid w:val="006E6B63"/>
    <w:rsid w:val="006E6C96"/>
    <w:rsid w:val="006E765C"/>
    <w:rsid w:val="006E78CF"/>
    <w:rsid w:val="006E7C9F"/>
    <w:rsid w:val="006E7D30"/>
    <w:rsid w:val="006E7F98"/>
    <w:rsid w:val="006F012B"/>
    <w:rsid w:val="006F040C"/>
    <w:rsid w:val="006F0422"/>
    <w:rsid w:val="006F0853"/>
    <w:rsid w:val="006F1A44"/>
    <w:rsid w:val="006F1AE6"/>
    <w:rsid w:val="006F23DB"/>
    <w:rsid w:val="006F249E"/>
    <w:rsid w:val="006F2794"/>
    <w:rsid w:val="006F27E5"/>
    <w:rsid w:val="006F2970"/>
    <w:rsid w:val="006F2994"/>
    <w:rsid w:val="006F2C06"/>
    <w:rsid w:val="006F3024"/>
    <w:rsid w:val="006F31FC"/>
    <w:rsid w:val="006F35D2"/>
    <w:rsid w:val="006F3A3B"/>
    <w:rsid w:val="006F3BB2"/>
    <w:rsid w:val="006F3CC4"/>
    <w:rsid w:val="006F3CE5"/>
    <w:rsid w:val="006F3D5B"/>
    <w:rsid w:val="006F3D75"/>
    <w:rsid w:val="006F3DA6"/>
    <w:rsid w:val="006F3EA6"/>
    <w:rsid w:val="006F3F75"/>
    <w:rsid w:val="006F42D5"/>
    <w:rsid w:val="006F4314"/>
    <w:rsid w:val="006F4AC6"/>
    <w:rsid w:val="006F52BB"/>
    <w:rsid w:val="006F52C1"/>
    <w:rsid w:val="006F5723"/>
    <w:rsid w:val="006F58F5"/>
    <w:rsid w:val="006F5936"/>
    <w:rsid w:val="006F59ED"/>
    <w:rsid w:val="006F5C7F"/>
    <w:rsid w:val="006F5E24"/>
    <w:rsid w:val="006F5FE3"/>
    <w:rsid w:val="006F64C6"/>
    <w:rsid w:val="006F67D6"/>
    <w:rsid w:val="006F736B"/>
    <w:rsid w:val="006F7737"/>
    <w:rsid w:val="006F78F2"/>
    <w:rsid w:val="006F79EF"/>
    <w:rsid w:val="006F7C2F"/>
    <w:rsid w:val="006F7D59"/>
    <w:rsid w:val="006F7F86"/>
    <w:rsid w:val="007001EE"/>
    <w:rsid w:val="00700211"/>
    <w:rsid w:val="00700302"/>
    <w:rsid w:val="007004C2"/>
    <w:rsid w:val="0070054C"/>
    <w:rsid w:val="00700687"/>
    <w:rsid w:val="007006AA"/>
    <w:rsid w:val="00700794"/>
    <w:rsid w:val="00700917"/>
    <w:rsid w:val="007010FF"/>
    <w:rsid w:val="007011F6"/>
    <w:rsid w:val="007015DE"/>
    <w:rsid w:val="00701BCF"/>
    <w:rsid w:val="00701D99"/>
    <w:rsid w:val="00701F8C"/>
    <w:rsid w:val="00702051"/>
    <w:rsid w:val="007027B8"/>
    <w:rsid w:val="0070296E"/>
    <w:rsid w:val="00702EA3"/>
    <w:rsid w:val="00702FE0"/>
    <w:rsid w:val="0070330E"/>
    <w:rsid w:val="0070374E"/>
    <w:rsid w:val="007037E1"/>
    <w:rsid w:val="0070396E"/>
    <w:rsid w:val="007039CB"/>
    <w:rsid w:val="00703DFC"/>
    <w:rsid w:val="007040A9"/>
    <w:rsid w:val="00704352"/>
    <w:rsid w:val="0070439E"/>
    <w:rsid w:val="00704418"/>
    <w:rsid w:val="007046E3"/>
    <w:rsid w:val="00704894"/>
    <w:rsid w:val="00704927"/>
    <w:rsid w:val="00704B42"/>
    <w:rsid w:val="00704C8E"/>
    <w:rsid w:val="007058B9"/>
    <w:rsid w:val="00705BC1"/>
    <w:rsid w:val="00705C0B"/>
    <w:rsid w:val="00705F63"/>
    <w:rsid w:val="0070634D"/>
    <w:rsid w:val="007063D9"/>
    <w:rsid w:val="00706D51"/>
    <w:rsid w:val="00706FB5"/>
    <w:rsid w:val="00707130"/>
    <w:rsid w:val="00707218"/>
    <w:rsid w:val="00707373"/>
    <w:rsid w:val="00707468"/>
    <w:rsid w:val="0070767E"/>
    <w:rsid w:val="007077FA"/>
    <w:rsid w:val="00710209"/>
    <w:rsid w:val="00710435"/>
    <w:rsid w:val="007105A4"/>
    <w:rsid w:val="00710CDA"/>
    <w:rsid w:val="007110FA"/>
    <w:rsid w:val="00711100"/>
    <w:rsid w:val="00711CBD"/>
    <w:rsid w:val="00711E2B"/>
    <w:rsid w:val="00711F94"/>
    <w:rsid w:val="00712050"/>
    <w:rsid w:val="007123FA"/>
    <w:rsid w:val="00712430"/>
    <w:rsid w:val="00712607"/>
    <w:rsid w:val="0071266E"/>
    <w:rsid w:val="0071282F"/>
    <w:rsid w:val="00712D8C"/>
    <w:rsid w:val="00712EEE"/>
    <w:rsid w:val="00713222"/>
    <w:rsid w:val="007136E9"/>
    <w:rsid w:val="00713700"/>
    <w:rsid w:val="00713759"/>
    <w:rsid w:val="00713F54"/>
    <w:rsid w:val="0071497A"/>
    <w:rsid w:val="00714985"/>
    <w:rsid w:val="00715456"/>
    <w:rsid w:val="007154CA"/>
    <w:rsid w:val="0071562F"/>
    <w:rsid w:val="0071597E"/>
    <w:rsid w:val="00715B7B"/>
    <w:rsid w:val="0071612B"/>
    <w:rsid w:val="00716432"/>
    <w:rsid w:val="00716D1C"/>
    <w:rsid w:val="00716DDD"/>
    <w:rsid w:val="00717040"/>
    <w:rsid w:val="00717A16"/>
    <w:rsid w:val="00717B40"/>
    <w:rsid w:val="00717B79"/>
    <w:rsid w:val="00717D7C"/>
    <w:rsid w:val="00717F93"/>
    <w:rsid w:val="00720433"/>
    <w:rsid w:val="0072056E"/>
    <w:rsid w:val="00720C07"/>
    <w:rsid w:val="00720F5D"/>
    <w:rsid w:val="00720FEE"/>
    <w:rsid w:val="00721166"/>
    <w:rsid w:val="00721A5B"/>
    <w:rsid w:val="00721B2C"/>
    <w:rsid w:val="00721D23"/>
    <w:rsid w:val="00721D91"/>
    <w:rsid w:val="0072250E"/>
    <w:rsid w:val="00722C96"/>
    <w:rsid w:val="00722DA4"/>
    <w:rsid w:val="00723497"/>
    <w:rsid w:val="00723AFD"/>
    <w:rsid w:val="00723D1E"/>
    <w:rsid w:val="00723FD4"/>
    <w:rsid w:val="00723FE0"/>
    <w:rsid w:val="007244EF"/>
    <w:rsid w:val="007245F7"/>
    <w:rsid w:val="007248BE"/>
    <w:rsid w:val="007252FB"/>
    <w:rsid w:val="007257E5"/>
    <w:rsid w:val="007259B8"/>
    <w:rsid w:val="00725ED4"/>
    <w:rsid w:val="00726BC4"/>
    <w:rsid w:val="007270CF"/>
    <w:rsid w:val="007274DE"/>
    <w:rsid w:val="007275F5"/>
    <w:rsid w:val="0072783B"/>
    <w:rsid w:val="00727D0C"/>
    <w:rsid w:val="00727D24"/>
    <w:rsid w:val="00727D87"/>
    <w:rsid w:val="0073000F"/>
    <w:rsid w:val="007301FF"/>
    <w:rsid w:val="0073050B"/>
    <w:rsid w:val="00730871"/>
    <w:rsid w:val="007312FF"/>
    <w:rsid w:val="007314B3"/>
    <w:rsid w:val="007318BD"/>
    <w:rsid w:val="00731942"/>
    <w:rsid w:val="00731B60"/>
    <w:rsid w:val="007325AB"/>
    <w:rsid w:val="00732816"/>
    <w:rsid w:val="00732AAD"/>
    <w:rsid w:val="00732D1E"/>
    <w:rsid w:val="00732E54"/>
    <w:rsid w:val="00732ED8"/>
    <w:rsid w:val="007332B6"/>
    <w:rsid w:val="00733902"/>
    <w:rsid w:val="0073397D"/>
    <w:rsid w:val="00733D0F"/>
    <w:rsid w:val="00733F5C"/>
    <w:rsid w:val="007341AC"/>
    <w:rsid w:val="00734678"/>
    <w:rsid w:val="00734A46"/>
    <w:rsid w:val="00734A95"/>
    <w:rsid w:val="00734B7C"/>
    <w:rsid w:val="007350EC"/>
    <w:rsid w:val="007352A2"/>
    <w:rsid w:val="007353FE"/>
    <w:rsid w:val="00735539"/>
    <w:rsid w:val="007356E1"/>
    <w:rsid w:val="00735828"/>
    <w:rsid w:val="00735B5F"/>
    <w:rsid w:val="007360C6"/>
    <w:rsid w:val="007361C2"/>
    <w:rsid w:val="00736944"/>
    <w:rsid w:val="00736C29"/>
    <w:rsid w:val="00736CAB"/>
    <w:rsid w:val="00736F96"/>
    <w:rsid w:val="007375A8"/>
    <w:rsid w:val="00737741"/>
    <w:rsid w:val="00737963"/>
    <w:rsid w:val="007379C6"/>
    <w:rsid w:val="007379D7"/>
    <w:rsid w:val="007406C3"/>
    <w:rsid w:val="00740967"/>
    <w:rsid w:val="007415CC"/>
    <w:rsid w:val="0074172F"/>
    <w:rsid w:val="00741B70"/>
    <w:rsid w:val="00741CE7"/>
    <w:rsid w:val="007420A3"/>
    <w:rsid w:val="0074305F"/>
    <w:rsid w:val="007439C7"/>
    <w:rsid w:val="00743BB2"/>
    <w:rsid w:val="00743FB0"/>
    <w:rsid w:val="00744002"/>
    <w:rsid w:val="00744153"/>
    <w:rsid w:val="0074442F"/>
    <w:rsid w:val="00744735"/>
    <w:rsid w:val="00744A2B"/>
    <w:rsid w:val="00744BC6"/>
    <w:rsid w:val="00744EA4"/>
    <w:rsid w:val="00744F9F"/>
    <w:rsid w:val="0074562A"/>
    <w:rsid w:val="00745F34"/>
    <w:rsid w:val="00746356"/>
    <w:rsid w:val="007464D3"/>
    <w:rsid w:val="00746BE0"/>
    <w:rsid w:val="00746F72"/>
    <w:rsid w:val="00747106"/>
    <w:rsid w:val="007473AC"/>
    <w:rsid w:val="00747424"/>
    <w:rsid w:val="00747AD6"/>
    <w:rsid w:val="00747B26"/>
    <w:rsid w:val="007500D1"/>
    <w:rsid w:val="0075028B"/>
    <w:rsid w:val="007503AF"/>
    <w:rsid w:val="00750582"/>
    <w:rsid w:val="00750A82"/>
    <w:rsid w:val="00750C4A"/>
    <w:rsid w:val="00750D24"/>
    <w:rsid w:val="0075123D"/>
    <w:rsid w:val="007512F2"/>
    <w:rsid w:val="00751383"/>
    <w:rsid w:val="007513D4"/>
    <w:rsid w:val="00751420"/>
    <w:rsid w:val="0075160B"/>
    <w:rsid w:val="007518A3"/>
    <w:rsid w:val="007519C0"/>
    <w:rsid w:val="00751D93"/>
    <w:rsid w:val="00752738"/>
    <w:rsid w:val="0075295D"/>
    <w:rsid w:val="00752A48"/>
    <w:rsid w:val="00752B28"/>
    <w:rsid w:val="00753168"/>
    <w:rsid w:val="007536FC"/>
    <w:rsid w:val="0075381B"/>
    <w:rsid w:val="0075382E"/>
    <w:rsid w:val="00753BD8"/>
    <w:rsid w:val="0075455B"/>
    <w:rsid w:val="00754837"/>
    <w:rsid w:val="00754C74"/>
    <w:rsid w:val="00754EE6"/>
    <w:rsid w:val="00754EF3"/>
    <w:rsid w:val="00755360"/>
    <w:rsid w:val="0075564D"/>
    <w:rsid w:val="00755790"/>
    <w:rsid w:val="00755831"/>
    <w:rsid w:val="00755B0E"/>
    <w:rsid w:val="00755BFD"/>
    <w:rsid w:val="00755C53"/>
    <w:rsid w:val="00755D9E"/>
    <w:rsid w:val="00755DDE"/>
    <w:rsid w:val="0075607B"/>
    <w:rsid w:val="007560A0"/>
    <w:rsid w:val="007562F8"/>
    <w:rsid w:val="00756406"/>
    <w:rsid w:val="0075647E"/>
    <w:rsid w:val="007566F1"/>
    <w:rsid w:val="0075673F"/>
    <w:rsid w:val="00756A7D"/>
    <w:rsid w:val="00756AC8"/>
    <w:rsid w:val="00756E13"/>
    <w:rsid w:val="00756FC9"/>
    <w:rsid w:val="007573E6"/>
    <w:rsid w:val="007574CB"/>
    <w:rsid w:val="00757650"/>
    <w:rsid w:val="0075780A"/>
    <w:rsid w:val="0075794F"/>
    <w:rsid w:val="00757CB4"/>
    <w:rsid w:val="00757D4C"/>
    <w:rsid w:val="00757F69"/>
    <w:rsid w:val="007601C0"/>
    <w:rsid w:val="00760598"/>
    <w:rsid w:val="00760C25"/>
    <w:rsid w:val="00760E77"/>
    <w:rsid w:val="00761252"/>
    <w:rsid w:val="0076133C"/>
    <w:rsid w:val="00761537"/>
    <w:rsid w:val="007617D0"/>
    <w:rsid w:val="00761BC9"/>
    <w:rsid w:val="00761E38"/>
    <w:rsid w:val="00762266"/>
    <w:rsid w:val="00762326"/>
    <w:rsid w:val="007623E6"/>
    <w:rsid w:val="007624C8"/>
    <w:rsid w:val="00762522"/>
    <w:rsid w:val="00762856"/>
    <w:rsid w:val="00762871"/>
    <w:rsid w:val="0076298E"/>
    <w:rsid w:val="0076299F"/>
    <w:rsid w:val="00762AAB"/>
    <w:rsid w:val="00762D92"/>
    <w:rsid w:val="007631EE"/>
    <w:rsid w:val="007634AC"/>
    <w:rsid w:val="00763801"/>
    <w:rsid w:val="00763F16"/>
    <w:rsid w:val="00764552"/>
    <w:rsid w:val="00764A5E"/>
    <w:rsid w:val="007650EF"/>
    <w:rsid w:val="007651EB"/>
    <w:rsid w:val="007653C9"/>
    <w:rsid w:val="007654B2"/>
    <w:rsid w:val="00765E08"/>
    <w:rsid w:val="00765E0A"/>
    <w:rsid w:val="0076658C"/>
    <w:rsid w:val="00766975"/>
    <w:rsid w:val="00766C09"/>
    <w:rsid w:val="00766DD0"/>
    <w:rsid w:val="00767425"/>
    <w:rsid w:val="0076772E"/>
    <w:rsid w:val="0076789E"/>
    <w:rsid w:val="00767E8C"/>
    <w:rsid w:val="00767EB1"/>
    <w:rsid w:val="00770063"/>
    <w:rsid w:val="00770141"/>
    <w:rsid w:val="0077058A"/>
    <w:rsid w:val="00770758"/>
    <w:rsid w:val="00770926"/>
    <w:rsid w:val="007709C9"/>
    <w:rsid w:val="00770A11"/>
    <w:rsid w:val="007710A5"/>
    <w:rsid w:val="007715F2"/>
    <w:rsid w:val="007715FE"/>
    <w:rsid w:val="00771A05"/>
    <w:rsid w:val="00771B46"/>
    <w:rsid w:val="00771C27"/>
    <w:rsid w:val="00771D9C"/>
    <w:rsid w:val="00772070"/>
    <w:rsid w:val="0077255C"/>
    <w:rsid w:val="00772830"/>
    <w:rsid w:val="00772A6B"/>
    <w:rsid w:val="00772B66"/>
    <w:rsid w:val="00772BA2"/>
    <w:rsid w:val="00772C2E"/>
    <w:rsid w:val="0077306E"/>
    <w:rsid w:val="00773573"/>
    <w:rsid w:val="007735CF"/>
    <w:rsid w:val="00773E0F"/>
    <w:rsid w:val="00773EDF"/>
    <w:rsid w:val="00774745"/>
    <w:rsid w:val="00774766"/>
    <w:rsid w:val="00774C40"/>
    <w:rsid w:val="00774DCE"/>
    <w:rsid w:val="00775283"/>
    <w:rsid w:val="00775482"/>
    <w:rsid w:val="00775492"/>
    <w:rsid w:val="007754E5"/>
    <w:rsid w:val="00775534"/>
    <w:rsid w:val="00775AC5"/>
    <w:rsid w:val="00775DF5"/>
    <w:rsid w:val="007761B9"/>
    <w:rsid w:val="00776886"/>
    <w:rsid w:val="00776A69"/>
    <w:rsid w:val="00776F52"/>
    <w:rsid w:val="007776B3"/>
    <w:rsid w:val="00777934"/>
    <w:rsid w:val="00777CE5"/>
    <w:rsid w:val="00777CEE"/>
    <w:rsid w:val="00780040"/>
    <w:rsid w:val="00780F40"/>
    <w:rsid w:val="0078176E"/>
    <w:rsid w:val="00781F68"/>
    <w:rsid w:val="0078201B"/>
    <w:rsid w:val="007824A0"/>
    <w:rsid w:val="00782653"/>
    <w:rsid w:val="00782A55"/>
    <w:rsid w:val="00782C91"/>
    <w:rsid w:val="00782CC5"/>
    <w:rsid w:val="0078318F"/>
    <w:rsid w:val="0078363E"/>
    <w:rsid w:val="00783763"/>
    <w:rsid w:val="0078392D"/>
    <w:rsid w:val="00783AA3"/>
    <w:rsid w:val="00783E2D"/>
    <w:rsid w:val="00784370"/>
    <w:rsid w:val="007844F8"/>
    <w:rsid w:val="007847F6"/>
    <w:rsid w:val="00784B82"/>
    <w:rsid w:val="00784BF4"/>
    <w:rsid w:val="007853F7"/>
    <w:rsid w:val="007855B2"/>
    <w:rsid w:val="0078574F"/>
    <w:rsid w:val="00785BFE"/>
    <w:rsid w:val="00785E62"/>
    <w:rsid w:val="00786124"/>
    <w:rsid w:val="00786929"/>
    <w:rsid w:val="00786BAA"/>
    <w:rsid w:val="00786F17"/>
    <w:rsid w:val="00786FB3"/>
    <w:rsid w:val="00786FC7"/>
    <w:rsid w:val="00787056"/>
    <w:rsid w:val="00787709"/>
    <w:rsid w:val="00787A4E"/>
    <w:rsid w:val="00787D18"/>
    <w:rsid w:val="00787DA6"/>
    <w:rsid w:val="00791257"/>
    <w:rsid w:val="007914DE"/>
    <w:rsid w:val="007915C5"/>
    <w:rsid w:val="0079170C"/>
    <w:rsid w:val="00791EAF"/>
    <w:rsid w:val="00791FD5"/>
    <w:rsid w:val="0079242D"/>
    <w:rsid w:val="00792474"/>
    <w:rsid w:val="00792BC0"/>
    <w:rsid w:val="00793182"/>
    <w:rsid w:val="00793791"/>
    <w:rsid w:val="00793A80"/>
    <w:rsid w:val="00793C30"/>
    <w:rsid w:val="00793EE4"/>
    <w:rsid w:val="0079474A"/>
    <w:rsid w:val="00794990"/>
    <w:rsid w:val="00794BF4"/>
    <w:rsid w:val="00794DFD"/>
    <w:rsid w:val="0079549E"/>
    <w:rsid w:val="00795641"/>
    <w:rsid w:val="0079587B"/>
    <w:rsid w:val="00795CB8"/>
    <w:rsid w:val="00796691"/>
    <w:rsid w:val="007967F5"/>
    <w:rsid w:val="007969F6"/>
    <w:rsid w:val="00796B92"/>
    <w:rsid w:val="00796D0D"/>
    <w:rsid w:val="00797496"/>
    <w:rsid w:val="007974F9"/>
    <w:rsid w:val="00797E13"/>
    <w:rsid w:val="00797E1E"/>
    <w:rsid w:val="007A0023"/>
    <w:rsid w:val="007A066E"/>
    <w:rsid w:val="007A0AAA"/>
    <w:rsid w:val="007A12B6"/>
    <w:rsid w:val="007A1733"/>
    <w:rsid w:val="007A1CBD"/>
    <w:rsid w:val="007A22AE"/>
    <w:rsid w:val="007A266C"/>
    <w:rsid w:val="007A2CEB"/>
    <w:rsid w:val="007A2F69"/>
    <w:rsid w:val="007A2FDC"/>
    <w:rsid w:val="007A32CD"/>
    <w:rsid w:val="007A3814"/>
    <w:rsid w:val="007A381E"/>
    <w:rsid w:val="007A4362"/>
    <w:rsid w:val="007A497A"/>
    <w:rsid w:val="007A49FD"/>
    <w:rsid w:val="007A4F22"/>
    <w:rsid w:val="007A50F2"/>
    <w:rsid w:val="007A519C"/>
    <w:rsid w:val="007A55FE"/>
    <w:rsid w:val="007A58C2"/>
    <w:rsid w:val="007A5D54"/>
    <w:rsid w:val="007A5DF6"/>
    <w:rsid w:val="007A60B9"/>
    <w:rsid w:val="007A62B3"/>
    <w:rsid w:val="007A6585"/>
    <w:rsid w:val="007A6778"/>
    <w:rsid w:val="007A69B3"/>
    <w:rsid w:val="007A6C69"/>
    <w:rsid w:val="007A7010"/>
    <w:rsid w:val="007A7621"/>
    <w:rsid w:val="007A7847"/>
    <w:rsid w:val="007B079C"/>
    <w:rsid w:val="007B096D"/>
    <w:rsid w:val="007B0C82"/>
    <w:rsid w:val="007B0EC6"/>
    <w:rsid w:val="007B1448"/>
    <w:rsid w:val="007B1577"/>
    <w:rsid w:val="007B1613"/>
    <w:rsid w:val="007B1ACD"/>
    <w:rsid w:val="007B1CBE"/>
    <w:rsid w:val="007B2293"/>
    <w:rsid w:val="007B24CC"/>
    <w:rsid w:val="007B269A"/>
    <w:rsid w:val="007B26A8"/>
    <w:rsid w:val="007B2C51"/>
    <w:rsid w:val="007B313F"/>
    <w:rsid w:val="007B3925"/>
    <w:rsid w:val="007B3EE0"/>
    <w:rsid w:val="007B4180"/>
    <w:rsid w:val="007B4264"/>
    <w:rsid w:val="007B46B9"/>
    <w:rsid w:val="007B492D"/>
    <w:rsid w:val="007B4AB9"/>
    <w:rsid w:val="007B536B"/>
    <w:rsid w:val="007B55B2"/>
    <w:rsid w:val="007B5677"/>
    <w:rsid w:val="007B5810"/>
    <w:rsid w:val="007B5AAA"/>
    <w:rsid w:val="007B5CB0"/>
    <w:rsid w:val="007B5CCE"/>
    <w:rsid w:val="007B683E"/>
    <w:rsid w:val="007B6D4A"/>
    <w:rsid w:val="007B7387"/>
    <w:rsid w:val="007B748D"/>
    <w:rsid w:val="007B7758"/>
    <w:rsid w:val="007B78EE"/>
    <w:rsid w:val="007B78EF"/>
    <w:rsid w:val="007B7AFA"/>
    <w:rsid w:val="007B7D96"/>
    <w:rsid w:val="007B7E76"/>
    <w:rsid w:val="007B7FCA"/>
    <w:rsid w:val="007C021A"/>
    <w:rsid w:val="007C0674"/>
    <w:rsid w:val="007C0D0B"/>
    <w:rsid w:val="007C0FA2"/>
    <w:rsid w:val="007C1221"/>
    <w:rsid w:val="007C1269"/>
    <w:rsid w:val="007C1427"/>
    <w:rsid w:val="007C1E78"/>
    <w:rsid w:val="007C2405"/>
    <w:rsid w:val="007C2522"/>
    <w:rsid w:val="007C2530"/>
    <w:rsid w:val="007C2596"/>
    <w:rsid w:val="007C26DF"/>
    <w:rsid w:val="007C2759"/>
    <w:rsid w:val="007C27C2"/>
    <w:rsid w:val="007C2DDB"/>
    <w:rsid w:val="007C2E82"/>
    <w:rsid w:val="007C2F0C"/>
    <w:rsid w:val="007C355F"/>
    <w:rsid w:val="007C3D0F"/>
    <w:rsid w:val="007C3EC4"/>
    <w:rsid w:val="007C46A4"/>
    <w:rsid w:val="007C46A8"/>
    <w:rsid w:val="007C46CC"/>
    <w:rsid w:val="007C491C"/>
    <w:rsid w:val="007C4ACA"/>
    <w:rsid w:val="007C4CC0"/>
    <w:rsid w:val="007C4E41"/>
    <w:rsid w:val="007C4F4C"/>
    <w:rsid w:val="007C52D0"/>
    <w:rsid w:val="007C5407"/>
    <w:rsid w:val="007C552D"/>
    <w:rsid w:val="007C5798"/>
    <w:rsid w:val="007C5A17"/>
    <w:rsid w:val="007C5A2F"/>
    <w:rsid w:val="007C5CF6"/>
    <w:rsid w:val="007C6038"/>
    <w:rsid w:val="007C6550"/>
    <w:rsid w:val="007C68B1"/>
    <w:rsid w:val="007C6ABF"/>
    <w:rsid w:val="007C6D84"/>
    <w:rsid w:val="007C7649"/>
    <w:rsid w:val="007C76E5"/>
    <w:rsid w:val="007C7821"/>
    <w:rsid w:val="007C7E9E"/>
    <w:rsid w:val="007C7F96"/>
    <w:rsid w:val="007D0398"/>
    <w:rsid w:val="007D0589"/>
    <w:rsid w:val="007D06AE"/>
    <w:rsid w:val="007D0B9F"/>
    <w:rsid w:val="007D0D89"/>
    <w:rsid w:val="007D0EF1"/>
    <w:rsid w:val="007D10F8"/>
    <w:rsid w:val="007D111D"/>
    <w:rsid w:val="007D14B6"/>
    <w:rsid w:val="007D1C17"/>
    <w:rsid w:val="007D20F9"/>
    <w:rsid w:val="007D21D8"/>
    <w:rsid w:val="007D225B"/>
    <w:rsid w:val="007D2A99"/>
    <w:rsid w:val="007D2BB1"/>
    <w:rsid w:val="007D2D06"/>
    <w:rsid w:val="007D3087"/>
    <w:rsid w:val="007D31E4"/>
    <w:rsid w:val="007D32E0"/>
    <w:rsid w:val="007D4585"/>
    <w:rsid w:val="007D49B5"/>
    <w:rsid w:val="007D4B8A"/>
    <w:rsid w:val="007D4CD7"/>
    <w:rsid w:val="007D4FEC"/>
    <w:rsid w:val="007D5126"/>
    <w:rsid w:val="007D5249"/>
    <w:rsid w:val="007D55A2"/>
    <w:rsid w:val="007D5674"/>
    <w:rsid w:val="007D573B"/>
    <w:rsid w:val="007D57F7"/>
    <w:rsid w:val="007D5971"/>
    <w:rsid w:val="007D5ABD"/>
    <w:rsid w:val="007D5DA3"/>
    <w:rsid w:val="007D636C"/>
    <w:rsid w:val="007D696B"/>
    <w:rsid w:val="007D6BC6"/>
    <w:rsid w:val="007D6CCE"/>
    <w:rsid w:val="007D77EC"/>
    <w:rsid w:val="007D7831"/>
    <w:rsid w:val="007D7B59"/>
    <w:rsid w:val="007D7D05"/>
    <w:rsid w:val="007D7D3D"/>
    <w:rsid w:val="007E0258"/>
    <w:rsid w:val="007E0305"/>
    <w:rsid w:val="007E0A79"/>
    <w:rsid w:val="007E0C64"/>
    <w:rsid w:val="007E0E64"/>
    <w:rsid w:val="007E0ED9"/>
    <w:rsid w:val="007E0FEA"/>
    <w:rsid w:val="007E1004"/>
    <w:rsid w:val="007E11DD"/>
    <w:rsid w:val="007E167B"/>
    <w:rsid w:val="007E1D5C"/>
    <w:rsid w:val="007E2135"/>
    <w:rsid w:val="007E2182"/>
    <w:rsid w:val="007E2729"/>
    <w:rsid w:val="007E27FF"/>
    <w:rsid w:val="007E2A67"/>
    <w:rsid w:val="007E3318"/>
    <w:rsid w:val="007E341C"/>
    <w:rsid w:val="007E3EAE"/>
    <w:rsid w:val="007E41E2"/>
    <w:rsid w:val="007E44F3"/>
    <w:rsid w:val="007E49DD"/>
    <w:rsid w:val="007E4CBA"/>
    <w:rsid w:val="007E4EFE"/>
    <w:rsid w:val="007E530F"/>
    <w:rsid w:val="007E5AB2"/>
    <w:rsid w:val="007E6346"/>
    <w:rsid w:val="007E6614"/>
    <w:rsid w:val="007E66AB"/>
    <w:rsid w:val="007E6784"/>
    <w:rsid w:val="007E6AAC"/>
    <w:rsid w:val="007E6E7E"/>
    <w:rsid w:val="007E6FA0"/>
    <w:rsid w:val="007E6FB7"/>
    <w:rsid w:val="007E72EB"/>
    <w:rsid w:val="007E78D5"/>
    <w:rsid w:val="007E7AA7"/>
    <w:rsid w:val="007F04C5"/>
    <w:rsid w:val="007F0E21"/>
    <w:rsid w:val="007F0E38"/>
    <w:rsid w:val="007F1279"/>
    <w:rsid w:val="007F131D"/>
    <w:rsid w:val="007F1406"/>
    <w:rsid w:val="007F15FA"/>
    <w:rsid w:val="007F1733"/>
    <w:rsid w:val="007F1837"/>
    <w:rsid w:val="007F184A"/>
    <w:rsid w:val="007F2623"/>
    <w:rsid w:val="007F2822"/>
    <w:rsid w:val="007F2C6E"/>
    <w:rsid w:val="007F2F53"/>
    <w:rsid w:val="007F3110"/>
    <w:rsid w:val="007F3304"/>
    <w:rsid w:val="007F350D"/>
    <w:rsid w:val="007F35B3"/>
    <w:rsid w:val="007F3679"/>
    <w:rsid w:val="007F36E8"/>
    <w:rsid w:val="007F3877"/>
    <w:rsid w:val="007F3A5C"/>
    <w:rsid w:val="007F3B82"/>
    <w:rsid w:val="007F3E37"/>
    <w:rsid w:val="007F40DB"/>
    <w:rsid w:val="007F41A5"/>
    <w:rsid w:val="007F42AB"/>
    <w:rsid w:val="007F4467"/>
    <w:rsid w:val="007F4578"/>
    <w:rsid w:val="007F46E2"/>
    <w:rsid w:val="007F4780"/>
    <w:rsid w:val="007F4793"/>
    <w:rsid w:val="007F4A91"/>
    <w:rsid w:val="007F4C8A"/>
    <w:rsid w:val="007F540B"/>
    <w:rsid w:val="007F57A5"/>
    <w:rsid w:val="007F58E0"/>
    <w:rsid w:val="007F59C4"/>
    <w:rsid w:val="007F59F5"/>
    <w:rsid w:val="007F5EC0"/>
    <w:rsid w:val="007F60CF"/>
    <w:rsid w:val="007F6E05"/>
    <w:rsid w:val="007F6E9E"/>
    <w:rsid w:val="007F7109"/>
    <w:rsid w:val="007F79E5"/>
    <w:rsid w:val="007F7C76"/>
    <w:rsid w:val="007F7D28"/>
    <w:rsid w:val="00800735"/>
    <w:rsid w:val="00800D25"/>
    <w:rsid w:val="00800EC4"/>
    <w:rsid w:val="00801A3B"/>
    <w:rsid w:val="00801C25"/>
    <w:rsid w:val="0080232F"/>
    <w:rsid w:val="0080233B"/>
    <w:rsid w:val="00802429"/>
    <w:rsid w:val="008028E6"/>
    <w:rsid w:val="00802D2B"/>
    <w:rsid w:val="00802EEC"/>
    <w:rsid w:val="00802F4F"/>
    <w:rsid w:val="008031A7"/>
    <w:rsid w:val="00803289"/>
    <w:rsid w:val="0080388F"/>
    <w:rsid w:val="00803AE9"/>
    <w:rsid w:val="00803DC8"/>
    <w:rsid w:val="00803EB4"/>
    <w:rsid w:val="00804D9A"/>
    <w:rsid w:val="00804E12"/>
    <w:rsid w:val="0080515F"/>
    <w:rsid w:val="00806038"/>
    <w:rsid w:val="008061FA"/>
    <w:rsid w:val="0080633A"/>
    <w:rsid w:val="008066F8"/>
    <w:rsid w:val="00806728"/>
    <w:rsid w:val="00806A62"/>
    <w:rsid w:val="00806C04"/>
    <w:rsid w:val="00806E06"/>
    <w:rsid w:val="00806FFA"/>
    <w:rsid w:val="00807039"/>
    <w:rsid w:val="00807860"/>
    <w:rsid w:val="00807BE8"/>
    <w:rsid w:val="008102AE"/>
    <w:rsid w:val="008102E1"/>
    <w:rsid w:val="0081083D"/>
    <w:rsid w:val="00810ED7"/>
    <w:rsid w:val="00811216"/>
    <w:rsid w:val="008113A7"/>
    <w:rsid w:val="00812AE6"/>
    <w:rsid w:val="00812D41"/>
    <w:rsid w:val="00812F44"/>
    <w:rsid w:val="0081334A"/>
    <w:rsid w:val="0081353D"/>
    <w:rsid w:val="00813767"/>
    <w:rsid w:val="00813CE5"/>
    <w:rsid w:val="00814232"/>
    <w:rsid w:val="0081447E"/>
    <w:rsid w:val="008149E2"/>
    <w:rsid w:val="00814B9C"/>
    <w:rsid w:val="00814E9A"/>
    <w:rsid w:val="00814FEE"/>
    <w:rsid w:val="00815302"/>
    <w:rsid w:val="0081559A"/>
    <w:rsid w:val="00815E17"/>
    <w:rsid w:val="00815E82"/>
    <w:rsid w:val="00815EF7"/>
    <w:rsid w:val="00816995"/>
    <w:rsid w:val="00816EB3"/>
    <w:rsid w:val="0081702A"/>
    <w:rsid w:val="00817202"/>
    <w:rsid w:val="00817264"/>
    <w:rsid w:val="008203CA"/>
    <w:rsid w:val="008207D5"/>
    <w:rsid w:val="0082092E"/>
    <w:rsid w:val="00820B20"/>
    <w:rsid w:val="00821022"/>
    <w:rsid w:val="008211F9"/>
    <w:rsid w:val="00821D97"/>
    <w:rsid w:val="0082231A"/>
    <w:rsid w:val="008230A2"/>
    <w:rsid w:val="008230D3"/>
    <w:rsid w:val="00823543"/>
    <w:rsid w:val="008236D9"/>
    <w:rsid w:val="0082389B"/>
    <w:rsid w:val="0082390B"/>
    <w:rsid w:val="00823F8F"/>
    <w:rsid w:val="00824353"/>
    <w:rsid w:val="00824357"/>
    <w:rsid w:val="00824974"/>
    <w:rsid w:val="00824A9E"/>
    <w:rsid w:val="008252B1"/>
    <w:rsid w:val="00825383"/>
    <w:rsid w:val="00825C1A"/>
    <w:rsid w:val="00826523"/>
    <w:rsid w:val="008265A6"/>
    <w:rsid w:val="0082666D"/>
    <w:rsid w:val="00826FED"/>
    <w:rsid w:val="008270C7"/>
    <w:rsid w:val="0082737F"/>
    <w:rsid w:val="008274FF"/>
    <w:rsid w:val="00827796"/>
    <w:rsid w:val="008277F2"/>
    <w:rsid w:val="00827EEB"/>
    <w:rsid w:val="008309C0"/>
    <w:rsid w:val="008309FB"/>
    <w:rsid w:val="00831475"/>
    <w:rsid w:val="0083149F"/>
    <w:rsid w:val="0083167F"/>
    <w:rsid w:val="008318CA"/>
    <w:rsid w:val="0083196F"/>
    <w:rsid w:val="00831A6D"/>
    <w:rsid w:val="00831B39"/>
    <w:rsid w:val="00831BBF"/>
    <w:rsid w:val="00831DC0"/>
    <w:rsid w:val="00832549"/>
    <w:rsid w:val="00832697"/>
    <w:rsid w:val="008326E8"/>
    <w:rsid w:val="00832709"/>
    <w:rsid w:val="008328F3"/>
    <w:rsid w:val="00832E24"/>
    <w:rsid w:val="0083347B"/>
    <w:rsid w:val="00833F4B"/>
    <w:rsid w:val="00833FDA"/>
    <w:rsid w:val="008342DA"/>
    <w:rsid w:val="00834A10"/>
    <w:rsid w:val="00834D50"/>
    <w:rsid w:val="00834F9E"/>
    <w:rsid w:val="00835048"/>
    <w:rsid w:val="0083517F"/>
    <w:rsid w:val="008355D6"/>
    <w:rsid w:val="00835625"/>
    <w:rsid w:val="0083569B"/>
    <w:rsid w:val="00835878"/>
    <w:rsid w:val="00835B4A"/>
    <w:rsid w:val="00835B97"/>
    <w:rsid w:val="00835F78"/>
    <w:rsid w:val="00835FB1"/>
    <w:rsid w:val="008360B2"/>
    <w:rsid w:val="00836488"/>
    <w:rsid w:val="008366F3"/>
    <w:rsid w:val="00836952"/>
    <w:rsid w:val="00836A15"/>
    <w:rsid w:val="00836C61"/>
    <w:rsid w:val="00836FCA"/>
    <w:rsid w:val="00837307"/>
    <w:rsid w:val="008404BA"/>
    <w:rsid w:val="008408D3"/>
    <w:rsid w:val="00840C82"/>
    <w:rsid w:val="00840F15"/>
    <w:rsid w:val="00841471"/>
    <w:rsid w:val="00841495"/>
    <w:rsid w:val="008415FA"/>
    <w:rsid w:val="00841D27"/>
    <w:rsid w:val="00842089"/>
    <w:rsid w:val="00842388"/>
    <w:rsid w:val="0084251C"/>
    <w:rsid w:val="008427A4"/>
    <w:rsid w:val="00842893"/>
    <w:rsid w:val="00842CD9"/>
    <w:rsid w:val="00843D51"/>
    <w:rsid w:val="00843DDB"/>
    <w:rsid w:val="00843F6D"/>
    <w:rsid w:val="008441DA"/>
    <w:rsid w:val="00844711"/>
    <w:rsid w:val="00844932"/>
    <w:rsid w:val="00844DF7"/>
    <w:rsid w:val="00845AA1"/>
    <w:rsid w:val="00845AC8"/>
    <w:rsid w:val="00846033"/>
    <w:rsid w:val="008460B0"/>
    <w:rsid w:val="00846244"/>
    <w:rsid w:val="008465A4"/>
    <w:rsid w:val="00846ACE"/>
    <w:rsid w:val="00846C85"/>
    <w:rsid w:val="00846EF7"/>
    <w:rsid w:val="00846FD8"/>
    <w:rsid w:val="008470C7"/>
    <w:rsid w:val="0084776D"/>
    <w:rsid w:val="00847ABD"/>
    <w:rsid w:val="00847D00"/>
    <w:rsid w:val="00847D11"/>
    <w:rsid w:val="008509CD"/>
    <w:rsid w:val="00850A5E"/>
    <w:rsid w:val="0085119D"/>
    <w:rsid w:val="00851208"/>
    <w:rsid w:val="00851455"/>
    <w:rsid w:val="0085177B"/>
    <w:rsid w:val="008517FD"/>
    <w:rsid w:val="008518B4"/>
    <w:rsid w:val="00851A99"/>
    <w:rsid w:val="00851B32"/>
    <w:rsid w:val="00851BBC"/>
    <w:rsid w:val="00851C82"/>
    <w:rsid w:val="00851E43"/>
    <w:rsid w:val="00851ED5"/>
    <w:rsid w:val="00851F94"/>
    <w:rsid w:val="00852084"/>
    <w:rsid w:val="008522D9"/>
    <w:rsid w:val="008523CA"/>
    <w:rsid w:val="008523CD"/>
    <w:rsid w:val="00852C1A"/>
    <w:rsid w:val="00852CFB"/>
    <w:rsid w:val="0085391F"/>
    <w:rsid w:val="00853CF8"/>
    <w:rsid w:val="00853CFE"/>
    <w:rsid w:val="008544C4"/>
    <w:rsid w:val="00854A98"/>
    <w:rsid w:val="00854B35"/>
    <w:rsid w:val="00854E2C"/>
    <w:rsid w:val="00854F95"/>
    <w:rsid w:val="00854FF9"/>
    <w:rsid w:val="008555F1"/>
    <w:rsid w:val="008556D1"/>
    <w:rsid w:val="00855A50"/>
    <w:rsid w:val="00855C23"/>
    <w:rsid w:val="00855DA4"/>
    <w:rsid w:val="00855E6A"/>
    <w:rsid w:val="008560F5"/>
    <w:rsid w:val="008563AC"/>
    <w:rsid w:val="008563C7"/>
    <w:rsid w:val="00856520"/>
    <w:rsid w:val="0085686A"/>
    <w:rsid w:val="0085697B"/>
    <w:rsid w:val="008572B1"/>
    <w:rsid w:val="0085763C"/>
    <w:rsid w:val="0085797A"/>
    <w:rsid w:val="00857B34"/>
    <w:rsid w:val="0086029D"/>
    <w:rsid w:val="008607DF"/>
    <w:rsid w:val="0086094A"/>
    <w:rsid w:val="00860B91"/>
    <w:rsid w:val="00860D27"/>
    <w:rsid w:val="00861057"/>
    <w:rsid w:val="00861319"/>
    <w:rsid w:val="008615E3"/>
    <w:rsid w:val="008615EB"/>
    <w:rsid w:val="0086168B"/>
    <w:rsid w:val="00861773"/>
    <w:rsid w:val="008617D6"/>
    <w:rsid w:val="00861800"/>
    <w:rsid w:val="0086219C"/>
    <w:rsid w:val="0086240F"/>
    <w:rsid w:val="00862517"/>
    <w:rsid w:val="00862536"/>
    <w:rsid w:val="0086256C"/>
    <w:rsid w:val="00862D94"/>
    <w:rsid w:val="008631CB"/>
    <w:rsid w:val="00863568"/>
    <w:rsid w:val="00864583"/>
    <w:rsid w:val="008648DD"/>
    <w:rsid w:val="00864A50"/>
    <w:rsid w:val="00864E13"/>
    <w:rsid w:val="00865373"/>
    <w:rsid w:val="008655BE"/>
    <w:rsid w:val="00865AC4"/>
    <w:rsid w:val="00865B33"/>
    <w:rsid w:val="008661B3"/>
    <w:rsid w:val="008666C1"/>
    <w:rsid w:val="008667C2"/>
    <w:rsid w:val="0086681C"/>
    <w:rsid w:val="00866A80"/>
    <w:rsid w:val="00866B45"/>
    <w:rsid w:val="00866D30"/>
    <w:rsid w:val="00866DE2"/>
    <w:rsid w:val="00866E57"/>
    <w:rsid w:val="00866E7A"/>
    <w:rsid w:val="0086734B"/>
    <w:rsid w:val="0086787E"/>
    <w:rsid w:val="0086791B"/>
    <w:rsid w:val="00870228"/>
    <w:rsid w:val="00870595"/>
    <w:rsid w:val="008706D3"/>
    <w:rsid w:val="00870A40"/>
    <w:rsid w:val="00870B0A"/>
    <w:rsid w:val="00870C5C"/>
    <w:rsid w:val="00870ED8"/>
    <w:rsid w:val="00870EEB"/>
    <w:rsid w:val="0087115E"/>
    <w:rsid w:val="008715B4"/>
    <w:rsid w:val="0087175B"/>
    <w:rsid w:val="008717AF"/>
    <w:rsid w:val="00872C05"/>
    <w:rsid w:val="00872E1A"/>
    <w:rsid w:val="00872FDE"/>
    <w:rsid w:val="0087347B"/>
    <w:rsid w:val="0087351C"/>
    <w:rsid w:val="0087391D"/>
    <w:rsid w:val="00873A3C"/>
    <w:rsid w:val="00873AF1"/>
    <w:rsid w:val="00873D58"/>
    <w:rsid w:val="00873D88"/>
    <w:rsid w:val="00873EC0"/>
    <w:rsid w:val="0087414A"/>
    <w:rsid w:val="00874204"/>
    <w:rsid w:val="008746E9"/>
    <w:rsid w:val="0087483E"/>
    <w:rsid w:val="00874CF1"/>
    <w:rsid w:val="00874D0C"/>
    <w:rsid w:val="00874F65"/>
    <w:rsid w:val="00874FA8"/>
    <w:rsid w:val="0087551D"/>
    <w:rsid w:val="00875620"/>
    <w:rsid w:val="00875850"/>
    <w:rsid w:val="008758D3"/>
    <w:rsid w:val="008764E4"/>
    <w:rsid w:val="00876516"/>
    <w:rsid w:val="00876C1F"/>
    <w:rsid w:val="00877247"/>
    <w:rsid w:val="00877BF4"/>
    <w:rsid w:val="00877C90"/>
    <w:rsid w:val="00880262"/>
    <w:rsid w:val="0088043D"/>
    <w:rsid w:val="0088099E"/>
    <w:rsid w:val="00880C92"/>
    <w:rsid w:val="0088104C"/>
    <w:rsid w:val="0088136F"/>
    <w:rsid w:val="00881C18"/>
    <w:rsid w:val="00881F48"/>
    <w:rsid w:val="00881F7E"/>
    <w:rsid w:val="00882360"/>
    <w:rsid w:val="0088237B"/>
    <w:rsid w:val="00882458"/>
    <w:rsid w:val="00882734"/>
    <w:rsid w:val="0088276F"/>
    <w:rsid w:val="00882A74"/>
    <w:rsid w:val="00882F54"/>
    <w:rsid w:val="00883CFE"/>
    <w:rsid w:val="00883D3E"/>
    <w:rsid w:val="00883E76"/>
    <w:rsid w:val="00883EAA"/>
    <w:rsid w:val="00883FC5"/>
    <w:rsid w:val="0088406D"/>
    <w:rsid w:val="0088421A"/>
    <w:rsid w:val="008842E5"/>
    <w:rsid w:val="008843EC"/>
    <w:rsid w:val="008844B1"/>
    <w:rsid w:val="00884642"/>
    <w:rsid w:val="0088490B"/>
    <w:rsid w:val="00884B44"/>
    <w:rsid w:val="00884B50"/>
    <w:rsid w:val="00884C50"/>
    <w:rsid w:val="00884D33"/>
    <w:rsid w:val="00885009"/>
    <w:rsid w:val="008850AC"/>
    <w:rsid w:val="008850FD"/>
    <w:rsid w:val="00885B5D"/>
    <w:rsid w:val="00885CB4"/>
    <w:rsid w:val="00885E86"/>
    <w:rsid w:val="00885EBD"/>
    <w:rsid w:val="008860FE"/>
    <w:rsid w:val="00886445"/>
    <w:rsid w:val="00886A8F"/>
    <w:rsid w:val="00887073"/>
    <w:rsid w:val="0088709B"/>
    <w:rsid w:val="008872FD"/>
    <w:rsid w:val="0088749D"/>
    <w:rsid w:val="00887836"/>
    <w:rsid w:val="0088791F"/>
    <w:rsid w:val="00887C16"/>
    <w:rsid w:val="00887EB0"/>
    <w:rsid w:val="00887FB6"/>
    <w:rsid w:val="00890649"/>
    <w:rsid w:val="0089069C"/>
    <w:rsid w:val="008907C5"/>
    <w:rsid w:val="00890BCB"/>
    <w:rsid w:val="00890C2F"/>
    <w:rsid w:val="00890C82"/>
    <w:rsid w:val="008910FB"/>
    <w:rsid w:val="00891210"/>
    <w:rsid w:val="00891A9B"/>
    <w:rsid w:val="00891F39"/>
    <w:rsid w:val="00892455"/>
    <w:rsid w:val="00892501"/>
    <w:rsid w:val="00892827"/>
    <w:rsid w:val="00892995"/>
    <w:rsid w:val="00892A69"/>
    <w:rsid w:val="0089360B"/>
    <w:rsid w:val="008936A6"/>
    <w:rsid w:val="00893D02"/>
    <w:rsid w:val="00893D2B"/>
    <w:rsid w:val="00893DC1"/>
    <w:rsid w:val="008948DA"/>
    <w:rsid w:val="0089491D"/>
    <w:rsid w:val="00894C8B"/>
    <w:rsid w:val="00895347"/>
    <w:rsid w:val="00895720"/>
    <w:rsid w:val="0089589B"/>
    <w:rsid w:val="00896229"/>
    <w:rsid w:val="00896ACC"/>
    <w:rsid w:val="00896C3C"/>
    <w:rsid w:val="00896C6A"/>
    <w:rsid w:val="00896D21"/>
    <w:rsid w:val="008976EC"/>
    <w:rsid w:val="00897A3B"/>
    <w:rsid w:val="008A01BF"/>
    <w:rsid w:val="008A0292"/>
    <w:rsid w:val="008A056D"/>
    <w:rsid w:val="008A06D1"/>
    <w:rsid w:val="008A09DE"/>
    <w:rsid w:val="008A0F97"/>
    <w:rsid w:val="008A17ED"/>
    <w:rsid w:val="008A1882"/>
    <w:rsid w:val="008A1FCD"/>
    <w:rsid w:val="008A204F"/>
    <w:rsid w:val="008A2291"/>
    <w:rsid w:val="008A248F"/>
    <w:rsid w:val="008A2A5F"/>
    <w:rsid w:val="008A2BE8"/>
    <w:rsid w:val="008A2E78"/>
    <w:rsid w:val="008A3096"/>
    <w:rsid w:val="008A346E"/>
    <w:rsid w:val="008A3517"/>
    <w:rsid w:val="008A3540"/>
    <w:rsid w:val="008A38A1"/>
    <w:rsid w:val="008A3928"/>
    <w:rsid w:val="008A404B"/>
    <w:rsid w:val="008A412D"/>
    <w:rsid w:val="008A4137"/>
    <w:rsid w:val="008A42D0"/>
    <w:rsid w:val="008A4346"/>
    <w:rsid w:val="008A4689"/>
    <w:rsid w:val="008A46ED"/>
    <w:rsid w:val="008A4856"/>
    <w:rsid w:val="008A4D6F"/>
    <w:rsid w:val="008A51B5"/>
    <w:rsid w:val="008A520B"/>
    <w:rsid w:val="008A5248"/>
    <w:rsid w:val="008A5A36"/>
    <w:rsid w:val="008A5B9C"/>
    <w:rsid w:val="008A5FE2"/>
    <w:rsid w:val="008A632B"/>
    <w:rsid w:val="008A6365"/>
    <w:rsid w:val="008A6B32"/>
    <w:rsid w:val="008A6E7D"/>
    <w:rsid w:val="008A7077"/>
    <w:rsid w:val="008A70C9"/>
    <w:rsid w:val="008A7615"/>
    <w:rsid w:val="008A7CE0"/>
    <w:rsid w:val="008A7CF9"/>
    <w:rsid w:val="008B0076"/>
    <w:rsid w:val="008B008D"/>
    <w:rsid w:val="008B0332"/>
    <w:rsid w:val="008B0641"/>
    <w:rsid w:val="008B08B9"/>
    <w:rsid w:val="008B08C6"/>
    <w:rsid w:val="008B0F66"/>
    <w:rsid w:val="008B103B"/>
    <w:rsid w:val="008B1428"/>
    <w:rsid w:val="008B1532"/>
    <w:rsid w:val="008B1720"/>
    <w:rsid w:val="008B2642"/>
    <w:rsid w:val="008B288B"/>
    <w:rsid w:val="008B2DB0"/>
    <w:rsid w:val="008B3641"/>
    <w:rsid w:val="008B3657"/>
    <w:rsid w:val="008B3F30"/>
    <w:rsid w:val="008B415C"/>
    <w:rsid w:val="008B425E"/>
    <w:rsid w:val="008B43C4"/>
    <w:rsid w:val="008B453E"/>
    <w:rsid w:val="008B48BD"/>
    <w:rsid w:val="008B4BAE"/>
    <w:rsid w:val="008B4C73"/>
    <w:rsid w:val="008B4DBD"/>
    <w:rsid w:val="008B5CA3"/>
    <w:rsid w:val="008B65AC"/>
    <w:rsid w:val="008B66AE"/>
    <w:rsid w:val="008B6715"/>
    <w:rsid w:val="008B6767"/>
    <w:rsid w:val="008B69FF"/>
    <w:rsid w:val="008B6BD7"/>
    <w:rsid w:val="008B6E90"/>
    <w:rsid w:val="008B6FA5"/>
    <w:rsid w:val="008B71C0"/>
    <w:rsid w:val="008B789A"/>
    <w:rsid w:val="008B7AC1"/>
    <w:rsid w:val="008B7CC8"/>
    <w:rsid w:val="008B7FF8"/>
    <w:rsid w:val="008C06CA"/>
    <w:rsid w:val="008C113E"/>
    <w:rsid w:val="008C1227"/>
    <w:rsid w:val="008C1A0E"/>
    <w:rsid w:val="008C1DE7"/>
    <w:rsid w:val="008C2001"/>
    <w:rsid w:val="008C2002"/>
    <w:rsid w:val="008C201A"/>
    <w:rsid w:val="008C2836"/>
    <w:rsid w:val="008C28B9"/>
    <w:rsid w:val="008C2BC4"/>
    <w:rsid w:val="008C3271"/>
    <w:rsid w:val="008C37C3"/>
    <w:rsid w:val="008C3933"/>
    <w:rsid w:val="008C3A1A"/>
    <w:rsid w:val="008C3BD3"/>
    <w:rsid w:val="008C3BFC"/>
    <w:rsid w:val="008C476D"/>
    <w:rsid w:val="008C5454"/>
    <w:rsid w:val="008C54B7"/>
    <w:rsid w:val="008C5534"/>
    <w:rsid w:val="008C5988"/>
    <w:rsid w:val="008C5E44"/>
    <w:rsid w:val="008C5FA8"/>
    <w:rsid w:val="008C6028"/>
    <w:rsid w:val="008C61DB"/>
    <w:rsid w:val="008C63F1"/>
    <w:rsid w:val="008C6B8C"/>
    <w:rsid w:val="008C6D59"/>
    <w:rsid w:val="008C6E08"/>
    <w:rsid w:val="008C749E"/>
    <w:rsid w:val="008C74D8"/>
    <w:rsid w:val="008C74EB"/>
    <w:rsid w:val="008C754F"/>
    <w:rsid w:val="008C75D6"/>
    <w:rsid w:val="008C793F"/>
    <w:rsid w:val="008C7C3B"/>
    <w:rsid w:val="008D00CD"/>
    <w:rsid w:val="008D00D8"/>
    <w:rsid w:val="008D0200"/>
    <w:rsid w:val="008D0D7A"/>
    <w:rsid w:val="008D0E55"/>
    <w:rsid w:val="008D1003"/>
    <w:rsid w:val="008D121A"/>
    <w:rsid w:val="008D1247"/>
    <w:rsid w:val="008D1459"/>
    <w:rsid w:val="008D1628"/>
    <w:rsid w:val="008D191F"/>
    <w:rsid w:val="008D1EFC"/>
    <w:rsid w:val="008D1F1B"/>
    <w:rsid w:val="008D1F43"/>
    <w:rsid w:val="008D22F9"/>
    <w:rsid w:val="008D2432"/>
    <w:rsid w:val="008D295B"/>
    <w:rsid w:val="008D29CD"/>
    <w:rsid w:val="008D2B7C"/>
    <w:rsid w:val="008D2D9F"/>
    <w:rsid w:val="008D355B"/>
    <w:rsid w:val="008D38C7"/>
    <w:rsid w:val="008D398E"/>
    <w:rsid w:val="008D3BC1"/>
    <w:rsid w:val="008D42B5"/>
    <w:rsid w:val="008D44C6"/>
    <w:rsid w:val="008D453C"/>
    <w:rsid w:val="008D4A4B"/>
    <w:rsid w:val="008D4C99"/>
    <w:rsid w:val="008D565A"/>
    <w:rsid w:val="008D5684"/>
    <w:rsid w:val="008D5841"/>
    <w:rsid w:val="008D5B17"/>
    <w:rsid w:val="008D6172"/>
    <w:rsid w:val="008D61C2"/>
    <w:rsid w:val="008D6540"/>
    <w:rsid w:val="008D66F9"/>
    <w:rsid w:val="008D6B60"/>
    <w:rsid w:val="008D6EE8"/>
    <w:rsid w:val="008D7825"/>
    <w:rsid w:val="008D7C48"/>
    <w:rsid w:val="008D7C88"/>
    <w:rsid w:val="008D7D89"/>
    <w:rsid w:val="008E0411"/>
    <w:rsid w:val="008E04C1"/>
    <w:rsid w:val="008E04E7"/>
    <w:rsid w:val="008E059F"/>
    <w:rsid w:val="008E05BE"/>
    <w:rsid w:val="008E07C1"/>
    <w:rsid w:val="008E0DC2"/>
    <w:rsid w:val="008E0E46"/>
    <w:rsid w:val="008E10C2"/>
    <w:rsid w:val="008E1409"/>
    <w:rsid w:val="008E1C0C"/>
    <w:rsid w:val="008E1D98"/>
    <w:rsid w:val="008E23BC"/>
    <w:rsid w:val="008E2523"/>
    <w:rsid w:val="008E25D9"/>
    <w:rsid w:val="008E2F01"/>
    <w:rsid w:val="008E32E7"/>
    <w:rsid w:val="008E3472"/>
    <w:rsid w:val="008E36B8"/>
    <w:rsid w:val="008E3B39"/>
    <w:rsid w:val="008E4648"/>
    <w:rsid w:val="008E4D5F"/>
    <w:rsid w:val="008E4FB4"/>
    <w:rsid w:val="008E5156"/>
    <w:rsid w:val="008E532B"/>
    <w:rsid w:val="008E562D"/>
    <w:rsid w:val="008E569F"/>
    <w:rsid w:val="008E5ADC"/>
    <w:rsid w:val="008E5B2E"/>
    <w:rsid w:val="008E5CE6"/>
    <w:rsid w:val="008E5DBD"/>
    <w:rsid w:val="008E5F8C"/>
    <w:rsid w:val="008E6017"/>
    <w:rsid w:val="008E6360"/>
    <w:rsid w:val="008E6660"/>
    <w:rsid w:val="008E6735"/>
    <w:rsid w:val="008E6781"/>
    <w:rsid w:val="008E686B"/>
    <w:rsid w:val="008E6A2D"/>
    <w:rsid w:val="008E6BA7"/>
    <w:rsid w:val="008E6CE8"/>
    <w:rsid w:val="008E6F22"/>
    <w:rsid w:val="008E712D"/>
    <w:rsid w:val="008E7EFF"/>
    <w:rsid w:val="008E7F1C"/>
    <w:rsid w:val="008F02D3"/>
    <w:rsid w:val="008F035E"/>
    <w:rsid w:val="008F06DD"/>
    <w:rsid w:val="008F0832"/>
    <w:rsid w:val="008F0928"/>
    <w:rsid w:val="008F0B1C"/>
    <w:rsid w:val="008F0FFB"/>
    <w:rsid w:val="008F1151"/>
    <w:rsid w:val="008F12C0"/>
    <w:rsid w:val="008F1739"/>
    <w:rsid w:val="008F196B"/>
    <w:rsid w:val="008F1A74"/>
    <w:rsid w:val="008F1E56"/>
    <w:rsid w:val="008F1F4C"/>
    <w:rsid w:val="008F1F95"/>
    <w:rsid w:val="008F2246"/>
    <w:rsid w:val="008F233E"/>
    <w:rsid w:val="008F255E"/>
    <w:rsid w:val="008F2635"/>
    <w:rsid w:val="008F2A45"/>
    <w:rsid w:val="008F2AB2"/>
    <w:rsid w:val="008F3063"/>
    <w:rsid w:val="008F3241"/>
    <w:rsid w:val="008F36BB"/>
    <w:rsid w:val="008F3D22"/>
    <w:rsid w:val="008F42F9"/>
    <w:rsid w:val="008F4D77"/>
    <w:rsid w:val="008F4E00"/>
    <w:rsid w:val="008F4E6E"/>
    <w:rsid w:val="008F4FC4"/>
    <w:rsid w:val="008F54A4"/>
    <w:rsid w:val="008F554C"/>
    <w:rsid w:val="008F5B7F"/>
    <w:rsid w:val="008F5C1A"/>
    <w:rsid w:val="008F5D10"/>
    <w:rsid w:val="008F6135"/>
    <w:rsid w:val="008F63CD"/>
    <w:rsid w:val="008F643E"/>
    <w:rsid w:val="008F6481"/>
    <w:rsid w:val="008F64B5"/>
    <w:rsid w:val="008F6672"/>
    <w:rsid w:val="008F6ABA"/>
    <w:rsid w:val="008F6DE7"/>
    <w:rsid w:val="008F70EB"/>
    <w:rsid w:val="00900A89"/>
    <w:rsid w:val="00900B10"/>
    <w:rsid w:val="00900BC6"/>
    <w:rsid w:val="00900F5E"/>
    <w:rsid w:val="0090142F"/>
    <w:rsid w:val="00901654"/>
    <w:rsid w:val="00901736"/>
    <w:rsid w:val="00901990"/>
    <w:rsid w:val="00901FD4"/>
    <w:rsid w:val="009020BA"/>
    <w:rsid w:val="00902421"/>
    <w:rsid w:val="0090262A"/>
    <w:rsid w:val="0090277B"/>
    <w:rsid w:val="00903401"/>
    <w:rsid w:val="009037D2"/>
    <w:rsid w:val="00903C22"/>
    <w:rsid w:val="0090401D"/>
    <w:rsid w:val="0090412D"/>
    <w:rsid w:val="009042B6"/>
    <w:rsid w:val="009043B4"/>
    <w:rsid w:val="009044B9"/>
    <w:rsid w:val="009044E5"/>
    <w:rsid w:val="009049F4"/>
    <w:rsid w:val="0090522E"/>
    <w:rsid w:val="009052A6"/>
    <w:rsid w:val="009054FF"/>
    <w:rsid w:val="009055D5"/>
    <w:rsid w:val="00905F74"/>
    <w:rsid w:val="00906394"/>
    <w:rsid w:val="009063E3"/>
    <w:rsid w:val="009065AE"/>
    <w:rsid w:val="00906884"/>
    <w:rsid w:val="009068A8"/>
    <w:rsid w:val="00906A92"/>
    <w:rsid w:val="00906D47"/>
    <w:rsid w:val="00906EB6"/>
    <w:rsid w:val="00906FE0"/>
    <w:rsid w:val="009071FC"/>
    <w:rsid w:val="00907233"/>
    <w:rsid w:val="009076B2"/>
    <w:rsid w:val="00907D48"/>
    <w:rsid w:val="00907E8A"/>
    <w:rsid w:val="00907F2F"/>
    <w:rsid w:val="00907F90"/>
    <w:rsid w:val="00910097"/>
    <w:rsid w:val="00910858"/>
    <w:rsid w:val="00910933"/>
    <w:rsid w:val="00910B2E"/>
    <w:rsid w:val="00910E9D"/>
    <w:rsid w:val="00911106"/>
    <w:rsid w:val="00911252"/>
    <w:rsid w:val="0091241F"/>
    <w:rsid w:val="00912686"/>
    <w:rsid w:val="00912688"/>
    <w:rsid w:val="009126E8"/>
    <w:rsid w:val="00913994"/>
    <w:rsid w:val="00913B57"/>
    <w:rsid w:val="00914164"/>
    <w:rsid w:val="00914266"/>
    <w:rsid w:val="009144F1"/>
    <w:rsid w:val="0091461C"/>
    <w:rsid w:val="0091495B"/>
    <w:rsid w:val="00914E6E"/>
    <w:rsid w:val="009150B2"/>
    <w:rsid w:val="0091570E"/>
    <w:rsid w:val="0091602D"/>
    <w:rsid w:val="00916968"/>
    <w:rsid w:val="00916D5F"/>
    <w:rsid w:val="009171D3"/>
    <w:rsid w:val="00917639"/>
    <w:rsid w:val="009176AD"/>
    <w:rsid w:val="00920180"/>
    <w:rsid w:val="00920BC2"/>
    <w:rsid w:val="00920D47"/>
    <w:rsid w:val="00920F4B"/>
    <w:rsid w:val="00920FA4"/>
    <w:rsid w:val="009210EE"/>
    <w:rsid w:val="0092141B"/>
    <w:rsid w:val="00921512"/>
    <w:rsid w:val="00921740"/>
    <w:rsid w:val="00921953"/>
    <w:rsid w:val="009219A6"/>
    <w:rsid w:val="00922710"/>
    <w:rsid w:val="00923315"/>
    <w:rsid w:val="009233CB"/>
    <w:rsid w:val="00923663"/>
    <w:rsid w:val="00923A78"/>
    <w:rsid w:val="00923B5E"/>
    <w:rsid w:val="00924A6F"/>
    <w:rsid w:val="00924AB1"/>
    <w:rsid w:val="00924B7D"/>
    <w:rsid w:val="00924CA9"/>
    <w:rsid w:val="00924E35"/>
    <w:rsid w:val="0092556F"/>
    <w:rsid w:val="009255A5"/>
    <w:rsid w:val="00925980"/>
    <w:rsid w:val="00925A03"/>
    <w:rsid w:val="00925E58"/>
    <w:rsid w:val="00925E84"/>
    <w:rsid w:val="00925ED5"/>
    <w:rsid w:val="00925F07"/>
    <w:rsid w:val="00925F8E"/>
    <w:rsid w:val="00926042"/>
    <w:rsid w:val="00927367"/>
    <w:rsid w:val="00927589"/>
    <w:rsid w:val="00927A35"/>
    <w:rsid w:val="00927A40"/>
    <w:rsid w:val="00927C00"/>
    <w:rsid w:val="00927E4E"/>
    <w:rsid w:val="0093012B"/>
    <w:rsid w:val="00930399"/>
    <w:rsid w:val="0093158F"/>
    <w:rsid w:val="0093205E"/>
    <w:rsid w:val="00932AAE"/>
    <w:rsid w:val="00932AF8"/>
    <w:rsid w:val="00932B71"/>
    <w:rsid w:val="00932DB5"/>
    <w:rsid w:val="00933032"/>
    <w:rsid w:val="00933119"/>
    <w:rsid w:val="0093352A"/>
    <w:rsid w:val="009337BB"/>
    <w:rsid w:val="00933BD8"/>
    <w:rsid w:val="009340BB"/>
    <w:rsid w:val="00934280"/>
    <w:rsid w:val="00934B09"/>
    <w:rsid w:val="00934BA0"/>
    <w:rsid w:val="00934F25"/>
    <w:rsid w:val="00934F73"/>
    <w:rsid w:val="009350E2"/>
    <w:rsid w:val="009351AA"/>
    <w:rsid w:val="00935774"/>
    <w:rsid w:val="00935C6A"/>
    <w:rsid w:val="009360EE"/>
    <w:rsid w:val="00936111"/>
    <w:rsid w:val="009364F7"/>
    <w:rsid w:val="009364FC"/>
    <w:rsid w:val="00936A8E"/>
    <w:rsid w:val="0093715C"/>
    <w:rsid w:val="009379CC"/>
    <w:rsid w:val="00937B3F"/>
    <w:rsid w:val="00937B73"/>
    <w:rsid w:val="00940384"/>
    <w:rsid w:val="00940694"/>
    <w:rsid w:val="00940BF9"/>
    <w:rsid w:val="00940DAC"/>
    <w:rsid w:val="0094170D"/>
    <w:rsid w:val="00941C0B"/>
    <w:rsid w:val="00941D20"/>
    <w:rsid w:val="00941D8A"/>
    <w:rsid w:val="00941E0E"/>
    <w:rsid w:val="00941EE0"/>
    <w:rsid w:val="00941F12"/>
    <w:rsid w:val="0094230E"/>
    <w:rsid w:val="00942872"/>
    <w:rsid w:val="00942AE2"/>
    <w:rsid w:val="009435E2"/>
    <w:rsid w:val="0094389C"/>
    <w:rsid w:val="00943E9B"/>
    <w:rsid w:val="00944186"/>
    <w:rsid w:val="0094426A"/>
    <w:rsid w:val="009449B6"/>
    <w:rsid w:val="00945315"/>
    <w:rsid w:val="00945499"/>
    <w:rsid w:val="00945BEB"/>
    <w:rsid w:val="009460F7"/>
    <w:rsid w:val="0094641C"/>
    <w:rsid w:val="00946A26"/>
    <w:rsid w:val="00946AF9"/>
    <w:rsid w:val="00946E50"/>
    <w:rsid w:val="00947000"/>
    <w:rsid w:val="009470AE"/>
    <w:rsid w:val="009470C6"/>
    <w:rsid w:val="009477E1"/>
    <w:rsid w:val="00947AB7"/>
    <w:rsid w:val="00947C90"/>
    <w:rsid w:val="00947D00"/>
    <w:rsid w:val="00950491"/>
    <w:rsid w:val="009504F8"/>
    <w:rsid w:val="0095067E"/>
    <w:rsid w:val="00950724"/>
    <w:rsid w:val="009507CB"/>
    <w:rsid w:val="00950824"/>
    <w:rsid w:val="00950CBE"/>
    <w:rsid w:val="00950E90"/>
    <w:rsid w:val="00951065"/>
    <w:rsid w:val="00951826"/>
    <w:rsid w:val="0095198D"/>
    <w:rsid w:val="00951DF5"/>
    <w:rsid w:val="00952398"/>
    <w:rsid w:val="00953258"/>
    <w:rsid w:val="009532F0"/>
    <w:rsid w:val="0095359C"/>
    <w:rsid w:val="009535F8"/>
    <w:rsid w:val="00954262"/>
    <w:rsid w:val="009542A8"/>
    <w:rsid w:val="0095451C"/>
    <w:rsid w:val="00954538"/>
    <w:rsid w:val="00954C8E"/>
    <w:rsid w:val="00954CE9"/>
    <w:rsid w:val="00954F90"/>
    <w:rsid w:val="009556E2"/>
    <w:rsid w:val="00955947"/>
    <w:rsid w:val="0095594A"/>
    <w:rsid w:val="00956414"/>
    <w:rsid w:val="00956505"/>
    <w:rsid w:val="00956BE1"/>
    <w:rsid w:val="009571FC"/>
    <w:rsid w:val="00957A7D"/>
    <w:rsid w:val="00957B29"/>
    <w:rsid w:val="00957E0B"/>
    <w:rsid w:val="00960122"/>
    <w:rsid w:val="00960239"/>
    <w:rsid w:val="00960288"/>
    <w:rsid w:val="009607EA"/>
    <w:rsid w:val="00960BF3"/>
    <w:rsid w:val="00960C1D"/>
    <w:rsid w:val="00960DC5"/>
    <w:rsid w:val="009614F8"/>
    <w:rsid w:val="009616FB"/>
    <w:rsid w:val="0096206F"/>
    <w:rsid w:val="009621E3"/>
    <w:rsid w:val="009622B6"/>
    <w:rsid w:val="00962832"/>
    <w:rsid w:val="00962A04"/>
    <w:rsid w:val="009630D7"/>
    <w:rsid w:val="00963257"/>
    <w:rsid w:val="0096359E"/>
    <w:rsid w:val="00964941"/>
    <w:rsid w:val="00964E5E"/>
    <w:rsid w:val="0096571D"/>
    <w:rsid w:val="00965926"/>
    <w:rsid w:val="00965F51"/>
    <w:rsid w:val="0096606B"/>
    <w:rsid w:val="00966C1D"/>
    <w:rsid w:val="00966DC1"/>
    <w:rsid w:val="009672C9"/>
    <w:rsid w:val="00967492"/>
    <w:rsid w:val="00967977"/>
    <w:rsid w:val="009708C3"/>
    <w:rsid w:val="00970A64"/>
    <w:rsid w:val="00971042"/>
    <w:rsid w:val="0097158D"/>
    <w:rsid w:val="0097189B"/>
    <w:rsid w:val="00971A6D"/>
    <w:rsid w:val="00971B59"/>
    <w:rsid w:val="00971DDC"/>
    <w:rsid w:val="0097201F"/>
    <w:rsid w:val="0097208F"/>
    <w:rsid w:val="009727B3"/>
    <w:rsid w:val="00972C8D"/>
    <w:rsid w:val="00972DF7"/>
    <w:rsid w:val="009733BB"/>
    <w:rsid w:val="009734E7"/>
    <w:rsid w:val="00973732"/>
    <w:rsid w:val="00973BC8"/>
    <w:rsid w:val="00973CED"/>
    <w:rsid w:val="009740AF"/>
    <w:rsid w:val="009745A6"/>
    <w:rsid w:val="0097484D"/>
    <w:rsid w:val="0097486D"/>
    <w:rsid w:val="00974D59"/>
    <w:rsid w:val="00974FC8"/>
    <w:rsid w:val="0097517B"/>
    <w:rsid w:val="00975335"/>
    <w:rsid w:val="00975577"/>
    <w:rsid w:val="00975FA5"/>
    <w:rsid w:val="00975FB7"/>
    <w:rsid w:val="00976D33"/>
    <w:rsid w:val="0097702F"/>
    <w:rsid w:val="009772D6"/>
    <w:rsid w:val="0097741B"/>
    <w:rsid w:val="00977465"/>
    <w:rsid w:val="0097777D"/>
    <w:rsid w:val="009777EC"/>
    <w:rsid w:val="00977829"/>
    <w:rsid w:val="00980024"/>
    <w:rsid w:val="00980040"/>
    <w:rsid w:val="00980080"/>
    <w:rsid w:val="00980355"/>
    <w:rsid w:val="0098039C"/>
    <w:rsid w:val="00980581"/>
    <w:rsid w:val="00980EF7"/>
    <w:rsid w:val="00981109"/>
    <w:rsid w:val="009811F7"/>
    <w:rsid w:val="009819FC"/>
    <w:rsid w:val="00982175"/>
    <w:rsid w:val="0098224E"/>
    <w:rsid w:val="0098231D"/>
    <w:rsid w:val="0098257A"/>
    <w:rsid w:val="009829B2"/>
    <w:rsid w:val="00982C7E"/>
    <w:rsid w:val="00982F40"/>
    <w:rsid w:val="009832ED"/>
    <w:rsid w:val="00983696"/>
    <w:rsid w:val="00983A7A"/>
    <w:rsid w:val="009846CA"/>
    <w:rsid w:val="00984E80"/>
    <w:rsid w:val="00985928"/>
    <w:rsid w:val="00985B56"/>
    <w:rsid w:val="00985C28"/>
    <w:rsid w:val="00985DE3"/>
    <w:rsid w:val="00986169"/>
    <w:rsid w:val="009861BC"/>
    <w:rsid w:val="00986750"/>
    <w:rsid w:val="00986A78"/>
    <w:rsid w:val="00987405"/>
    <w:rsid w:val="00987434"/>
    <w:rsid w:val="00987448"/>
    <w:rsid w:val="009878FF"/>
    <w:rsid w:val="00987ABF"/>
    <w:rsid w:val="00987DC5"/>
    <w:rsid w:val="00987E63"/>
    <w:rsid w:val="009901E1"/>
    <w:rsid w:val="009902D4"/>
    <w:rsid w:val="00990598"/>
    <w:rsid w:val="009906F7"/>
    <w:rsid w:val="00990996"/>
    <w:rsid w:val="00990B6C"/>
    <w:rsid w:val="00990E22"/>
    <w:rsid w:val="0099139E"/>
    <w:rsid w:val="009914FE"/>
    <w:rsid w:val="009919C5"/>
    <w:rsid w:val="0099204A"/>
    <w:rsid w:val="009922DD"/>
    <w:rsid w:val="00992689"/>
    <w:rsid w:val="00992869"/>
    <w:rsid w:val="00992FB8"/>
    <w:rsid w:val="00993013"/>
    <w:rsid w:val="00993416"/>
    <w:rsid w:val="0099352D"/>
    <w:rsid w:val="00993877"/>
    <w:rsid w:val="00993AB2"/>
    <w:rsid w:val="00993ABE"/>
    <w:rsid w:val="00993C83"/>
    <w:rsid w:val="00993FB4"/>
    <w:rsid w:val="0099468F"/>
    <w:rsid w:val="0099489A"/>
    <w:rsid w:val="00994A38"/>
    <w:rsid w:val="00994AAD"/>
    <w:rsid w:val="00994EE8"/>
    <w:rsid w:val="00995185"/>
    <w:rsid w:val="00995465"/>
    <w:rsid w:val="00995799"/>
    <w:rsid w:val="00995FC4"/>
    <w:rsid w:val="0099619D"/>
    <w:rsid w:val="009962B1"/>
    <w:rsid w:val="0099636A"/>
    <w:rsid w:val="0099664E"/>
    <w:rsid w:val="00996974"/>
    <w:rsid w:val="00996E48"/>
    <w:rsid w:val="00996F38"/>
    <w:rsid w:val="00997350"/>
    <w:rsid w:val="00997356"/>
    <w:rsid w:val="0099737E"/>
    <w:rsid w:val="00997762"/>
    <w:rsid w:val="00997905"/>
    <w:rsid w:val="009A03B9"/>
    <w:rsid w:val="009A06BA"/>
    <w:rsid w:val="009A09EE"/>
    <w:rsid w:val="009A0A99"/>
    <w:rsid w:val="009A0ACA"/>
    <w:rsid w:val="009A0C39"/>
    <w:rsid w:val="009A0F08"/>
    <w:rsid w:val="009A1903"/>
    <w:rsid w:val="009A1989"/>
    <w:rsid w:val="009A1B28"/>
    <w:rsid w:val="009A1E9E"/>
    <w:rsid w:val="009A22A2"/>
    <w:rsid w:val="009A2795"/>
    <w:rsid w:val="009A2997"/>
    <w:rsid w:val="009A3213"/>
    <w:rsid w:val="009A325B"/>
    <w:rsid w:val="009A37BC"/>
    <w:rsid w:val="009A3B92"/>
    <w:rsid w:val="009A40EC"/>
    <w:rsid w:val="009A4503"/>
    <w:rsid w:val="009A464F"/>
    <w:rsid w:val="009A4AC9"/>
    <w:rsid w:val="009A4C68"/>
    <w:rsid w:val="009A4C9C"/>
    <w:rsid w:val="009A4FCB"/>
    <w:rsid w:val="009A509F"/>
    <w:rsid w:val="009A5128"/>
    <w:rsid w:val="009A55A1"/>
    <w:rsid w:val="009A59C7"/>
    <w:rsid w:val="009A5AD9"/>
    <w:rsid w:val="009A5C76"/>
    <w:rsid w:val="009A60A7"/>
    <w:rsid w:val="009A64AA"/>
    <w:rsid w:val="009A6D0E"/>
    <w:rsid w:val="009A7213"/>
    <w:rsid w:val="009A722A"/>
    <w:rsid w:val="009A77B0"/>
    <w:rsid w:val="009A78CB"/>
    <w:rsid w:val="009A79F3"/>
    <w:rsid w:val="009A7C68"/>
    <w:rsid w:val="009A7D83"/>
    <w:rsid w:val="009B0665"/>
    <w:rsid w:val="009B070C"/>
    <w:rsid w:val="009B090F"/>
    <w:rsid w:val="009B1244"/>
    <w:rsid w:val="009B13AA"/>
    <w:rsid w:val="009B1630"/>
    <w:rsid w:val="009B1B72"/>
    <w:rsid w:val="009B21F3"/>
    <w:rsid w:val="009B2402"/>
    <w:rsid w:val="009B277B"/>
    <w:rsid w:val="009B2C41"/>
    <w:rsid w:val="009B2F0E"/>
    <w:rsid w:val="009B35F4"/>
    <w:rsid w:val="009B38DE"/>
    <w:rsid w:val="009B3A81"/>
    <w:rsid w:val="009B3B8C"/>
    <w:rsid w:val="009B3C6D"/>
    <w:rsid w:val="009B4185"/>
    <w:rsid w:val="009B4374"/>
    <w:rsid w:val="009B4897"/>
    <w:rsid w:val="009B4AA4"/>
    <w:rsid w:val="009B4CE5"/>
    <w:rsid w:val="009B4F5B"/>
    <w:rsid w:val="009B51C1"/>
    <w:rsid w:val="009B527B"/>
    <w:rsid w:val="009B59EC"/>
    <w:rsid w:val="009B5A45"/>
    <w:rsid w:val="009B61DD"/>
    <w:rsid w:val="009B643F"/>
    <w:rsid w:val="009B651C"/>
    <w:rsid w:val="009B6741"/>
    <w:rsid w:val="009B696B"/>
    <w:rsid w:val="009B69FE"/>
    <w:rsid w:val="009B7559"/>
    <w:rsid w:val="009B762E"/>
    <w:rsid w:val="009B7BF9"/>
    <w:rsid w:val="009B7FD1"/>
    <w:rsid w:val="009C0477"/>
    <w:rsid w:val="009C080F"/>
    <w:rsid w:val="009C0941"/>
    <w:rsid w:val="009C120F"/>
    <w:rsid w:val="009C1DAC"/>
    <w:rsid w:val="009C1E19"/>
    <w:rsid w:val="009C2787"/>
    <w:rsid w:val="009C2795"/>
    <w:rsid w:val="009C2C24"/>
    <w:rsid w:val="009C2E4A"/>
    <w:rsid w:val="009C2F37"/>
    <w:rsid w:val="009C37C1"/>
    <w:rsid w:val="009C381B"/>
    <w:rsid w:val="009C3862"/>
    <w:rsid w:val="009C3C29"/>
    <w:rsid w:val="009C401C"/>
    <w:rsid w:val="009C40E4"/>
    <w:rsid w:val="009C424F"/>
    <w:rsid w:val="009C43CD"/>
    <w:rsid w:val="009C4947"/>
    <w:rsid w:val="009C4DD4"/>
    <w:rsid w:val="009C4E4F"/>
    <w:rsid w:val="009C4EE9"/>
    <w:rsid w:val="009C5386"/>
    <w:rsid w:val="009C555B"/>
    <w:rsid w:val="009C5574"/>
    <w:rsid w:val="009C599F"/>
    <w:rsid w:val="009C5E6F"/>
    <w:rsid w:val="009C5FD6"/>
    <w:rsid w:val="009C6017"/>
    <w:rsid w:val="009C6038"/>
    <w:rsid w:val="009C61AF"/>
    <w:rsid w:val="009C62DB"/>
    <w:rsid w:val="009C69B0"/>
    <w:rsid w:val="009C6B9C"/>
    <w:rsid w:val="009C6C66"/>
    <w:rsid w:val="009C6D7F"/>
    <w:rsid w:val="009C6E7E"/>
    <w:rsid w:val="009C7386"/>
    <w:rsid w:val="009C73F7"/>
    <w:rsid w:val="009C7B33"/>
    <w:rsid w:val="009C7BC2"/>
    <w:rsid w:val="009C7FFB"/>
    <w:rsid w:val="009D01AE"/>
    <w:rsid w:val="009D022E"/>
    <w:rsid w:val="009D0356"/>
    <w:rsid w:val="009D068A"/>
    <w:rsid w:val="009D07D8"/>
    <w:rsid w:val="009D0BBD"/>
    <w:rsid w:val="009D0C4C"/>
    <w:rsid w:val="009D0E3B"/>
    <w:rsid w:val="009D0F2F"/>
    <w:rsid w:val="009D0F58"/>
    <w:rsid w:val="009D142B"/>
    <w:rsid w:val="009D1519"/>
    <w:rsid w:val="009D19E8"/>
    <w:rsid w:val="009D1B6F"/>
    <w:rsid w:val="009D1C0A"/>
    <w:rsid w:val="009D20F0"/>
    <w:rsid w:val="009D2293"/>
    <w:rsid w:val="009D24F8"/>
    <w:rsid w:val="009D2D04"/>
    <w:rsid w:val="009D2F8A"/>
    <w:rsid w:val="009D3052"/>
    <w:rsid w:val="009D346F"/>
    <w:rsid w:val="009D34E3"/>
    <w:rsid w:val="009D38E2"/>
    <w:rsid w:val="009D39B2"/>
    <w:rsid w:val="009D3C9E"/>
    <w:rsid w:val="009D3CC5"/>
    <w:rsid w:val="009D3DC8"/>
    <w:rsid w:val="009D3E44"/>
    <w:rsid w:val="009D4418"/>
    <w:rsid w:val="009D4641"/>
    <w:rsid w:val="009D46B0"/>
    <w:rsid w:val="009D46C3"/>
    <w:rsid w:val="009D479D"/>
    <w:rsid w:val="009D4C9E"/>
    <w:rsid w:val="009D5282"/>
    <w:rsid w:val="009D5366"/>
    <w:rsid w:val="009D53AC"/>
    <w:rsid w:val="009D55CA"/>
    <w:rsid w:val="009D59C3"/>
    <w:rsid w:val="009D5EC2"/>
    <w:rsid w:val="009D625A"/>
    <w:rsid w:val="009D6432"/>
    <w:rsid w:val="009D6AC9"/>
    <w:rsid w:val="009D6D31"/>
    <w:rsid w:val="009D6E0A"/>
    <w:rsid w:val="009D7161"/>
    <w:rsid w:val="009D763F"/>
    <w:rsid w:val="009D7AAD"/>
    <w:rsid w:val="009D7CA8"/>
    <w:rsid w:val="009E0558"/>
    <w:rsid w:val="009E0695"/>
    <w:rsid w:val="009E0849"/>
    <w:rsid w:val="009E0E51"/>
    <w:rsid w:val="009E109D"/>
    <w:rsid w:val="009E1228"/>
    <w:rsid w:val="009E1946"/>
    <w:rsid w:val="009E1A51"/>
    <w:rsid w:val="009E1C88"/>
    <w:rsid w:val="009E2264"/>
    <w:rsid w:val="009E226C"/>
    <w:rsid w:val="009E282E"/>
    <w:rsid w:val="009E2DF0"/>
    <w:rsid w:val="009E2EB8"/>
    <w:rsid w:val="009E3B4C"/>
    <w:rsid w:val="009E3C89"/>
    <w:rsid w:val="009E41A3"/>
    <w:rsid w:val="009E470E"/>
    <w:rsid w:val="009E49F8"/>
    <w:rsid w:val="009E5129"/>
    <w:rsid w:val="009E563E"/>
    <w:rsid w:val="009E5B90"/>
    <w:rsid w:val="009E65CC"/>
    <w:rsid w:val="009E672D"/>
    <w:rsid w:val="009E6B53"/>
    <w:rsid w:val="009E6B82"/>
    <w:rsid w:val="009E6BD0"/>
    <w:rsid w:val="009E71D9"/>
    <w:rsid w:val="009F00AB"/>
    <w:rsid w:val="009F03C1"/>
    <w:rsid w:val="009F090F"/>
    <w:rsid w:val="009F0C41"/>
    <w:rsid w:val="009F106D"/>
    <w:rsid w:val="009F1294"/>
    <w:rsid w:val="009F13C5"/>
    <w:rsid w:val="009F14EC"/>
    <w:rsid w:val="009F1570"/>
    <w:rsid w:val="009F1661"/>
    <w:rsid w:val="009F1901"/>
    <w:rsid w:val="009F19F0"/>
    <w:rsid w:val="009F1AD3"/>
    <w:rsid w:val="009F21F7"/>
    <w:rsid w:val="009F2422"/>
    <w:rsid w:val="009F24A0"/>
    <w:rsid w:val="009F250E"/>
    <w:rsid w:val="009F26F1"/>
    <w:rsid w:val="009F2817"/>
    <w:rsid w:val="009F2921"/>
    <w:rsid w:val="009F29E7"/>
    <w:rsid w:val="009F2A04"/>
    <w:rsid w:val="009F2B01"/>
    <w:rsid w:val="009F2ED3"/>
    <w:rsid w:val="009F3FAB"/>
    <w:rsid w:val="009F423A"/>
    <w:rsid w:val="009F45A0"/>
    <w:rsid w:val="009F460B"/>
    <w:rsid w:val="009F47B1"/>
    <w:rsid w:val="009F482C"/>
    <w:rsid w:val="009F4B75"/>
    <w:rsid w:val="009F5196"/>
    <w:rsid w:val="009F5362"/>
    <w:rsid w:val="009F555C"/>
    <w:rsid w:val="009F570D"/>
    <w:rsid w:val="009F59A1"/>
    <w:rsid w:val="009F5D18"/>
    <w:rsid w:val="009F635B"/>
    <w:rsid w:val="009F63BC"/>
    <w:rsid w:val="009F6625"/>
    <w:rsid w:val="009F6DF1"/>
    <w:rsid w:val="009F6DF5"/>
    <w:rsid w:val="009F75D5"/>
    <w:rsid w:val="009F79C6"/>
    <w:rsid w:val="009F7B0C"/>
    <w:rsid w:val="009F7B38"/>
    <w:rsid w:val="009F7EB7"/>
    <w:rsid w:val="009F7F30"/>
    <w:rsid w:val="009F7F4D"/>
    <w:rsid w:val="00A001CA"/>
    <w:rsid w:val="00A0029F"/>
    <w:rsid w:val="00A006AE"/>
    <w:rsid w:val="00A00C1A"/>
    <w:rsid w:val="00A01044"/>
    <w:rsid w:val="00A010DC"/>
    <w:rsid w:val="00A01186"/>
    <w:rsid w:val="00A0127F"/>
    <w:rsid w:val="00A014CD"/>
    <w:rsid w:val="00A014DC"/>
    <w:rsid w:val="00A01E88"/>
    <w:rsid w:val="00A01FB1"/>
    <w:rsid w:val="00A01FDD"/>
    <w:rsid w:val="00A02021"/>
    <w:rsid w:val="00A021D2"/>
    <w:rsid w:val="00A02D58"/>
    <w:rsid w:val="00A0345C"/>
    <w:rsid w:val="00A03870"/>
    <w:rsid w:val="00A038CE"/>
    <w:rsid w:val="00A03918"/>
    <w:rsid w:val="00A03AA2"/>
    <w:rsid w:val="00A03AF8"/>
    <w:rsid w:val="00A03C40"/>
    <w:rsid w:val="00A03C90"/>
    <w:rsid w:val="00A03D81"/>
    <w:rsid w:val="00A03E17"/>
    <w:rsid w:val="00A04002"/>
    <w:rsid w:val="00A04205"/>
    <w:rsid w:val="00A042E3"/>
    <w:rsid w:val="00A048F7"/>
    <w:rsid w:val="00A04F64"/>
    <w:rsid w:val="00A053F6"/>
    <w:rsid w:val="00A05677"/>
    <w:rsid w:val="00A0581C"/>
    <w:rsid w:val="00A058F7"/>
    <w:rsid w:val="00A05CC0"/>
    <w:rsid w:val="00A06080"/>
    <w:rsid w:val="00A060C6"/>
    <w:rsid w:val="00A06310"/>
    <w:rsid w:val="00A06370"/>
    <w:rsid w:val="00A066AC"/>
    <w:rsid w:val="00A067B0"/>
    <w:rsid w:val="00A06927"/>
    <w:rsid w:val="00A06973"/>
    <w:rsid w:val="00A06B58"/>
    <w:rsid w:val="00A06DCD"/>
    <w:rsid w:val="00A06FBB"/>
    <w:rsid w:val="00A1004E"/>
    <w:rsid w:val="00A10185"/>
    <w:rsid w:val="00A10187"/>
    <w:rsid w:val="00A1030B"/>
    <w:rsid w:val="00A104B4"/>
    <w:rsid w:val="00A104CB"/>
    <w:rsid w:val="00A105B0"/>
    <w:rsid w:val="00A10923"/>
    <w:rsid w:val="00A1092F"/>
    <w:rsid w:val="00A10B7A"/>
    <w:rsid w:val="00A10C0F"/>
    <w:rsid w:val="00A10D0F"/>
    <w:rsid w:val="00A10D2E"/>
    <w:rsid w:val="00A10E55"/>
    <w:rsid w:val="00A10F7A"/>
    <w:rsid w:val="00A1123F"/>
    <w:rsid w:val="00A11502"/>
    <w:rsid w:val="00A120A9"/>
    <w:rsid w:val="00A12607"/>
    <w:rsid w:val="00A12ACC"/>
    <w:rsid w:val="00A13322"/>
    <w:rsid w:val="00A13367"/>
    <w:rsid w:val="00A1346F"/>
    <w:rsid w:val="00A13C03"/>
    <w:rsid w:val="00A13D29"/>
    <w:rsid w:val="00A141E9"/>
    <w:rsid w:val="00A14314"/>
    <w:rsid w:val="00A14772"/>
    <w:rsid w:val="00A14A65"/>
    <w:rsid w:val="00A14AD9"/>
    <w:rsid w:val="00A14B65"/>
    <w:rsid w:val="00A155EF"/>
    <w:rsid w:val="00A15979"/>
    <w:rsid w:val="00A15AA3"/>
    <w:rsid w:val="00A15B46"/>
    <w:rsid w:val="00A15B7F"/>
    <w:rsid w:val="00A15B8C"/>
    <w:rsid w:val="00A15EB8"/>
    <w:rsid w:val="00A1653A"/>
    <w:rsid w:val="00A1663C"/>
    <w:rsid w:val="00A16D13"/>
    <w:rsid w:val="00A1732D"/>
    <w:rsid w:val="00A1777A"/>
    <w:rsid w:val="00A177F4"/>
    <w:rsid w:val="00A178D2"/>
    <w:rsid w:val="00A17907"/>
    <w:rsid w:val="00A17938"/>
    <w:rsid w:val="00A1798F"/>
    <w:rsid w:val="00A20213"/>
    <w:rsid w:val="00A202C5"/>
    <w:rsid w:val="00A2066D"/>
    <w:rsid w:val="00A206FD"/>
    <w:rsid w:val="00A20A07"/>
    <w:rsid w:val="00A20CFD"/>
    <w:rsid w:val="00A2114A"/>
    <w:rsid w:val="00A2176D"/>
    <w:rsid w:val="00A21CA1"/>
    <w:rsid w:val="00A21EAF"/>
    <w:rsid w:val="00A220AD"/>
    <w:rsid w:val="00A221E6"/>
    <w:rsid w:val="00A228BA"/>
    <w:rsid w:val="00A22A1B"/>
    <w:rsid w:val="00A22A4A"/>
    <w:rsid w:val="00A22B12"/>
    <w:rsid w:val="00A22C78"/>
    <w:rsid w:val="00A23014"/>
    <w:rsid w:val="00A23223"/>
    <w:rsid w:val="00A2340C"/>
    <w:rsid w:val="00A235EF"/>
    <w:rsid w:val="00A23824"/>
    <w:rsid w:val="00A23E00"/>
    <w:rsid w:val="00A23FEB"/>
    <w:rsid w:val="00A2418C"/>
    <w:rsid w:val="00A24205"/>
    <w:rsid w:val="00A242B4"/>
    <w:rsid w:val="00A245B1"/>
    <w:rsid w:val="00A24975"/>
    <w:rsid w:val="00A24B59"/>
    <w:rsid w:val="00A24F41"/>
    <w:rsid w:val="00A25724"/>
    <w:rsid w:val="00A261EE"/>
    <w:rsid w:val="00A2634B"/>
    <w:rsid w:val="00A26428"/>
    <w:rsid w:val="00A264D9"/>
    <w:rsid w:val="00A266F9"/>
    <w:rsid w:val="00A26B1F"/>
    <w:rsid w:val="00A26DCB"/>
    <w:rsid w:val="00A26E66"/>
    <w:rsid w:val="00A27000"/>
    <w:rsid w:val="00A274AF"/>
    <w:rsid w:val="00A274D3"/>
    <w:rsid w:val="00A277A7"/>
    <w:rsid w:val="00A279EC"/>
    <w:rsid w:val="00A27AD4"/>
    <w:rsid w:val="00A27BF3"/>
    <w:rsid w:val="00A30689"/>
    <w:rsid w:val="00A30C8C"/>
    <w:rsid w:val="00A30F1F"/>
    <w:rsid w:val="00A3176C"/>
    <w:rsid w:val="00A3193A"/>
    <w:rsid w:val="00A31BBC"/>
    <w:rsid w:val="00A3225B"/>
    <w:rsid w:val="00A32490"/>
    <w:rsid w:val="00A32780"/>
    <w:rsid w:val="00A328EC"/>
    <w:rsid w:val="00A33067"/>
    <w:rsid w:val="00A33B0A"/>
    <w:rsid w:val="00A33DA0"/>
    <w:rsid w:val="00A344CB"/>
    <w:rsid w:val="00A349DE"/>
    <w:rsid w:val="00A34BA7"/>
    <w:rsid w:val="00A34DE9"/>
    <w:rsid w:val="00A34F7D"/>
    <w:rsid w:val="00A35256"/>
    <w:rsid w:val="00A355B3"/>
    <w:rsid w:val="00A35A79"/>
    <w:rsid w:val="00A35B34"/>
    <w:rsid w:val="00A360B6"/>
    <w:rsid w:val="00A364CC"/>
    <w:rsid w:val="00A3721D"/>
    <w:rsid w:val="00A37804"/>
    <w:rsid w:val="00A3797F"/>
    <w:rsid w:val="00A40A14"/>
    <w:rsid w:val="00A40D95"/>
    <w:rsid w:val="00A41061"/>
    <w:rsid w:val="00A412EC"/>
    <w:rsid w:val="00A41426"/>
    <w:rsid w:val="00A41FE9"/>
    <w:rsid w:val="00A42135"/>
    <w:rsid w:val="00A42745"/>
    <w:rsid w:val="00A42851"/>
    <w:rsid w:val="00A42A35"/>
    <w:rsid w:val="00A42B9D"/>
    <w:rsid w:val="00A42C8C"/>
    <w:rsid w:val="00A4308D"/>
    <w:rsid w:val="00A43288"/>
    <w:rsid w:val="00A4359A"/>
    <w:rsid w:val="00A43665"/>
    <w:rsid w:val="00A43884"/>
    <w:rsid w:val="00A43985"/>
    <w:rsid w:val="00A439AE"/>
    <w:rsid w:val="00A43A3D"/>
    <w:rsid w:val="00A43AB0"/>
    <w:rsid w:val="00A43B23"/>
    <w:rsid w:val="00A43CC8"/>
    <w:rsid w:val="00A43D91"/>
    <w:rsid w:val="00A43FA3"/>
    <w:rsid w:val="00A44095"/>
    <w:rsid w:val="00A440B5"/>
    <w:rsid w:val="00A44152"/>
    <w:rsid w:val="00A445BC"/>
    <w:rsid w:val="00A4463E"/>
    <w:rsid w:val="00A44680"/>
    <w:rsid w:val="00A44722"/>
    <w:rsid w:val="00A4475B"/>
    <w:rsid w:val="00A449DD"/>
    <w:rsid w:val="00A449F9"/>
    <w:rsid w:val="00A4547B"/>
    <w:rsid w:val="00A455AE"/>
    <w:rsid w:val="00A458D7"/>
    <w:rsid w:val="00A459D2"/>
    <w:rsid w:val="00A45E88"/>
    <w:rsid w:val="00A46011"/>
    <w:rsid w:val="00A4628C"/>
    <w:rsid w:val="00A465A7"/>
    <w:rsid w:val="00A4668B"/>
    <w:rsid w:val="00A46894"/>
    <w:rsid w:val="00A468D3"/>
    <w:rsid w:val="00A46BAC"/>
    <w:rsid w:val="00A471E0"/>
    <w:rsid w:val="00A4739B"/>
    <w:rsid w:val="00A47410"/>
    <w:rsid w:val="00A47473"/>
    <w:rsid w:val="00A47829"/>
    <w:rsid w:val="00A47878"/>
    <w:rsid w:val="00A47A6B"/>
    <w:rsid w:val="00A47CC7"/>
    <w:rsid w:val="00A47CD9"/>
    <w:rsid w:val="00A47CEB"/>
    <w:rsid w:val="00A47EEC"/>
    <w:rsid w:val="00A47F41"/>
    <w:rsid w:val="00A50067"/>
    <w:rsid w:val="00A50213"/>
    <w:rsid w:val="00A50472"/>
    <w:rsid w:val="00A5057A"/>
    <w:rsid w:val="00A509FE"/>
    <w:rsid w:val="00A50A27"/>
    <w:rsid w:val="00A51288"/>
    <w:rsid w:val="00A518BB"/>
    <w:rsid w:val="00A51ADA"/>
    <w:rsid w:val="00A524C4"/>
    <w:rsid w:val="00A52907"/>
    <w:rsid w:val="00A53051"/>
    <w:rsid w:val="00A53347"/>
    <w:rsid w:val="00A53725"/>
    <w:rsid w:val="00A53DFC"/>
    <w:rsid w:val="00A5406C"/>
    <w:rsid w:val="00A54580"/>
    <w:rsid w:val="00A545F8"/>
    <w:rsid w:val="00A5473F"/>
    <w:rsid w:val="00A5484E"/>
    <w:rsid w:val="00A54C3B"/>
    <w:rsid w:val="00A55599"/>
    <w:rsid w:val="00A555EB"/>
    <w:rsid w:val="00A55974"/>
    <w:rsid w:val="00A55B67"/>
    <w:rsid w:val="00A55C5C"/>
    <w:rsid w:val="00A55C76"/>
    <w:rsid w:val="00A5601C"/>
    <w:rsid w:val="00A563D9"/>
    <w:rsid w:val="00A566AC"/>
    <w:rsid w:val="00A56C9E"/>
    <w:rsid w:val="00A57136"/>
    <w:rsid w:val="00A57172"/>
    <w:rsid w:val="00A5717C"/>
    <w:rsid w:val="00A57290"/>
    <w:rsid w:val="00A57309"/>
    <w:rsid w:val="00A57C79"/>
    <w:rsid w:val="00A57ECC"/>
    <w:rsid w:val="00A600CB"/>
    <w:rsid w:val="00A601DB"/>
    <w:rsid w:val="00A606FA"/>
    <w:rsid w:val="00A60A76"/>
    <w:rsid w:val="00A60BF6"/>
    <w:rsid w:val="00A61421"/>
    <w:rsid w:val="00A62027"/>
    <w:rsid w:val="00A62126"/>
    <w:rsid w:val="00A621AC"/>
    <w:rsid w:val="00A623A8"/>
    <w:rsid w:val="00A624DA"/>
    <w:rsid w:val="00A62757"/>
    <w:rsid w:val="00A62A5C"/>
    <w:rsid w:val="00A631A9"/>
    <w:rsid w:val="00A6348D"/>
    <w:rsid w:val="00A6353E"/>
    <w:rsid w:val="00A635DB"/>
    <w:rsid w:val="00A6371F"/>
    <w:rsid w:val="00A63742"/>
    <w:rsid w:val="00A63D3D"/>
    <w:rsid w:val="00A6410F"/>
    <w:rsid w:val="00A64117"/>
    <w:rsid w:val="00A64379"/>
    <w:rsid w:val="00A64525"/>
    <w:rsid w:val="00A6453B"/>
    <w:rsid w:val="00A64705"/>
    <w:rsid w:val="00A64AC1"/>
    <w:rsid w:val="00A64FC6"/>
    <w:rsid w:val="00A657BF"/>
    <w:rsid w:val="00A658C0"/>
    <w:rsid w:val="00A65D19"/>
    <w:rsid w:val="00A65ED0"/>
    <w:rsid w:val="00A6603B"/>
    <w:rsid w:val="00A66042"/>
    <w:rsid w:val="00A660A8"/>
    <w:rsid w:val="00A6615F"/>
    <w:rsid w:val="00A6682A"/>
    <w:rsid w:val="00A66A78"/>
    <w:rsid w:val="00A67291"/>
    <w:rsid w:val="00A6752F"/>
    <w:rsid w:val="00A67BB1"/>
    <w:rsid w:val="00A67E1E"/>
    <w:rsid w:val="00A67EAB"/>
    <w:rsid w:val="00A700FD"/>
    <w:rsid w:val="00A703D2"/>
    <w:rsid w:val="00A704DA"/>
    <w:rsid w:val="00A70C3E"/>
    <w:rsid w:val="00A70EDE"/>
    <w:rsid w:val="00A71296"/>
    <w:rsid w:val="00A713EE"/>
    <w:rsid w:val="00A71472"/>
    <w:rsid w:val="00A71522"/>
    <w:rsid w:val="00A72083"/>
    <w:rsid w:val="00A72481"/>
    <w:rsid w:val="00A72601"/>
    <w:rsid w:val="00A7294A"/>
    <w:rsid w:val="00A72BE3"/>
    <w:rsid w:val="00A7303B"/>
    <w:rsid w:val="00A731B3"/>
    <w:rsid w:val="00A733F1"/>
    <w:rsid w:val="00A73DB9"/>
    <w:rsid w:val="00A74665"/>
    <w:rsid w:val="00A74A67"/>
    <w:rsid w:val="00A74DB3"/>
    <w:rsid w:val="00A7517E"/>
    <w:rsid w:val="00A753A0"/>
    <w:rsid w:val="00A75595"/>
    <w:rsid w:val="00A7588E"/>
    <w:rsid w:val="00A75898"/>
    <w:rsid w:val="00A758AE"/>
    <w:rsid w:val="00A761AA"/>
    <w:rsid w:val="00A761DA"/>
    <w:rsid w:val="00A7622A"/>
    <w:rsid w:val="00A76E7A"/>
    <w:rsid w:val="00A76E99"/>
    <w:rsid w:val="00A76EF4"/>
    <w:rsid w:val="00A7734E"/>
    <w:rsid w:val="00A778F1"/>
    <w:rsid w:val="00A77CF4"/>
    <w:rsid w:val="00A800D0"/>
    <w:rsid w:val="00A8087B"/>
    <w:rsid w:val="00A80C2F"/>
    <w:rsid w:val="00A80CCF"/>
    <w:rsid w:val="00A80FAA"/>
    <w:rsid w:val="00A814A2"/>
    <w:rsid w:val="00A81814"/>
    <w:rsid w:val="00A81B00"/>
    <w:rsid w:val="00A81B67"/>
    <w:rsid w:val="00A81BFE"/>
    <w:rsid w:val="00A81D4B"/>
    <w:rsid w:val="00A82284"/>
    <w:rsid w:val="00A826C3"/>
    <w:rsid w:val="00A827F5"/>
    <w:rsid w:val="00A82ADD"/>
    <w:rsid w:val="00A82CDA"/>
    <w:rsid w:val="00A82EBD"/>
    <w:rsid w:val="00A83009"/>
    <w:rsid w:val="00A8301C"/>
    <w:rsid w:val="00A832BA"/>
    <w:rsid w:val="00A8355A"/>
    <w:rsid w:val="00A83587"/>
    <w:rsid w:val="00A8370F"/>
    <w:rsid w:val="00A837ED"/>
    <w:rsid w:val="00A83EA0"/>
    <w:rsid w:val="00A84644"/>
    <w:rsid w:val="00A84B04"/>
    <w:rsid w:val="00A850AF"/>
    <w:rsid w:val="00A8510B"/>
    <w:rsid w:val="00A858EF"/>
    <w:rsid w:val="00A85B35"/>
    <w:rsid w:val="00A85E60"/>
    <w:rsid w:val="00A86330"/>
    <w:rsid w:val="00A86338"/>
    <w:rsid w:val="00A86448"/>
    <w:rsid w:val="00A864C1"/>
    <w:rsid w:val="00A8709D"/>
    <w:rsid w:val="00A87B31"/>
    <w:rsid w:val="00A87B97"/>
    <w:rsid w:val="00A87C94"/>
    <w:rsid w:val="00A87F7A"/>
    <w:rsid w:val="00A90057"/>
    <w:rsid w:val="00A90081"/>
    <w:rsid w:val="00A903D3"/>
    <w:rsid w:val="00A9070B"/>
    <w:rsid w:val="00A90D08"/>
    <w:rsid w:val="00A910D0"/>
    <w:rsid w:val="00A914DE"/>
    <w:rsid w:val="00A923D0"/>
    <w:rsid w:val="00A9248B"/>
    <w:rsid w:val="00A929C3"/>
    <w:rsid w:val="00A92D6A"/>
    <w:rsid w:val="00A931E0"/>
    <w:rsid w:val="00A932B0"/>
    <w:rsid w:val="00A93830"/>
    <w:rsid w:val="00A94194"/>
    <w:rsid w:val="00A941CE"/>
    <w:rsid w:val="00A941E7"/>
    <w:rsid w:val="00A94684"/>
    <w:rsid w:val="00A94BFA"/>
    <w:rsid w:val="00A95400"/>
    <w:rsid w:val="00A95490"/>
    <w:rsid w:val="00A95509"/>
    <w:rsid w:val="00A9561D"/>
    <w:rsid w:val="00A95CD8"/>
    <w:rsid w:val="00A96134"/>
    <w:rsid w:val="00A965E5"/>
    <w:rsid w:val="00A96617"/>
    <w:rsid w:val="00A96A0D"/>
    <w:rsid w:val="00A96A57"/>
    <w:rsid w:val="00A96C1F"/>
    <w:rsid w:val="00A96F49"/>
    <w:rsid w:val="00A977E2"/>
    <w:rsid w:val="00A97B80"/>
    <w:rsid w:val="00A97BBC"/>
    <w:rsid w:val="00A97CB7"/>
    <w:rsid w:val="00AA0532"/>
    <w:rsid w:val="00AA06BD"/>
    <w:rsid w:val="00AA08BD"/>
    <w:rsid w:val="00AA0DDA"/>
    <w:rsid w:val="00AA0E48"/>
    <w:rsid w:val="00AA0E52"/>
    <w:rsid w:val="00AA0E75"/>
    <w:rsid w:val="00AA10CE"/>
    <w:rsid w:val="00AA1620"/>
    <w:rsid w:val="00AA185C"/>
    <w:rsid w:val="00AA1967"/>
    <w:rsid w:val="00AA19E5"/>
    <w:rsid w:val="00AA19F2"/>
    <w:rsid w:val="00AA1D01"/>
    <w:rsid w:val="00AA1D12"/>
    <w:rsid w:val="00AA1EDF"/>
    <w:rsid w:val="00AA20BB"/>
    <w:rsid w:val="00AA20DC"/>
    <w:rsid w:val="00AA23E0"/>
    <w:rsid w:val="00AA23FA"/>
    <w:rsid w:val="00AA256E"/>
    <w:rsid w:val="00AA27FF"/>
    <w:rsid w:val="00AA2806"/>
    <w:rsid w:val="00AA2BCF"/>
    <w:rsid w:val="00AA3ACF"/>
    <w:rsid w:val="00AA3B91"/>
    <w:rsid w:val="00AA4274"/>
    <w:rsid w:val="00AA4297"/>
    <w:rsid w:val="00AA4676"/>
    <w:rsid w:val="00AA488C"/>
    <w:rsid w:val="00AA4CEA"/>
    <w:rsid w:val="00AA51E7"/>
    <w:rsid w:val="00AA5947"/>
    <w:rsid w:val="00AA5F97"/>
    <w:rsid w:val="00AA63BE"/>
    <w:rsid w:val="00AA65EA"/>
    <w:rsid w:val="00AA68EB"/>
    <w:rsid w:val="00AA6BD1"/>
    <w:rsid w:val="00AA6D78"/>
    <w:rsid w:val="00AA6FE3"/>
    <w:rsid w:val="00AA7069"/>
    <w:rsid w:val="00AA75A7"/>
    <w:rsid w:val="00AA7904"/>
    <w:rsid w:val="00AA7925"/>
    <w:rsid w:val="00AA7CFA"/>
    <w:rsid w:val="00AA7D41"/>
    <w:rsid w:val="00AB03F8"/>
    <w:rsid w:val="00AB09DC"/>
    <w:rsid w:val="00AB1065"/>
    <w:rsid w:val="00AB146F"/>
    <w:rsid w:val="00AB160B"/>
    <w:rsid w:val="00AB1AC2"/>
    <w:rsid w:val="00AB1E60"/>
    <w:rsid w:val="00AB1FD9"/>
    <w:rsid w:val="00AB23BB"/>
    <w:rsid w:val="00AB24D8"/>
    <w:rsid w:val="00AB29B6"/>
    <w:rsid w:val="00AB2CD8"/>
    <w:rsid w:val="00AB2F32"/>
    <w:rsid w:val="00AB3198"/>
    <w:rsid w:val="00AB31DE"/>
    <w:rsid w:val="00AB3253"/>
    <w:rsid w:val="00AB34C1"/>
    <w:rsid w:val="00AB379A"/>
    <w:rsid w:val="00AB38F0"/>
    <w:rsid w:val="00AB448D"/>
    <w:rsid w:val="00AB449E"/>
    <w:rsid w:val="00AB4D32"/>
    <w:rsid w:val="00AB4E5F"/>
    <w:rsid w:val="00AB51A1"/>
    <w:rsid w:val="00AB5323"/>
    <w:rsid w:val="00AB53D1"/>
    <w:rsid w:val="00AB5E31"/>
    <w:rsid w:val="00AB6208"/>
    <w:rsid w:val="00AB6330"/>
    <w:rsid w:val="00AB6B70"/>
    <w:rsid w:val="00AB727C"/>
    <w:rsid w:val="00AB7896"/>
    <w:rsid w:val="00AB7B90"/>
    <w:rsid w:val="00AB7CD9"/>
    <w:rsid w:val="00AC0177"/>
    <w:rsid w:val="00AC07FB"/>
    <w:rsid w:val="00AC0929"/>
    <w:rsid w:val="00AC1A5D"/>
    <w:rsid w:val="00AC1CC2"/>
    <w:rsid w:val="00AC20CF"/>
    <w:rsid w:val="00AC28E1"/>
    <w:rsid w:val="00AC2BAF"/>
    <w:rsid w:val="00AC2C2B"/>
    <w:rsid w:val="00AC4478"/>
    <w:rsid w:val="00AC44CF"/>
    <w:rsid w:val="00AC4AE0"/>
    <w:rsid w:val="00AC4EA6"/>
    <w:rsid w:val="00AC518E"/>
    <w:rsid w:val="00AC542E"/>
    <w:rsid w:val="00AC5649"/>
    <w:rsid w:val="00AC582D"/>
    <w:rsid w:val="00AC5A68"/>
    <w:rsid w:val="00AC5AD5"/>
    <w:rsid w:val="00AC5BCE"/>
    <w:rsid w:val="00AC5FCF"/>
    <w:rsid w:val="00AC601F"/>
    <w:rsid w:val="00AC630F"/>
    <w:rsid w:val="00AC6627"/>
    <w:rsid w:val="00AC6704"/>
    <w:rsid w:val="00AC74F6"/>
    <w:rsid w:val="00AC7F26"/>
    <w:rsid w:val="00AD0186"/>
    <w:rsid w:val="00AD0510"/>
    <w:rsid w:val="00AD055D"/>
    <w:rsid w:val="00AD06B7"/>
    <w:rsid w:val="00AD0BD7"/>
    <w:rsid w:val="00AD0C6F"/>
    <w:rsid w:val="00AD0F25"/>
    <w:rsid w:val="00AD1296"/>
    <w:rsid w:val="00AD1A67"/>
    <w:rsid w:val="00AD1A91"/>
    <w:rsid w:val="00AD1B44"/>
    <w:rsid w:val="00AD1B6A"/>
    <w:rsid w:val="00AD2125"/>
    <w:rsid w:val="00AD22C9"/>
    <w:rsid w:val="00AD22E8"/>
    <w:rsid w:val="00AD2329"/>
    <w:rsid w:val="00AD233F"/>
    <w:rsid w:val="00AD25BF"/>
    <w:rsid w:val="00AD286D"/>
    <w:rsid w:val="00AD2A68"/>
    <w:rsid w:val="00AD2E2C"/>
    <w:rsid w:val="00AD2FBB"/>
    <w:rsid w:val="00AD2FC1"/>
    <w:rsid w:val="00AD2FF6"/>
    <w:rsid w:val="00AD3AC7"/>
    <w:rsid w:val="00AD44F0"/>
    <w:rsid w:val="00AD49BD"/>
    <w:rsid w:val="00AD4AF8"/>
    <w:rsid w:val="00AD4C5D"/>
    <w:rsid w:val="00AD4E1E"/>
    <w:rsid w:val="00AD4E2C"/>
    <w:rsid w:val="00AD4EB9"/>
    <w:rsid w:val="00AD5039"/>
    <w:rsid w:val="00AD51B8"/>
    <w:rsid w:val="00AD53EE"/>
    <w:rsid w:val="00AD5735"/>
    <w:rsid w:val="00AD5B2F"/>
    <w:rsid w:val="00AD5D3A"/>
    <w:rsid w:val="00AD5EBF"/>
    <w:rsid w:val="00AD6419"/>
    <w:rsid w:val="00AD64EB"/>
    <w:rsid w:val="00AD6CA7"/>
    <w:rsid w:val="00AD6CE9"/>
    <w:rsid w:val="00AD7099"/>
    <w:rsid w:val="00AD7503"/>
    <w:rsid w:val="00AD7C1F"/>
    <w:rsid w:val="00AD7F20"/>
    <w:rsid w:val="00AD7F38"/>
    <w:rsid w:val="00AE0417"/>
    <w:rsid w:val="00AE0718"/>
    <w:rsid w:val="00AE0B93"/>
    <w:rsid w:val="00AE0E80"/>
    <w:rsid w:val="00AE1045"/>
    <w:rsid w:val="00AE1439"/>
    <w:rsid w:val="00AE168A"/>
    <w:rsid w:val="00AE16E7"/>
    <w:rsid w:val="00AE195A"/>
    <w:rsid w:val="00AE1C25"/>
    <w:rsid w:val="00AE1F2C"/>
    <w:rsid w:val="00AE26DA"/>
    <w:rsid w:val="00AE2705"/>
    <w:rsid w:val="00AE2B40"/>
    <w:rsid w:val="00AE2D6D"/>
    <w:rsid w:val="00AE3213"/>
    <w:rsid w:val="00AE325B"/>
    <w:rsid w:val="00AE343D"/>
    <w:rsid w:val="00AE3665"/>
    <w:rsid w:val="00AE366A"/>
    <w:rsid w:val="00AE39E5"/>
    <w:rsid w:val="00AE3B64"/>
    <w:rsid w:val="00AE3BF4"/>
    <w:rsid w:val="00AE3C64"/>
    <w:rsid w:val="00AE3CD6"/>
    <w:rsid w:val="00AE3FC5"/>
    <w:rsid w:val="00AE411E"/>
    <w:rsid w:val="00AE474E"/>
    <w:rsid w:val="00AE4963"/>
    <w:rsid w:val="00AE4A30"/>
    <w:rsid w:val="00AE4CDB"/>
    <w:rsid w:val="00AE58C8"/>
    <w:rsid w:val="00AE6469"/>
    <w:rsid w:val="00AE6BA3"/>
    <w:rsid w:val="00AE6BC8"/>
    <w:rsid w:val="00AE6CDB"/>
    <w:rsid w:val="00AE6DD5"/>
    <w:rsid w:val="00AE6E02"/>
    <w:rsid w:val="00AE6E0E"/>
    <w:rsid w:val="00AE7500"/>
    <w:rsid w:val="00AE7D50"/>
    <w:rsid w:val="00AE7FB9"/>
    <w:rsid w:val="00AF0953"/>
    <w:rsid w:val="00AF10A5"/>
    <w:rsid w:val="00AF1110"/>
    <w:rsid w:val="00AF1CB0"/>
    <w:rsid w:val="00AF21C6"/>
    <w:rsid w:val="00AF2394"/>
    <w:rsid w:val="00AF25B5"/>
    <w:rsid w:val="00AF3693"/>
    <w:rsid w:val="00AF37F2"/>
    <w:rsid w:val="00AF3975"/>
    <w:rsid w:val="00AF39CA"/>
    <w:rsid w:val="00AF3A3D"/>
    <w:rsid w:val="00AF3B7B"/>
    <w:rsid w:val="00AF3C23"/>
    <w:rsid w:val="00AF41D0"/>
    <w:rsid w:val="00AF450B"/>
    <w:rsid w:val="00AF45E2"/>
    <w:rsid w:val="00AF489E"/>
    <w:rsid w:val="00AF4966"/>
    <w:rsid w:val="00AF49BC"/>
    <w:rsid w:val="00AF4BA6"/>
    <w:rsid w:val="00AF54A0"/>
    <w:rsid w:val="00AF5764"/>
    <w:rsid w:val="00AF5A8D"/>
    <w:rsid w:val="00AF5F9A"/>
    <w:rsid w:val="00AF6439"/>
    <w:rsid w:val="00AF6449"/>
    <w:rsid w:val="00AF6537"/>
    <w:rsid w:val="00AF6CE2"/>
    <w:rsid w:val="00AF75A2"/>
    <w:rsid w:val="00AF775E"/>
    <w:rsid w:val="00AF7843"/>
    <w:rsid w:val="00AF7D04"/>
    <w:rsid w:val="00AF7E48"/>
    <w:rsid w:val="00B00038"/>
    <w:rsid w:val="00B0038A"/>
    <w:rsid w:val="00B005E6"/>
    <w:rsid w:val="00B0064A"/>
    <w:rsid w:val="00B00AC2"/>
    <w:rsid w:val="00B00E51"/>
    <w:rsid w:val="00B0116D"/>
    <w:rsid w:val="00B016F0"/>
    <w:rsid w:val="00B019A8"/>
    <w:rsid w:val="00B01B36"/>
    <w:rsid w:val="00B01B92"/>
    <w:rsid w:val="00B01C07"/>
    <w:rsid w:val="00B01C79"/>
    <w:rsid w:val="00B01D1D"/>
    <w:rsid w:val="00B01FC0"/>
    <w:rsid w:val="00B020B8"/>
    <w:rsid w:val="00B021CE"/>
    <w:rsid w:val="00B028D7"/>
    <w:rsid w:val="00B03A95"/>
    <w:rsid w:val="00B03AF5"/>
    <w:rsid w:val="00B04484"/>
    <w:rsid w:val="00B04649"/>
    <w:rsid w:val="00B04947"/>
    <w:rsid w:val="00B04A58"/>
    <w:rsid w:val="00B05149"/>
    <w:rsid w:val="00B0525A"/>
    <w:rsid w:val="00B0547C"/>
    <w:rsid w:val="00B055B1"/>
    <w:rsid w:val="00B056D1"/>
    <w:rsid w:val="00B0578A"/>
    <w:rsid w:val="00B05891"/>
    <w:rsid w:val="00B0592D"/>
    <w:rsid w:val="00B05AA7"/>
    <w:rsid w:val="00B06379"/>
    <w:rsid w:val="00B064A9"/>
    <w:rsid w:val="00B06A14"/>
    <w:rsid w:val="00B06C0D"/>
    <w:rsid w:val="00B06EA1"/>
    <w:rsid w:val="00B0716A"/>
    <w:rsid w:val="00B07260"/>
    <w:rsid w:val="00B07286"/>
    <w:rsid w:val="00B07AB5"/>
    <w:rsid w:val="00B07BAC"/>
    <w:rsid w:val="00B07D19"/>
    <w:rsid w:val="00B07D1A"/>
    <w:rsid w:val="00B07F7C"/>
    <w:rsid w:val="00B101A4"/>
    <w:rsid w:val="00B10268"/>
    <w:rsid w:val="00B10D3F"/>
    <w:rsid w:val="00B1151E"/>
    <w:rsid w:val="00B116D5"/>
    <w:rsid w:val="00B11700"/>
    <w:rsid w:val="00B11803"/>
    <w:rsid w:val="00B11C1E"/>
    <w:rsid w:val="00B11CBA"/>
    <w:rsid w:val="00B1222D"/>
    <w:rsid w:val="00B12C26"/>
    <w:rsid w:val="00B12DCA"/>
    <w:rsid w:val="00B13975"/>
    <w:rsid w:val="00B14038"/>
    <w:rsid w:val="00B140CD"/>
    <w:rsid w:val="00B1476F"/>
    <w:rsid w:val="00B14AC2"/>
    <w:rsid w:val="00B14B51"/>
    <w:rsid w:val="00B14D0F"/>
    <w:rsid w:val="00B14D47"/>
    <w:rsid w:val="00B14DAD"/>
    <w:rsid w:val="00B14FC1"/>
    <w:rsid w:val="00B150D9"/>
    <w:rsid w:val="00B151FF"/>
    <w:rsid w:val="00B15399"/>
    <w:rsid w:val="00B1565F"/>
    <w:rsid w:val="00B15C2C"/>
    <w:rsid w:val="00B1647D"/>
    <w:rsid w:val="00B1717B"/>
    <w:rsid w:val="00B1752A"/>
    <w:rsid w:val="00B17851"/>
    <w:rsid w:val="00B17912"/>
    <w:rsid w:val="00B17A33"/>
    <w:rsid w:val="00B17C95"/>
    <w:rsid w:val="00B20431"/>
    <w:rsid w:val="00B20432"/>
    <w:rsid w:val="00B20847"/>
    <w:rsid w:val="00B20A27"/>
    <w:rsid w:val="00B21550"/>
    <w:rsid w:val="00B217D4"/>
    <w:rsid w:val="00B21830"/>
    <w:rsid w:val="00B218EB"/>
    <w:rsid w:val="00B218F2"/>
    <w:rsid w:val="00B22215"/>
    <w:rsid w:val="00B22243"/>
    <w:rsid w:val="00B22323"/>
    <w:rsid w:val="00B22682"/>
    <w:rsid w:val="00B2286E"/>
    <w:rsid w:val="00B22923"/>
    <w:rsid w:val="00B22973"/>
    <w:rsid w:val="00B2359D"/>
    <w:rsid w:val="00B236EB"/>
    <w:rsid w:val="00B236F0"/>
    <w:rsid w:val="00B2394A"/>
    <w:rsid w:val="00B239B9"/>
    <w:rsid w:val="00B23C25"/>
    <w:rsid w:val="00B23E1E"/>
    <w:rsid w:val="00B24903"/>
    <w:rsid w:val="00B2495F"/>
    <w:rsid w:val="00B24B30"/>
    <w:rsid w:val="00B24ECE"/>
    <w:rsid w:val="00B25280"/>
    <w:rsid w:val="00B252BD"/>
    <w:rsid w:val="00B2559D"/>
    <w:rsid w:val="00B2560A"/>
    <w:rsid w:val="00B25A64"/>
    <w:rsid w:val="00B25B71"/>
    <w:rsid w:val="00B25BD2"/>
    <w:rsid w:val="00B25C60"/>
    <w:rsid w:val="00B26490"/>
    <w:rsid w:val="00B26605"/>
    <w:rsid w:val="00B26A33"/>
    <w:rsid w:val="00B26E46"/>
    <w:rsid w:val="00B26FE8"/>
    <w:rsid w:val="00B26FF1"/>
    <w:rsid w:val="00B27451"/>
    <w:rsid w:val="00B27463"/>
    <w:rsid w:val="00B2760C"/>
    <w:rsid w:val="00B27AEE"/>
    <w:rsid w:val="00B27C52"/>
    <w:rsid w:val="00B27F74"/>
    <w:rsid w:val="00B30360"/>
    <w:rsid w:val="00B303D4"/>
    <w:rsid w:val="00B3092D"/>
    <w:rsid w:val="00B30B25"/>
    <w:rsid w:val="00B30ED1"/>
    <w:rsid w:val="00B31044"/>
    <w:rsid w:val="00B314DB"/>
    <w:rsid w:val="00B31546"/>
    <w:rsid w:val="00B31B5F"/>
    <w:rsid w:val="00B3219B"/>
    <w:rsid w:val="00B324F5"/>
    <w:rsid w:val="00B33710"/>
    <w:rsid w:val="00B33925"/>
    <w:rsid w:val="00B33F24"/>
    <w:rsid w:val="00B3424E"/>
    <w:rsid w:val="00B34448"/>
    <w:rsid w:val="00B346E4"/>
    <w:rsid w:val="00B347CB"/>
    <w:rsid w:val="00B348D7"/>
    <w:rsid w:val="00B349A3"/>
    <w:rsid w:val="00B34D44"/>
    <w:rsid w:val="00B35072"/>
    <w:rsid w:val="00B351EA"/>
    <w:rsid w:val="00B35343"/>
    <w:rsid w:val="00B35359"/>
    <w:rsid w:val="00B3562D"/>
    <w:rsid w:val="00B35B7B"/>
    <w:rsid w:val="00B3604D"/>
    <w:rsid w:val="00B36329"/>
    <w:rsid w:val="00B364E6"/>
    <w:rsid w:val="00B3650A"/>
    <w:rsid w:val="00B3665B"/>
    <w:rsid w:val="00B36752"/>
    <w:rsid w:val="00B36859"/>
    <w:rsid w:val="00B36E90"/>
    <w:rsid w:val="00B37138"/>
    <w:rsid w:val="00B37763"/>
    <w:rsid w:val="00B378FC"/>
    <w:rsid w:val="00B37E09"/>
    <w:rsid w:val="00B37F6E"/>
    <w:rsid w:val="00B400C9"/>
    <w:rsid w:val="00B4046C"/>
    <w:rsid w:val="00B406D0"/>
    <w:rsid w:val="00B409DD"/>
    <w:rsid w:val="00B40A4B"/>
    <w:rsid w:val="00B40C4F"/>
    <w:rsid w:val="00B40D5D"/>
    <w:rsid w:val="00B40FC0"/>
    <w:rsid w:val="00B4135F"/>
    <w:rsid w:val="00B413BC"/>
    <w:rsid w:val="00B41593"/>
    <w:rsid w:val="00B4175F"/>
    <w:rsid w:val="00B4176C"/>
    <w:rsid w:val="00B4186B"/>
    <w:rsid w:val="00B419EE"/>
    <w:rsid w:val="00B41B54"/>
    <w:rsid w:val="00B42400"/>
    <w:rsid w:val="00B42406"/>
    <w:rsid w:val="00B4242C"/>
    <w:rsid w:val="00B4246E"/>
    <w:rsid w:val="00B42491"/>
    <w:rsid w:val="00B426EE"/>
    <w:rsid w:val="00B42901"/>
    <w:rsid w:val="00B42A08"/>
    <w:rsid w:val="00B42C00"/>
    <w:rsid w:val="00B42D49"/>
    <w:rsid w:val="00B42E84"/>
    <w:rsid w:val="00B42F4F"/>
    <w:rsid w:val="00B43427"/>
    <w:rsid w:val="00B43863"/>
    <w:rsid w:val="00B4395C"/>
    <w:rsid w:val="00B43AB1"/>
    <w:rsid w:val="00B43AF2"/>
    <w:rsid w:val="00B43FC3"/>
    <w:rsid w:val="00B453A6"/>
    <w:rsid w:val="00B453DB"/>
    <w:rsid w:val="00B4541D"/>
    <w:rsid w:val="00B45FDC"/>
    <w:rsid w:val="00B46346"/>
    <w:rsid w:val="00B4638E"/>
    <w:rsid w:val="00B465E9"/>
    <w:rsid w:val="00B4663A"/>
    <w:rsid w:val="00B46678"/>
    <w:rsid w:val="00B46B05"/>
    <w:rsid w:val="00B46CDD"/>
    <w:rsid w:val="00B46F0D"/>
    <w:rsid w:val="00B47556"/>
    <w:rsid w:val="00B475A7"/>
    <w:rsid w:val="00B478F1"/>
    <w:rsid w:val="00B47BF9"/>
    <w:rsid w:val="00B47CDB"/>
    <w:rsid w:val="00B47E99"/>
    <w:rsid w:val="00B47F01"/>
    <w:rsid w:val="00B47F8C"/>
    <w:rsid w:val="00B50111"/>
    <w:rsid w:val="00B502D8"/>
    <w:rsid w:val="00B50626"/>
    <w:rsid w:val="00B50809"/>
    <w:rsid w:val="00B512C3"/>
    <w:rsid w:val="00B51567"/>
    <w:rsid w:val="00B51C74"/>
    <w:rsid w:val="00B5205A"/>
    <w:rsid w:val="00B520BC"/>
    <w:rsid w:val="00B5210D"/>
    <w:rsid w:val="00B52124"/>
    <w:rsid w:val="00B52260"/>
    <w:rsid w:val="00B52752"/>
    <w:rsid w:val="00B52A0E"/>
    <w:rsid w:val="00B5352E"/>
    <w:rsid w:val="00B53538"/>
    <w:rsid w:val="00B53BA8"/>
    <w:rsid w:val="00B53C78"/>
    <w:rsid w:val="00B540E2"/>
    <w:rsid w:val="00B54251"/>
    <w:rsid w:val="00B543C5"/>
    <w:rsid w:val="00B54412"/>
    <w:rsid w:val="00B54553"/>
    <w:rsid w:val="00B545C2"/>
    <w:rsid w:val="00B54842"/>
    <w:rsid w:val="00B54AA1"/>
    <w:rsid w:val="00B54B55"/>
    <w:rsid w:val="00B54C55"/>
    <w:rsid w:val="00B54D92"/>
    <w:rsid w:val="00B5565B"/>
    <w:rsid w:val="00B55E9E"/>
    <w:rsid w:val="00B55F7F"/>
    <w:rsid w:val="00B56602"/>
    <w:rsid w:val="00B5662E"/>
    <w:rsid w:val="00B567F7"/>
    <w:rsid w:val="00B56D06"/>
    <w:rsid w:val="00B56E3C"/>
    <w:rsid w:val="00B57258"/>
    <w:rsid w:val="00B572B8"/>
    <w:rsid w:val="00B5772D"/>
    <w:rsid w:val="00B60175"/>
    <w:rsid w:val="00B60255"/>
    <w:rsid w:val="00B60407"/>
    <w:rsid w:val="00B60409"/>
    <w:rsid w:val="00B609C9"/>
    <w:rsid w:val="00B609CD"/>
    <w:rsid w:val="00B60B01"/>
    <w:rsid w:val="00B60D4C"/>
    <w:rsid w:val="00B60EFB"/>
    <w:rsid w:val="00B60F39"/>
    <w:rsid w:val="00B60F9F"/>
    <w:rsid w:val="00B610B9"/>
    <w:rsid w:val="00B610DA"/>
    <w:rsid w:val="00B6113D"/>
    <w:rsid w:val="00B61174"/>
    <w:rsid w:val="00B61238"/>
    <w:rsid w:val="00B61262"/>
    <w:rsid w:val="00B6141E"/>
    <w:rsid w:val="00B614DD"/>
    <w:rsid w:val="00B6151F"/>
    <w:rsid w:val="00B61710"/>
    <w:rsid w:val="00B6196C"/>
    <w:rsid w:val="00B6200A"/>
    <w:rsid w:val="00B62473"/>
    <w:rsid w:val="00B62990"/>
    <w:rsid w:val="00B62ACE"/>
    <w:rsid w:val="00B62E3D"/>
    <w:rsid w:val="00B62E73"/>
    <w:rsid w:val="00B62FDB"/>
    <w:rsid w:val="00B634F3"/>
    <w:rsid w:val="00B63759"/>
    <w:rsid w:val="00B641E6"/>
    <w:rsid w:val="00B644BE"/>
    <w:rsid w:val="00B64807"/>
    <w:rsid w:val="00B64D16"/>
    <w:rsid w:val="00B64E3C"/>
    <w:rsid w:val="00B653FD"/>
    <w:rsid w:val="00B65884"/>
    <w:rsid w:val="00B659D6"/>
    <w:rsid w:val="00B65EC5"/>
    <w:rsid w:val="00B65FD6"/>
    <w:rsid w:val="00B6600A"/>
    <w:rsid w:val="00B6614D"/>
    <w:rsid w:val="00B6635C"/>
    <w:rsid w:val="00B663F5"/>
    <w:rsid w:val="00B663FE"/>
    <w:rsid w:val="00B6640A"/>
    <w:rsid w:val="00B664DF"/>
    <w:rsid w:val="00B66821"/>
    <w:rsid w:val="00B66981"/>
    <w:rsid w:val="00B66B1C"/>
    <w:rsid w:val="00B66B83"/>
    <w:rsid w:val="00B6708D"/>
    <w:rsid w:val="00B67308"/>
    <w:rsid w:val="00B67C17"/>
    <w:rsid w:val="00B7026D"/>
    <w:rsid w:val="00B709BA"/>
    <w:rsid w:val="00B70F5A"/>
    <w:rsid w:val="00B70F6F"/>
    <w:rsid w:val="00B7103B"/>
    <w:rsid w:val="00B71301"/>
    <w:rsid w:val="00B71BAB"/>
    <w:rsid w:val="00B72040"/>
    <w:rsid w:val="00B72113"/>
    <w:rsid w:val="00B72307"/>
    <w:rsid w:val="00B725D5"/>
    <w:rsid w:val="00B7282B"/>
    <w:rsid w:val="00B72A52"/>
    <w:rsid w:val="00B7315F"/>
    <w:rsid w:val="00B73838"/>
    <w:rsid w:val="00B738AB"/>
    <w:rsid w:val="00B73C5D"/>
    <w:rsid w:val="00B73C70"/>
    <w:rsid w:val="00B73F1C"/>
    <w:rsid w:val="00B7406D"/>
    <w:rsid w:val="00B740D2"/>
    <w:rsid w:val="00B7453E"/>
    <w:rsid w:val="00B74C44"/>
    <w:rsid w:val="00B74C8B"/>
    <w:rsid w:val="00B74D76"/>
    <w:rsid w:val="00B74F7E"/>
    <w:rsid w:val="00B75108"/>
    <w:rsid w:val="00B7523D"/>
    <w:rsid w:val="00B75284"/>
    <w:rsid w:val="00B75433"/>
    <w:rsid w:val="00B754D4"/>
    <w:rsid w:val="00B75994"/>
    <w:rsid w:val="00B75C88"/>
    <w:rsid w:val="00B760CD"/>
    <w:rsid w:val="00B764CB"/>
    <w:rsid w:val="00B76C9E"/>
    <w:rsid w:val="00B76DEC"/>
    <w:rsid w:val="00B76E94"/>
    <w:rsid w:val="00B7711A"/>
    <w:rsid w:val="00B77213"/>
    <w:rsid w:val="00B77579"/>
    <w:rsid w:val="00B77608"/>
    <w:rsid w:val="00B7768A"/>
    <w:rsid w:val="00B77FA7"/>
    <w:rsid w:val="00B80168"/>
    <w:rsid w:val="00B801E6"/>
    <w:rsid w:val="00B8040E"/>
    <w:rsid w:val="00B806FB"/>
    <w:rsid w:val="00B8093B"/>
    <w:rsid w:val="00B80EBF"/>
    <w:rsid w:val="00B812A9"/>
    <w:rsid w:val="00B816D5"/>
    <w:rsid w:val="00B81878"/>
    <w:rsid w:val="00B81BB7"/>
    <w:rsid w:val="00B81E08"/>
    <w:rsid w:val="00B82102"/>
    <w:rsid w:val="00B8256C"/>
    <w:rsid w:val="00B828BD"/>
    <w:rsid w:val="00B829D4"/>
    <w:rsid w:val="00B82C32"/>
    <w:rsid w:val="00B82CA8"/>
    <w:rsid w:val="00B82FE9"/>
    <w:rsid w:val="00B8303C"/>
    <w:rsid w:val="00B8313C"/>
    <w:rsid w:val="00B834E4"/>
    <w:rsid w:val="00B83905"/>
    <w:rsid w:val="00B83ADD"/>
    <w:rsid w:val="00B83C1A"/>
    <w:rsid w:val="00B83C6C"/>
    <w:rsid w:val="00B8467D"/>
    <w:rsid w:val="00B84ABC"/>
    <w:rsid w:val="00B84DB1"/>
    <w:rsid w:val="00B85119"/>
    <w:rsid w:val="00B853AA"/>
    <w:rsid w:val="00B8540C"/>
    <w:rsid w:val="00B856D6"/>
    <w:rsid w:val="00B856E8"/>
    <w:rsid w:val="00B85AA5"/>
    <w:rsid w:val="00B85B29"/>
    <w:rsid w:val="00B85F39"/>
    <w:rsid w:val="00B86032"/>
    <w:rsid w:val="00B86317"/>
    <w:rsid w:val="00B86373"/>
    <w:rsid w:val="00B86A70"/>
    <w:rsid w:val="00B86B23"/>
    <w:rsid w:val="00B87019"/>
    <w:rsid w:val="00B871C5"/>
    <w:rsid w:val="00B87437"/>
    <w:rsid w:val="00B8770F"/>
    <w:rsid w:val="00B877CC"/>
    <w:rsid w:val="00B87CCF"/>
    <w:rsid w:val="00B87E2E"/>
    <w:rsid w:val="00B9013B"/>
    <w:rsid w:val="00B902F9"/>
    <w:rsid w:val="00B90505"/>
    <w:rsid w:val="00B90540"/>
    <w:rsid w:val="00B90B03"/>
    <w:rsid w:val="00B90C33"/>
    <w:rsid w:val="00B90DBD"/>
    <w:rsid w:val="00B90DDE"/>
    <w:rsid w:val="00B90EAF"/>
    <w:rsid w:val="00B914D6"/>
    <w:rsid w:val="00B914DC"/>
    <w:rsid w:val="00B919DD"/>
    <w:rsid w:val="00B91CDA"/>
    <w:rsid w:val="00B91E7D"/>
    <w:rsid w:val="00B92174"/>
    <w:rsid w:val="00B92361"/>
    <w:rsid w:val="00B923E5"/>
    <w:rsid w:val="00B9253D"/>
    <w:rsid w:val="00B93313"/>
    <w:rsid w:val="00B935C2"/>
    <w:rsid w:val="00B93713"/>
    <w:rsid w:val="00B9381B"/>
    <w:rsid w:val="00B9389B"/>
    <w:rsid w:val="00B9399F"/>
    <w:rsid w:val="00B93D3F"/>
    <w:rsid w:val="00B93F6D"/>
    <w:rsid w:val="00B9410F"/>
    <w:rsid w:val="00B947D3"/>
    <w:rsid w:val="00B94B97"/>
    <w:rsid w:val="00B952CA"/>
    <w:rsid w:val="00B953F9"/>
    <w:rsid w:val="00B954C4"/>
    <w:rsid w:val="00B95514"/>
    <w:rsid w:val="00B95542"/>
    <w:rsid w:val="00B95B17"/>
    <w:rsid w:val="00B95D6C"/>
    <w:rsid w:val="00B95E37"/>
    <w:rsid w:val="00B9612C"/>
    <w:rsid w:val="00B96D35"/>
    <w:rsid w:val="00B96FDB"/>
    <w:rsid w:val="00B977C4"/>
    <w:rsid w:val="00B97AB3"/>
    <w:rsid w:val="00B97B32"/>
    <w:rsid w:val="00B97B37"/>
    <w:rsid w:val="00B97B8E"/>
    <w:rsid w:val="00B97E32"/>
    <w:rsid w:val="00BA0229"/>
    <w:rsid w:val="00BA03B8"/>
    <w:rsid w:val="00BA0431"/>
    <w:rsid w:val="00BA0749"/>
    <w:rsid w:val="00BA0885"/>
    <w:rsid w:val="00BA0E85"/>
    <w:rsid w:val="00BA136F"/>
    <w:rsid w:val="00BA196C"/>
    <w:rsid w:val="00BA1CFD"/>
    <w:rsid w:val="00BA20C9"/>
    <w:rsid w:val="00BA2302"/>
    <w:rsid w:val="00BA2385"/>
    <w:rsid w:val="00BA298F"/>
    <w:rsid w:val="00BA2B04"/>
    <w:rsid w:val="00BA2C24"/>
    <w:rsid w:val="00BA2C8B"/>
    <w:rsid w:val="00BA2EC2"/>
    <w:rsid w:val="00BA3077"/>
    <w:rsid w:val="00BA38A2"/>
    <w:rsid w:val="00BA3B59"/>
    <w:rsid w:val="00BA3E7E"/>
    <w:rsid w:val="00BA3E8C"/>
    <w:rsid w:val="00BA4190"/>
    <w:rsid w:val="00BA463E"/>
    <w:rsid w:val="00BA493B"/>
    <w:rsid w:val="00BA4B2B"/>
    <w:rsid w:val="00BA4BE9"/>
    <w:rsid w:val="00BA539D"/>
    <w:rsid w:val="00BA543D"/>
    <w:rsid w:val="00BA5675"/>
    <w:rsid w:val="00BA57E1"/>
    <w:rsid w:val="00BA5AD2"/>
    <w:rsid w:val="00BA5DDE"/>
    <w:rsid w:val="00BA607E"/>
    <w:rsid w:val="00BA6195"/>
    <w:rsid w:val="00BA61D6"/>
    <w:rsid w:val="00BA63B2"/>
    <w:rsid w:val="00BA64AF"/>
    <w:rsid w:val="00BA66A3"/>
    <w:rsid w:val="00BA6E39"/>
    <w:rsid w:val="00BA7108"/>
    <w:rsid w:val="00BA79E8"/>
    <w:rsid w:val="00BA7A53"/>
    <w:rsid w:val="00BA7B69"/>
    <w:rsid w:val="00BA7C0C"/>
    <w:rsid w:val="00BA7CFF"/>
    <w:rsid w:val="00BA7EBD"/>
    <w:rsid w:val="00BB031C"/>
    <w:rsid w:val="00BB0513"/>
    <w:rsid w:val="00BB0BFE"/>
    <w:rsid w:val="00BB0D99"/>
    <w:rsid w:val="00BB0F61"/>
    <w:rsid w:val="00BB0FE7"/>
    <w:rsid w:val="00BB10DA"/>
    <w:rsid w:val="00BB1234"/>
    <w:rsid w:val="00BB187C"/>
    <w:rsid w:val="00BB1B9C"/>
    <w:rsid w:val="00BB210A"/>
    <w:rsid w:val="00BB2492"/>
    <w:rsid w:val="00BB24B0"/>
    <w:rsid w:val="00BB2635"/>
    <w:rsid w:val="00BB2875"/>
    <w:rsid w:val="00BB331E"/>
    <w:rsid w:val="00BB35E2"/>
    <w:rsid w:val="00BB3963"/>
    <w:rsid w:val="00BB3B00"/>
    <w:rsid w:val="00BB3E92"/>
    <w:rsid w:val="00BB3EE9"/>
    <w:rsid w:val="00BB400F"/>
    <w:rsid w:val="00BB4287"/>
    <w:rsid w:val="00BB43CD"/>
    <w:rsid w:val="00BB4606"/>
    <w:rsid w:val="00BB48EF"/>
    <w:rsid w:val="00BB525C"/>
    <w:rsid w:val="00BB5433"/>
    <w:rsid w:val="00BB5CCB"/>
    <w:rsid w:val="00BB5ED9"/>
    <w:rsid w:val="00BB6244"/>
    <w:rsid w:val="00BB64EA"/>
    <w:rsid w:val="00BB6B4C"/>
    <w:rsid w:val="00BB6BB5"/>
    <w:rsid w:val="00BB6C31"/>
    <w:rsid w:val="00BB6F95"/>
    <w:rsid w:val="00BB6FAA"/>
    <w:rsid w:val="00BB7718"/>
    <w:rsid w:val="00BB7853"/>
    <w:rsid w:val="00BC014A"/>
    <w:rsid w:val="00BC05CB"/>
    <w:rsid w:val="00BC0A73"/>
    <w:rsid w:val="00BC0A8A"/>
    <w:rsid w:val="00BC0FEF"/>
    <w:rsid w:val="00BC13ED"/>
    <w:rsid w:val="00BC13FA"/>
    <w:rsid w:val="00BC14F9"/>
    <w:rsid w:val="00BC19EC"/>
    <w:rsid w:val="00BC1BBF"/>
    <w:rsid w:val="00BC222D"/>
    <w:rsid w:val="00BC24DE"/>
    <w:rsid w:val="00BC2F5B"/>
    <w:rsid w:val="00BC32DB"/>
    <w:rsid w:val="00BC3708"/>
    <w:rsid w:val="00BC3809"/>
    <w:rsid w:val="00BC3F3A"/>
    <w:rsid w:val="00BC405B"/>
    <w:rsid w:val="00BC4557"/>
    <w:rsid w:val="00BC4606"/>
    <w:rsid w:val="00BC4661"/>
    <w:rsid w:val="00BC488D"/>
    <w:rsid w:val="00BC4A6C"/>
    <w:rsid w:val="00BC4AC2"/>
    <w:rsid w:val="00BC4B26"/>
    <w:rsid w:val="00BC4B7E"/>
    <w:rsid w:val="00BC4EC1"/>
    <w:rsid w:val="00BC5C12"/>
    <w:rsid w:val="00BC5CDF"/>
    <w:rsid w:val="00BC5CE1"/>
    <w:rsid w:val="00BC61EF"/>
    <w:rsid w:val="00BC6300"/>
    <w:rsid w:val="00BC6343"/>
    <w:rsid w:val="00BC64A7"/>
    <w:rsid w:val="00BC6B6F"/>
    <w:rsid w:val="00BC6D13"/>
    <w:rsid w:val="00BC7216"/>
    <w:rsid w:val="00BC73AB"/>
    <w:rsid w:val="00BC74E1"/>
    <w:rsid w:val="00BC7584"/>
    <w:rsid w:val="00BC76F1"/>
    <w:rsid w:val="00BC7B1C"/>
    <w:rsid w:val="00BC7C6D"/>
    <w:rsid w:val="00BC7F84"/>
    <w:rsid w:val="00BD012E"/>
    <w:rsid w:val="00BD0254"/>
    <w:rsid w:val="00BD04B8"/>
    <w:rsid w:val="00BD066E"/>
    <w:rsid w:val="00BD075D"/>
    <w:rsid w:val="00BD092D"/>
    <w:rsid w:val="00BD09B3"/>
    <w:rsid w:val="00BD0C3A"/>
    <w:rsid w:val="00BD0E99"/>
    <w:rsid w:val="00BD0FFA"/>
    <w:rsid w:val="00BD13B4"/>
    <w:rsid w:val="00BD1461"/>
    <w:rsid w:val="00BD1A71"/>
    <w:rsid w:val="00BD1A7D"/>
    <w:rsid w:val="00BD1B9C"/>
    <w:rsid w:val="00BD1D56"/>
    <w:rsid w:val="00BD1FE8"/>
    <w:rsid w:val="00BD25B0"/>
    <w:rsid w:val="00BD29C6"/>
    <w:rsid w:val="00BD2A4F"/>
    <w:rsid w:val="00BD2ADB"/>
    <w:rsid w:val="00BD3207"/>
    <w:rsid w:val="00BD34CA"/>
    <w:rsid w:val="00BD3628"/>
    <w:rsid w:val="00BD3E46"/>
    <w:rsid w:val="00BD418C"/>
    <w:rsid w:val="00BD46AB"/>
    <w:rsid w:val="00BD46DD"/>
    <w:rsid w:val="00BD4A3D"/>
    <w:rsid w:val="00BD4B79"/>
    <w:rsid w:val="00BD4BBF"/>
    <w:rsid w:val="00BD4D4D"/>
    <w:rsid w:val="00BD5CE7"/>
    <w:rsid w:val="00BD5EDD"/>
    <w:rsid w:val="00BD5F5C"/>
    <w:rsid w:val="00BD5FFD"/>
    <w:rsid w:val="00BD6043"/>
    <w:rsid w:val="00BD60DE"/>
    <w:rsid w:val="00BD6210"/>
    <w:rsid w:val="00BD6A5F"/>
    <w:rsid w:val="00BD7444"/>
    <w:rsid w:val="00BD74C7"/>
    <w:rsid w:val="00BD7A71"/>
    <w:rsid w:val="00BD7FDA"/>
    <w:rsid w:val="00BE01D2"/>
    <w:rsid w:val="00BE070D"/>
    <w:rsid w:val="00BE0BBC"/>
    <w:rsid w:val="00BE0F86"/>
    <w:rsid w:val="00BE1C6E"/>
    <w:rsid w:val="00BE1D83"/>
    <w:rsid w:val="00BE25D4"/>
    <w:rsid w:val="00BE27EF"/>
    <w:rsid w:val="00BE28ED"/>
    <w:rsid w:val="00BE2CB5"/>
    <w:rsid w:val="00BE352A"/>
    <w:rsid w:val="00BE3B26"/>
    <w:rsid w:val="00BE3F9E"/>
    <w:rsid w:val="00BE3FB6"/>
    <w:rsid w:val="00BE4005"/>
    <w:rsid w:val="00BE40D7"/>
    <w:rsid w:val="00BE44EE"/>
    <w:rsid w:val="00BE48F7"/>
    <w:rsid w:val="00BE4B7D"/>
    <w:rsid w:val="00BE5244"/>
    <w:rsid w:val="00BE5806"/>
    <w:rsid w:val="00BE59E1"/>
    <w:rsid w:val="00BE5C0E"/>
    <w:rsid w:val="00BE5D51"/>
    <w:rsid w:val="00BE5E5B"/>
    <w:rsid w:val="00BE61AB"/>
    <w:rsid w:val="00BE7FE5"/>
    <w:rsid w:val="00BF00AB"/>
    <w:rsid w:val="00BF00D4"/>
    <w:rsid w:val="00BF0147"/>
    <w:rsid w:val="00BF0A16"/>
    <w:rsid w:val="00BF0B0A"/>
    <w:rsid w:val="00BF0BE8"/>
    <w:rsid w:val="00BF0CC3"/>
    <w:rsid w:val="00BF0D10"/>
    <w:rsid w:val="00BF0DA0"/>
    <w:rsid w:val="00BF0E72"/>
    <w:rsid w:val="00BF113A"/>
    <w:rsid w:val="00BF1525"/>
    <w:rsid w:val="00BF152B"/>
    <w:rsid w:val="00BF1DB4"/>
    <w:rsid w:val="00BF1EFF"/>
    <w:rsid w:val="00BF237E"/>
    <w:rsid w:val="00BF251C"/>
    <w:rsid w:val="00BF2798"/>
    <w:rsid w:val="00BF2BB5"/>
    <w:rsid w:val="00BF2E1B"/>
    <w:rsid w:val="00BF368E"/>
    <w:rsid w:val="00BF3758"/>
    <w:rsid w:val="00BF393D"/>
    <w:rsid w:val="00BF3ABB"/>
    <w:rsid w:val="00BF3D69"/>
    <w:rsid w:val="00BF3D95"/>
    <w:rsid w:val="00BF4541"/>
    <w:rsid w:val="00BF47CE"/>
    <w:rsid w:val="00BF48A5"/>
    <w:rsid w:val="00BF493A"/>
    <w:rsid w:val="00BF49F9"/>
    <w:rsid w:val="00BF4ADF"/>
    <w:rsid w:val="00BF4E45"/>
    <w:rsid w:val="00BF510C"/>
    <w:rsid w:val="00BF53E5"/>
    <w:rsid w:val="00BF5A69"/>
    <w:rsid w:val="00BF611B"/>
    <w:rsid w:val="00BF6A7A"/>
    <w:rsid w:val="00BF6C10"/>
    <w:rsid w:val="00BF6EF9"/>
    <w:rsid w:val="00C00583"/>
    <w:rsid w:val="00C005E6"/>
    <w:rsid w:val="00C00C83"/>
    <w:rsid w:val="00C00CAA"/>
    <w:rsid w:val="00C00D9E"/>
    <w:rsid w:val="00C0130C"/>
    <w:rsid w:val="00C01492"/>
    <w:rsid w:val="00C017BA"/>
    <w:rsid w:val="00C01B7D"/>
    <w:rsid w:val="00C01C05"/>
    <w:rsid w:val="00C01C86"/>
    <w:rsid w:val="00C01CF7"/>
    <w:rsid w:val="00C01DDD"/>
    <w:rsid w:val="00C023A8"/>
    <w:rsid w:val="00C02645"/>
    <w:rsid w:val="00C02918"/>
    <w:rsid w:val="00C02BBD"/>
    <w:rsid w:val="00C02D80"/>
    <w:rsid w:val="00C030A2"/>
    <w:rsid w:val="00C030DD"/>
    <w:rsid w:val="00C0317D"/>
    <w:rsid w:val="00C03319"/>
    <w:rsid w:val="00C03ADE"/>
    <w:rsid w:val="00C03B99"/>
    <w:rsid w:val="00C03F4C"/>
    <w:rsid w:val="00C04739"/>
    <w:rsid w:val="00C048E0"/>
    <w:rsid w:val="00C049B0"/>
    <w:rsid w:val="00C04D60"/>
    <w:rsid w:val="00C04F0D"/>
    <w:rsid w:val="00C04FF1"/>
    <w:rsid w:val="00C05030"/>
    <w:rsid w:val="00C0509E"/>
    <w:rsid w:val="00C05117"/>
    <w:rsid w:val="00C05AC4"/>
    <w:rsid w:val="00C05E74"/>
    <w:rsid w:val="00C06436"/>
    <w:rsid w:val="00C06500"/>
    <w:rsid w:val="00C0682A"/>
    <w:rsid w:val="00C06A30"/>
    <w:rsid w:val="00C06E8B"/>
    <w:rsid w:val="00C07052"/>
    <w:rsid w:val="00C070F0"/>
    <w:rsid w:val="00C07AFD"/>
    <w:rsid w:val="00C10D99"/>
    <w:rsid w:val="00C116E6"/>
    <w:rsid w:val="00C11BC9"/>
    <w:rsid w:val="00C11C60"/>
    <w:rsid w:val="00C11E0C"/>
    <w:rsid w:val="00C12174"/>
    <w:rsid w:val="00C12D77"/>
    <w:rsid w:val="00C12DAB"/>
    <w:rsid w:val="00C139C4"/>
    <w:rsid w:val="00C139FD"/>
    <w:rsid w:val="00C13B9D"/>
    <w:rsid w:val="00C1426B"/>
    <w:rsid w:val="00C14658"/>
    <w:rsid w:val="00C147E0"/>
    <w:rsid w:val="00C14897"/>
    <w:rsid w:val="00C150E9"/>
    <w:rsid w:val="00C1516D"/>
    <w:rsid w:val="00C152AC"/>
    <w:rsid w:val="00C156C6"/>
    <w:rsid w:val="00C157A5"/>
    <w:rsid w:val="00C15C93"/>
    <w:rsid w:val="00C15DC2"/>
    <w:rsid w:val="00C16045"/>
    <w:rsid w:val="00C161B4"/>
    <w:rsid w:val="00C163E6"/>
    <w:rsid w:val="00C1644C"/>
    <w:rsid w:val="00C16577"/>
    <w:rsid w:val="00C169D3"/>
    <w:rsid w:val="00C1726C"/>
    <w:rsid w:val="00C173E8"/>
    <w:rsid w:val="00C1743C"/>
    <w:rsid w:val="00C17676"/>
    <w:rsid w:val="00C206E7"/>
    <w:rsid w:val="00C2096D"/>
    <w:rsid w:val="00C20993"/>
    <w:rsid w:val="00C209E3"/>
    <w:rsid w:val="00C20A38"/>
    <w:rsid w:val="00C20B25"/>
    <w:rsid w:val="00C20CC9"/>
    <w:rsid w:val="00C20D4D"/>
    <w:rsid w:val="00C20E59"/>
    <w:rsid w:val="00C21022"/>
    <w:rsid w:val="00C215EB"/>
    <w:rsid w:val="00C21822"/>
    <w:rsid w:val="00C21CBB"/>
    <w:rsid w:val="00C226F5"/>
    <w:rsid w:val="00C22892"/>
    <w:rsid w:val="00C228C4"/>
    <w:rsid w:val="00C2296F"/>
    <w:rsid w:val="00C22BCE"/>
    <w:rsid w:val="00C22FD4"/>
    <w:rsid w:val="00C23709"/>
    <w:rsid w:val="00C23726"/>
    <w:rsid w:val="00C239FF"/>
    <w:rsid w:val="00C23C87"/>
    <w:rsid w:val="00C23EAF"/>
    <w:rsid w:val="00C23EF6"/>
    <w:rsid w:val="00C23F43"/>
    <w:rsid w:val="00C2466F"/>
    <w:rsid w:val="00C24846"/>
    <w:rsid w:val="00C24E0B"/>
    <w:rsid w:val="00C25273"/>
    <w:rsid w:val="00C252D0"/>
    <w:rsid w:val="00C25490"/>
    <w:rsid w:val="00C2597C"/>
    <w:rsid w:val="00C259E9"/>
    <w:rsid w:val="00C25C23"/>
    <w:rsid w:val="00C25E3C"/>
    <w:rsid w:val="00C26040"/>
    <w:rsid w:val="00C2616E"/>
    <w:rsid w:val="00C26190"/>
    <w:rsid w:val="00C261CF"/>
    <w:rsid w:val="00C26297"/>
    <w:rsid w:val="00C2675B"/>
    <w:rsid w:val="00C26843"/>
    <w:rsid w:val="00C26D07"/>
    <w:rsid w:val="00C274D1"/>
    <w:rsid w:val="00C2758C"/>
    <w:rsid w:val="00C279EA"/>
    <w:rsid w:val="00C27CB9"/>
    <w:rsid w:val="00C27E8D"/>
    <w:rsid w:val="00C27F3E"/>
    <w:rsid w:val="00C302B1"/>
    <w:rsid w:val="00C30623"/>
    <w:rsid w:val="00C30921"/>
    <w:rsid w:val="00C30E01"/>
    <w:rsid w:val="00C30F1C"/>
    <w:rsid w:val="00C310A6"/>
    <w:rsid w:val="00C313A1"/>
    <w:rsid w:val="00C31612"/>
    <w:rsid w:val="00C3161D"/>
    <w:rsid w:val="00C31A1F"/>
    <w:rsid w:val="00C31D8C"/>
    <w:rsid w:val="00C32170"/>
    <w:rsid w:val="00C32210"/>
    <w:rsid w:val="00C32250"/>
    <w:rsid w:val="00C32370"/>
    <w:rsid w:val="00C327A2"/>
    <w:rsid w:val="00C32A42"/>
    <w:rsid w:val="00C33067"/>
    <w:rsid w:val="00C33430"/>
    <w:rsid w:val="00C3345C"/>
    <w:rsid w:val="00C334A0"/>
    <w:rsid w:val="00C337AE"/>
    <w:rsid w:val="00C33806"/>
    <w:rsid w:val="00C33BB0"/>
    <w:rsid w:val="00C33C46"/>
    <w:rsid w:val="00C34313"/>
    <w:rsid w:val="00C345BA"/>
    <w:rsid w:val="00C3471C"/>
    <w:rsid w:val="00C347CB"/>
    <w:rsid w:val="00C34E7C"/>
    <w:rsid w:val="00C34F74"/>
    <w:rsid w:val="00C350E6"/>
    <w:rsid w:val="00C356CC"/>
    <w:rsid w:val="00C357CE"/>
    <w:rsid w:val="00C35A76"/>
    <w:rsid w:val="00C36094"/>
    <w:rsid w:val="00C36421"/>
    <w:rsid w:val="00C36A74"/>
    <w:rsid w:val="00C36AD1"/>
    <w:rsid w:val="00C36E85"/>
    <w:rsid w:val="00C37298"/>
    <w:rsid w:val="00C373F0"/>
    <w:rsid w:val="00C37509"/>
    <w:rsid w:val="00C375BC"/>
    <w:rsid w:val="00C37774"/>
    <w:rsid w:val="00C378E7"/>
    <w:rsid w:val="00C37972"/>
    <w:rsid w:val="00C37C7E"/>
    <w:rsid w:val="00C37F69"/>
    <w:rsid w:val="00C401D8"/>
    <w:rsid w:val="00C407FF"/>
    <w:rsid w:val="00C40A1C"/>
    <w:rsid w:val="00C40B0A"/>
    <w:rsid w:val="00C40C9D"/>
    <w:rsid w:val="00C40FD6"/>
    <w:rsid w:val="00C4102E"/>
    <w:rsid w:val="00C41569"/>
    <w:rsid w:val="00C41651"/>
    <w:rsid w:val="00C420DB"/>
    <w:rsid w:val="00C42358"/>
    <w:rsid w:val="00C42616"/>
    <w:rsid w:val="00C4279A"/>
    <w:rsid w:val="00C42C0A"/>
    <w:rsid w:val="00C42CEB"/>
    <w:rsid w:val="00C43191"/>
    <w:rsid w:val="00C434D5"/>
    <w:rsid w:val="00C434F7"/>
    <w:rsid w:val="00C4362E"/>
    <w:rsid w:val="00C43D2E"/>
    <w:rsid w:val="00C441C1"/>
    <w:rsid w:val="00C44617"/>
    <w:rsid w:val="00C453BF"/>
    <w:rsid w:val="00C453F8"/>
    <w:rsid w:val="00C45821"/>
    <w:rsid w:val="00C458F6"/>
    <w:rsid w:val="00C45B05"/>
    <w:rsid w:val="00C46109"/>
    <w:rsid w:val="00C46208"/>
    <w:rsid w:val="00C4671C"/>
    <w:rsid w:val="00C4680B"/>
    <w:rsid w:val="00C46924"/>
    <w:rsid w:val="00C46B84"/>
    <w:rsid w:val="00C47144"/>
    <w:rsid w:val="00C47476"/>
    <w:rsid w:val="00C4761D"/>
    <w:rsid w:val="00C4765B"/>
    <w:rsid w:val="00C47CF0"/>
    <w:rsid w:val="00C50369"/>
    <w:rsid w:val="00C5044B"/>
    <w:rsid w:val="00C5076D"/>
    <w:rsid w:val="00C507CA"/>
    <w:rsid w:val="00C509DB"/>
    <w:rsid w:val="00C50A6A"/>
    <w:rsid w:val="00C51357"/>
    <w:rsid w:val="00C514C0"/>
    <w:rsid w:val="00C5177A"/>
    <w:rsid w:val="00C5188E"/>
    <w:rsid w:val="00C51CF7"/>
    <w:rsid w:val="00C5213D"/>
    <w:rsid w:val="00C522F2"/>
    <w:rsid w:val="00C525B2"/>
    <w:rsid w:val="00C52635"/>
    <w:rsid w:val="00C52671"/>
    <w:rsid w:val="00C52AE8"/>
    <w:rsid w:val="00C52B24"/>
    <w:rsid w:val="00C52C2A"/>
    <w:rsid w:val="00C5322C"/>
    <w:rsid w:val="00C5329B"/>
    <w:rsid w:val="00C53794"/>
    <w:rsid w:val="00C53A9A"/>
    <w:rsid w:val="00C54240"/>
    <w:rsid w:val="00C543DA"/>
    <w:rsid w:val="00C54826"/>
    <w:rsid w:val="00C54984"/>
    <w:rsid w:val="00C54A1B"/>
    <w:rsid w:val="00C54D37"/>
    <w:rsid w:val="00C5515E"/>
    <w:rsid w:val="00C55247"/>
    <w:rsid w:val="00C55376"/>
    <w:rsid w:val="00C553FC"/>
    <w:rsid w:val="00C55433"/>
    <w:rsid w:val="00C5562B"/>
    <w:rsid w:val="00C558CD"/>
    <w:rsid w:val="00C55AEC"/>
    <w:rsid w:val="00C5602F"/>
    <w:rsid w:val="00C561B7"/>
    <w:rsid w:val="00C56467"/>
    <w:rsid w:val="00C56797"/>
    <w:rsid w:val="00C567CB"/>
    <w:rsid w:val="00C56B5A"/>
    <w:rsid w:val="00C56E22"/>
    <w:rsid w:val="00C57080"/>
    <w:rsid w:val="00C572E6"/>
    <w:rsid w:val="00C577DB"/>
    <w:rsid w:val="00C57A3C"/>
    <w:rsid w:val="00C57B5F"/>
    <w:rsid w:val="00C57CA7"/>
    <w:rsid w:val="00C602D4"/>
    <w:rsid w:val="00C60A27"/>
    <w:rsid w:val="00C60A96"/>
    <w:rsid w:val="00C60ADF"/>
    <w:rsid w:val="00C60C5B"/>
    <w:rsid w:val="00C612E9"/>
    <w:rsid w:val="00C6142B"/>
    <w:rsid w:val="00C615BF"/>
    <w:rsid w:val="00C61717"/>
    <w:rsid w:val="00C619C5"/>
    <w:rsid w:val="00C619E1"/>
    <w:rsid w:val="00C61C07"/>
    <w:rsid w:val="00C61D42"/>
    <w:rsid w:val="00C62629"/>
    <w:rsid w:val="00C626B1"/>
    <w:rsid w:val="00C62F01"/>
    <w:rsid w:val="00C6317B"/>
    <w:rsid w:val="00C63B17"/>
    <w:rsid w:val="00C63BB9"/>
    <w:rsid w:val="00C63C75"/>
    <w:rsid w:val="00C6423A"/>
    <w:rsid w:val="00C64460"/>
    <w:rsid w:val="00C6496A"/>
    <w:rsid w:val="00C64A43"/>
    <w:rsid w:val="00C64B9A"/>
    <w:rsid w:val="00C64EC2"/>
    <w:rsid w:val="00C6508D"/>
    <w:rsid w:val="00C658DE"/>
    <w:rsid w:val="00C65C0C"/>
    <w:rsid w:val="00C66147"/>
    <w:rsid w:val="00C661EF"/>
    <w:rsid w:val="00C6642B"/>
    <w:rsid w:val="00C668FD"/>
    <w:rsid w:val="00C66A42"/>
    <w:rsid w:val="00C6711E"/>
    <w:rsid w:val="00C6715C"/>
    <w:rsid w:val="00C675C5"/>
    <w:rsid w:val="00C70812"/>
    <w:rsid w:val="00C70A15"/>
    <w:rsid w:val="00C712BF"/>
    <w:rsid w:val="00C713C2"/>
    <w:rsid w:val="00C7144F"/>
    <w:rsid w:val="00C7187F"/>
    <w:rsid w:val="00C719BB"/>
    <w:rsid w:val="00C71EAD"/>
    <w:rsid w:val="00C722E7"/>
    <w:rsid w:val="00C726C1"/>
    <w:rsid w:val="00C72896"/>
    <w:rsid w:val="00C72B72"/>
    <w:rsid w:val="00C72D0F"/>
    <w:rsid w:val="00C73298"/>
    <w:rsid w:val="00C734E3"/>
    <w:rsid w:val="00C7396C"/>
    <w:rsid w:val="00C73A49"/>
    <w:rsid w:val="00C73BD3"/>
    <w:rsid w:val="00C74362"/>
    <w:rsid w:val="00C744CF"/>
    <w:rsid w:val="00C74C51"/>
    <w:rsid w:val="00C74D14"/>
    <w:rsid w:val="00C74F6F"/>
    <w:rsid w:val="00C74F80"/>
    <w:rsid w:val="00C75143"/>
    <w:rsid w:val="00C7517D"/>
    <w:rsid w:val="00C752D8"/>
    <w:rsid w:val="00C755B5"/>
    <w:rsid w:val="00C756A4"/>
    <w:rsid w:val="00C75CF8"/>
    <w:rsid w:val="00C75D39"/>
    <w:rsid w:val="00C760CB"/>
    <w:rsid w:val="00C76A10"/>
    <w:rsid w:val="00C76A33"/>
    <w:rsid w:val="00C76E0D"/>
    <w:rsid w:val="00C76F80"/>
    <w:rsid w:val="00C770C8"/>
    <w:rsid w:val="00C7723E"/>
    <w:rsid w:val="00C7725B"/>
    <w:rsid w:val="00C774EC"/>
    <w:rsid w:val="00C7794E"/>
    <w:rsid w:val="00C779D4"/>
    <w:rsid w:val="00C77BD4"/>
    <w:rsid w:val="00C77E1C"/>
    <w:rsid w:val="00C80132"/>
    <w:rsid w:val="00C80471"/>
    <w:rsid w:val="00C80987"/>
    <w:rsid w:val="00C80F16"/>
    <w:rsid w:val="00C80F34"/>
    <w:rsid w:val="00C812B9"/>
    <w:rsid w:val="00C81576"/>
    <w:rsid w:val="00C8159A"/>
    <w:rsid w:val="00C81796"/>
    <w:rsid w:val="00C81B5A"/>
    <w:rsid w:val="00C81C48"/>
    <w:rsid w:val="00C827FE"/>
    <w:rsid w:val="00C83448"/>
    <w:rsid w:val="00C8379A"/>
    <w:rsid w:val="00C8399F"/>
    <w:rsid w:val="00C83AE4"/>
    <w:rsid w:val="00C83B28"/>
    <w:rsid w:val="00C84282"/>
    <w:rsid w:val="00C8431C"/>
    <w:rsid w:val="00C8442E"/>
    <w:rsid w:val="00C84433"/>
    <w:rsid w:val="00C8469C"/>
    <w:rsid w:val="00C846EF"/>
    <w:rsid w:val="00C84DE9"/>
    <w:rsid w:val="00C8520A"/>
    <w:rsid w:val="00C852AB"/>
    <w:rsid w:val="00C8530D"/>
    <w:rsid w:val="00C853A1"/>
    <w:rsid w:val="00C855C9"/>
    <w:rsid w:val="00C856FD"/>
    <w:rsid w:val="00C859BC"/>
    <w:rsid w:val="00C85F9D"/>
    <w:rsid w:val="00C86137"/>
    <w:rsid w:val="00C8615F"/>
    <w:rsid w:val="00C86270"/>
    <w:rsid w:val="00C862E7"/>
    <w:rsid w:val="00C863F7"/>
    <w:rsid w:val="00C86C73"/>
    <w:rsid w:val="00C86CFF"/>
    <w:rsid w:val="00C86EA5"/>
    <w:rsid w:val="00C87115"/>
    <w:rsid w:val="00C8745A"/>
    <w:rsid w:val="00C874DC"/>
    <w:rsid w:val="00C8767C"/>
    <w:rsid w:val="00C87D40"/>
    <w:rsid w:val="00C9057D"/>
    <w:rsid w:val="00C90613"/>
    <w:rsid w:val="00C9083D"/>
    <w:rsid w:val="00C90BCB"/>
    <w:rsid w:val="00C90DA6"/>
    <w:rsid w:val="00C90E5E"/>
    <w:rsid w:val="00C90EE2"/>
    <w:rsid w:val="00C914A4"/>
    <w:rsid w:val="00C918B6"/>
    <w:rsid w:val="00C91A02"/>
    <w:rsid w:val="00C91B8A"/>
    <w:rsid w:val="00C92161"/>
    <w:rsid w:val="00C9231B"/>
    <w:rsid w:val="00C92539"/>
    <w:rsid w:val="00C92D23"/>
    <w:rsid w:val="00C93115"/>
    <w:rsid w:val="00C9333A"/>
    <w:rsid w:val="00C93361"/>
    <w:rsid w:val="00C93CA8"/>
    <w:rsid w:val="00C94813"/>
    <w:rsid w:val="00C94EE4"/>
    <w:rsid w:val="00C950EF"/>
    <w:rsid w:val="00C951DF"/>
    <w:rsid w:val="00C95427"/>
    <w:rsid w:val="00C95C4A"/>
    <w:rsid w:val="00C95D97"/>
    <w:rsid w:val="00C95E05"/>
    <w:rsid w:val="00C966EC"/>
    <w:rsid w:val="00C9680D"/>
    <w:rsid w:val="00C96C36"/>
    <w:rsid w:val="00C96DE3"/>
    <w:rsid w:val="00C96EC6"/>
    <w:rsid w:val="00C970E7"/>
    <w:rsid w:val="00C9737C"/>
    <w:rsid w:val="00C97E22"/>
    <w:rsid w:val="00CA060B"/>
    <w:rsid w:val="00CA09F3"/>
    <w:rsid w:val="00CA0A9A"/>
    <w:rsid w:val="00CA0F91"/>
    <w:rsid w:val="00CA115D"/>
    <w:rsid w:val="00CA11CE"/>
    <w:rsid w:val="00CA12D6"/>
    <w:rsid w:val="00CA13E4"/>
    <w:rsid w:val="00CA19FB"/>
    <w:rsid w:val="00CA1D2A"/>
    <w:rsid w:val="00CA3241"/>
    <w:rsid w:val="00CA3328"/>
    <w:rsid w:val="00CA3589"/>
    <w:rsid w:val="00CA3DB0"/>
    <w:rsid w:val="00CA3FF4"/>
    <w:rsid w:val="00CA40EB"/>
    <w:rsid w:val="00CA4209"/>
    <w:rsid w:val="00CA472F"/>
    <w:rsid w:val="00CA47C2"/>
    <w:rsid w:val="00CA47EE"/>
    <w:rsid w:val="00CA49B9"/>
    <w:rsid w:val="00CA4FD0"/>
    <w:rsid w:val="00CA57D0"/>
    <w:rsid w:val="00CA5A5E"/>
    <w:rsid w:val="00CA6150"/>
    <w:rsid w:val="00CA68EA"/>
    <w:rsid w:val="00CA6BBA"/>
    <w:rsid w:val="00CA6F2C"/>
    <w:rsid w:val="00CA7340"/>
    <w:rsid w:val="00CA7507"/>
    <w:rsid w:val="00CA775C"/>
    <w:rsid w:val="00CA78D0"/>
    <w:rsid w:val="00CB0029"/>
    <w:rsid w:val="00CB0900"/>
    <w:rsid w:val="00CB0989"/>
    <w:rsid w:val="00CB1361"/>
    <w:rsid w:val="00CB2040"/>
    <w:rsid w:val="00CB207D"/>
    <w:rsid w:val="00CB24A7"/>
    <w:rsid w:val="00CB2B3E"/>
    <w:rsid w:val="00CB32E4"/>
    <w:rsid w:val="00CB3422"/>
    <w:rsid w:val="00CB3611"/>
    <w:rsid w:val="00CB374F"/>
    <w:rsid w:val="00CB397C"/>
    <w:rsid w:val="00CB3B02"/>
    <w:rsid w:val="00CB421D"/>
    <w:rsid w:val="00CB422B"/>
    <w:rsid w:val="00CB42DA"/>
    <w:rsid w:val="00CB465F"/>
    <w:rsid w:val="00CB4B31"/>
    <w:rsid w:val="00CB4D3B"/>
    <w:rsid w:val="00CB5115"/>
    <w:rsid w:val="00CB5291"/>
    <w:rsid w:val="00CB543B"/>
    <w:rsid w:val="00CB55E9"/>
    <w:rsid w:val="00CB5955"/>
    <w:rsid w:val="00CB5CEF"/>
    <w:rsid w:val="00CB5D67"/>
    <w:rsid w:val="00CB5DBA"/>
    <w:rsid w:val="00CB5E5F"/>
    <w:rsid w:val="00CB5F16"/>
    <w:rsid w:val="00CB605C"/>
    <w:rsid w:val="00CB64BA"/>
    <w:rsid w:val="00CB6786"/>
    <w:rsid w:val="00CB6E9A"/>
    <w:rsid w:val="00CB7480"/>
    <w:rsid w:val="00CB78F3"/>
    <w:rsid w:val="00CB7BB2"/>
    <w:rsid w:val="00CC00BE"/>
    <w:rsid w:val="00CC0321"/>
    <w:rsid w:val="00CC036B"/>
    <w:rsid w:val="00CC03E4"/>
    <w:rsid w:val="00CC07FA"/>
    <w:rsid w:val="00CC0911"/>
    <w:rsid w:val="00CC0C92"/>
    <w:rsid w:val="00CC0D01"/>
    <w:rsid w:val="00CC1067"/>
    <w:rsid w:val="00CC1103"/>
    <w:rsid w:val="00CC1184"/>
    <w:rsid w:val="00CC15A5"/>
    <w:rsid w:val="00CC15E6"/>
    <w:rsid w:val="00CC17FE"/>
    <w:rsid w:val="00CC1900"/>
    <w:rsid w:val="00CC1A29"/>
    <w:rsid w:val="00CC1CD0"/>
    <w:rsid w:val="00CC210A"/>
    <w:rsid w:val="00CC2269"/>
    <w:rsid w:val="00CC257B"/>
    <w:rsid w:val="00CC259E"/>
    <w:rsid w:val="00CC313B"/>
    <w:rsid w:val="00CC3189"/>
    <w:rsid w:val="00CC31E0"/>
    <w:rsid w:val="00CC359F"/>
    <w:rsid w:val="00CC371B"/>
    <w:rsid w:val="00CC395C"/>
    <w:rsid w:val="00CC3A1B"/>
    <w:rsid w:val="00CC3BEB"/>
    <w:rsid w:val="00CC3D85"/>
    <w:rsid w:val="00CC3F57"/>
    <w:rsid w:val="00CC4037"/>
    <w:rsid w:val="00CC4177"/>
    <w:rsid w:val="00CC492B"/>
    <w:rsid w:val="00CC4AF3"/>
    <w:rsid w:val="00CC4D8C"/>
    <w:rsid w:val="00CC524D"/>
    <w:rsid w:val="00CC5478"/>
    <w:rsid w:val="00CC59AB"/>
    <w:rsid w:val="00CC601A"/>
    <w:rsid w:val="00CC62DD"/>
    <w:rsid w:val="00CC6677"/>
    <w:rsid w:val="00CC669C"/>
    <w:rsid w:val="00CC67C7"/>
    <w:rsid w:val="00CC6DAD"/>
    <w:rsid w:val="00CC7483"/>
    <w:rsid w:val="00CC74DD"/>
    <w:rsid w:val="00CC782B"/>
    <w:rsid w:val="00CC7FC5"/>
    <w:rsid w:val="00CD0423"/>
    <w:rsid w:val="00CD05A1"/>
    <w:rsid w:val="00CD0658"/>
    <w:rsid w:val="00CD082D"/>
    <w:rsid w:val="00CD1594"/>
    <w:rsid w:val="00CD1670"/>
    <w:rsid w:val="00CD1CE3"/>
    <w:rsid w:val="00CD1E8C"/>
    <w:rsid w:val="00CD212F"/>
    <w:rsid w:val="00CD2421"/>
    <w:rsid w:val="00CD298C"/>
    <w:rsid w:val="00CD2F0F"/>
    <w:rsid w:val="00CD38E2"/>
    <w:rsid w:val="00CD3AD8"/>
    <w:rsid w:val="00CD3B0C"/>
    <w:rsid w:val="00CD3BA2"/>
    <w:rsid w:val="00CD3E94"/>
    <w:rsid w:val="00CD45A6"/>
    <w:rsid w:val="00CD49E4"/>
    <w:rsid w:val="00CD4A28"/>
    <w:rsid w:val="00CD5514"/>
    <w:rsid w:val="00CD56F1"/>
    <w:rsid w:val="00CD59FF"/>
    <w:rsid w:val="00CD5A1F"/>
    <w:rsid w:val="00CD5AD8"/>
    <w:rsid w:val="00CD6061"/>
    <w:rsid w:val="00CD60DE"/>
    <w:rsid w:val="00CD62A5"/>
    <w:rsid w:val="00CD633C"/>
    <w:rsid w:val="00CD6AED"/>
    <w:rsid w:val="00CD6D2B"/>
    <w:rsid w:val="00CD6F40"/>
    <w:rsid w:val="00CD7458"/>
    <w:rsid w:val="00CD756B"/>
    <w:rsid w:val="00CD795F"/>
    <w:rsid w:val="00CD7B30"/>
    <w:rsid w:val="00CE079C"/>
    <w:rsid w:val="00CE08C0"/>
    <w:rsid w:val="00CE0965"/>
    <w:rsid w:val="00CE0E1A"/>
    <w:rsid w:val="00CE1575"/>
    <w:rsid w:val="00CE1A43"/>
    <w:rsid w:val="00CE1E5A"/>
    <w:rsid w:val="00CE1F2B"/>
    <w:rsid w:val="00CE228F"/>
    <w:rsid w:val="00CE2292"/>
    <w:rsid w:val="00CE22F3"/>
    <w:rsid w:val="00CE2392"/>
    <w:rsid w:val="00CE2EF8"/>
    <w:rsid w:val="00CE30C7"/>
    <w:rsid w:val="00CE36BF"/>
    <w:rsid w:val="00CE381B"/>
    <w:rsid w:val="00CE38BA"/>
    <w:rsid w:val="00CE399B"/>
    <w:rsid w:val="00CE39D7"/>
    <w:rsid w:val="00CE3A37"/>
    <w:rsid w:val="00CE3B1A"/>
    <w:rsid w:val="00CE4089"/>
    <w:rsid w:val="00CE421C"/>
    <w:rsid w:val="00CE42F2"/>
    <w:rsid w:val="00CE4C4F"/>
    <w:rsid w:val="00CE4C6A"/>
    <w:rsid w:val="00CE5088"/>
    <w:rsid w:val="00CE53CA"/>
    <w:rsid w:val="00CE5922"/>
    <w:rsid w:val="00CE5E0A"/>
    <w:rsid w:val="00CE5E15"/>
    <w:rsid w:val="00CE734D"/>
    <w:rsid w:val="00CE787A"/>
    <w:rsid w:val="00CE78AD"/>
    <w:rsid w:val="00CE7C7C"/>
    <w:rsid w:val="00CE7D5D"/>
    <w:rsid w:val="00CF0015"/>
    <w:rsid w:val="00CF027C"/>
    <w:rsid w:val="00CF0466"/>
    <w:rsid w:val="00CF07E3"/>
    <w:rsid w:val="00CF0A82"/>
    <w:rsid w:val="00CF1023"/>
    <w:rsid w:val="00CF10AA"/>
    <w:rsid w:val="00CF11AC"/>
    <w:rsid w:val="00CF1223"/>
    <w:rsid w:val="00CF1303"/>
    <w:rsid w:val="00CF15F5"/>
    <w:rsid w:val="00CF170D"/>
    <w:rsid w:val="00CF1DFD"/>
    <w:rsid w:val="00CF23FB"/>
    <w:rsid w:val="00CF2AC8"/>
    <w:rsid w:val="00CF2CEC"/>
    <w:rsid w:val="00CF3350"/>
    <w:rsid w:val="00CF37F8"/>
    <w:rsid w:val="00CF3AF8"/>
    <w:rsid w:val="00CF3DDE"/>
    <w:rsid w:val="00CF47F0"/>
    <w:rsid w:val="00CF49E9"/>
    <w:rsid w:val="00CF4C78"/>
    <w:rsid w:val="00CF4E59"/>
    <w:rsid w:val="00CF51DC"/>
    <w:rsid w:val="00CF520B"/>
    <w:rsid w:val="00CF5219"/>
    <w:rsid w:val="00CF539B"/>
    <w:rsid w:val="00CF549E"/>
    <w:rsid w:val="00CF5DB5"/>
    <w:rsid w:val="00CF60D1"/>
    <w:rsid w:val="00CF6D0C"/>
    <w:rsid w:val="00CF7063"/>
    <w:rsid w:val="00CF716D"/>
    <w:rsid w:val="00CF7873"/>
    <w:rsid w:val="00CF7C20"/>
    <w:rsid w:val="00CF7D4C"/>
    <w:rsid w:val="00D001DB"/>
    <w:rsid w:val="00D007A2"/>
    <w:rsid w:val="00D00C5D"/>
    <w:rsid w:val="00D01149"/>
    <w:rsid w:val="00D013D2"/>
    <w:rsid w:val="00D01ACE"/>
    <w:rsid w:val="00D01C95"/>
    <w:rsid w:val="00D01F23"/>
    <w:rsid w:val="00D02260"/>
    <w:rsid w:val="00D0235D"/>
    <w:rsid w:val="00D0298C"/>
    <w:rsid w:val="00D0306A"/>
    <w:rsid w:val="00D03629"/>
    <w:rsid w:val="00D0441A"/>
    <w:rsid w:val="00D04AF6"/>
    <w:rsid w:val="00D05147"/>
    <w:rsid w:val="00D05246"/>
    <w:rsid w:val="00D053AF"/>
    <w:rsid w:val="00D05D9A"/>
    <w:rsid w:val="00D05DFB"/>
    <w:rsid w:val="00D05F46"/>
    <w:rsid w:val="00D05F94"/>
    <w:rsid w:val="00D06012"/>
    <w:rsid w:val="00D063AC"/>
    <w:rsid w:val="00D0684B"/>
    <w:rsid w:val="00D069DE"/>
    <w:rsid w:val="00D06A8F"/>
    <w:rsid w:val="00D06DE0"/>
    <w:rsid w:val="00D06F24"/>
    <w:rsid w:val="00D06F6C"/>
    <w:rsid w:val="00D071A2"/>
    <w:rsid w:val="00D0723B"/>
    <w:rsid w:val="00D07269"/>
    <w:rsid w:val="00D07F42"/>
    <w:rsid w:val="00D101DF"/>
    <w:rsid w:val="00D10505"/>
    <w:rsid w:val="00D10525"/>
    <w:rsid w:val="00D10695"/>
    <w:rsid w:val="00D1095F"/>
    <w:rsid w:val="00D11293"/>
    <w:rsid w:val="00D119A4"/>
    <w:rsid w:val="00D124B8"/>
    <w:rsid w:val="00D12A4F"/>
    <w:rsid w:val="00D12F7A"/>
    <w:rsid w:val="00D13135"/>
    <w:rsid w:val="00D1380B"/>
    <w:rsid w:val="00D13943"/>
    <w:rsid w:val="00D13C69"/>
    <w:rsid w:val="00D13CAB"/>
    <w:rsid w:val="00D13F0F"/>
    <w:rsid w:val="00D141DE"/>
    <w:rsid w:val="00D14C6E"/>
    <w:rsid w:val="00D14D0E"/>
    <w:rsid w:val="00D14EFC"/>
    <w:rsid w:val="00D1538C"/>
    <w:rsid w:val="00D1578F"/>
    <w:rsid w:val="00D15920"/>
    <w:rsid w:val="00D15F59"/>
    <w:rsid w:val="00D1600D"/>
    <w:rsid w:val="00D16013"/>
    <w:rsid w:val="00D1662C"/>
    <w:rsid w:val="00D16BB1"/>
    <w:rsid w:val="00D16C52"/>
    <w:rsid w:val="00D16E58"/>
    <w:rsid w:val="00D17147"/>
    <w:rsid w:val="00D171BF"/>
    <w:rsid w:val="00D172E1"/>
    <w:rsid w:val="00D17506"/>
    <w:rsid w:val="00D17A62"/>
    <w:rsid w:val="00D17C72"/>
    <w:rsid w:val="00D2034A"/>
    <w:rsid w:val="00D206BA"/>
    <w:rsid w:val="00D207BD"/>
    <w:rsid w:val="00D208AB"/>
    <w:rsid w:val="00D208C8"/>
    <w:rsid w:val="00D20A96"/>
    <w:rsid w:val="00D20D0A"/>
    <w:rsid w:val="00D20E6C"/>
    <w:rsid w:val="00D21500"/>
    <w:rsid w:val="00D21915"/>
    <w:rsid w:val="00D21D33"/>
    <w:rsid w:val="00D21DB7"/>
    <w:rsid w:val="00D21F7C"/>
    <w:rsid w:val="00D22A67"/>
    <w:rsid w:val="00D22DC6"/>
    <w:rsid w:val="00D23200"/>
    <w:rsid w:val="00D2335E"/>
    <w:rsid w:val="00D235EA"/>
    <w:rsid w:val="00D238AF"/>
    <w:rsid w:val="00D24269"/>
    <w:rsid w:val="00D24337"/>
    <w:rsid w:val="00D2434F"/>
    <w:rsid w:val="00D24842"/>
    <w:rsid w:val="00D2498A"/>
    <w:rsid w:val="00D24A54"/>
    <w:rsid w:val="00D24B0B"/>
    <w:rsid w:val="00D24C6A"/>
    <w:rsid w:val="00D24D27"/>
    <w:rsid w:val="00D25546"/>
    <w:rsid w:val="00D255E2"/>
    <w:rsid w:val="00D255FB"/>
    <w:rsid w:val="00D2571C"/>
    <w:rsid w:val="00D25BF8"/>
    <w:rsid w:val="00D25D42"/>
    <w:rsid w:val="00D261E1"/>
    <w:rsid w:val="00D26CAA"/>
    <w:rsid w:val="00D26CB6"/>
    <w:rsid w:val="00D26D1E"/>
    <w:rsid w:val="00D27002"/>
    <w:rsid w:val="00D27037"/>
    <w:rsid w:val="00D2714F"/>
    <w:rsid w:val="00D2782D"/>
    <w:rsid w:val="00D302F8"/>
    <w:rsid w:val="00D303CE"/>
    <w:rsid w:val="00D30AD5"/>
    <w:rsid w:val="00D30C36"/>
    <w:rsid w:val="00D30C89"/>
    <w:rsid w:val="00D31655"/>
    <w:rsid w:val="00D316F5"/>
    <w:rsid w:val="00D31B24"/>
    <w:rsid w:val="00D31B98"/>
    <w:rsid w:val="00D31C7B"/>
    <w:rsid w:val="00D31CB6"/>
    <w:rsid w:val="00D322F3"/>
    <w:rsid w:val="00D3230B"/>
    <w:rsid w:val="00D32741"/>
    <w:rsid w:val="00D32878"/>
    <w:rsid w:val="00D32A8F"/>
    <w:rsid w:val="00D33108"/>
    <w:rsid w:val="00D3339A"/>
    <w:rsid w:val="00D34623"/>
    <w:rsid w:val="00D34988"/>
    <w:rsid w:val="00D34A52"/>
    <w:rsid w:val="00D34C40"/>
    <w:rsid w:val="00D34D92"/>
    <w:rsid w:val="00D34DA0"/>
    <w:rsid w:val="00D3502E"/>
    <w:rsid w:val="00D35563"/>
    <w:rsid w:val="00D35639"/>
    <w:rsid w:val="00D356F1"/>
    <w:rsid w:val="00D359B0"/>
    <w:rsid w:val="00D35A17"/>
    <w:rsid w:val="00D35BFE"/>
    <w:rsid w:val="00D361D3"/>
    <w:rsid w:val="00D36377"/>
    <w:rsid w:val="00D3647B"/>
    <w:rsid w:val="00D369D9"/>
    <w:rsid w:val="00D376A6"/>
    <w:rsid w:val="00D37A72"/>
    <w:rsid w:val="00D37CA2"/>
    <w:rsid w:val="00D37E01"/>
    <w:rsid w:val="00D401FE"/>
    <w:rsid w:val="00D40257"/>
    <w:rsid w:val="00D4041C"/>
    <w:rsid w:val="00D405C0"/>
    <w:rsid w:val="00D40B2A"/>
    <w:rsid w:val="00D40C53"/>
    <w:rsid w:val="00D40C66"/>
    <w:rsid w:val="00D41016"/>
    <w:rsid w:val="00D41277"/>
    <w:rsid w:val="00D4134A"/>
    <w:rsid w:val="00D41581"/>
    <w:rsid w:val="00D41809"/>
    <w:rsid w:val="00D4189E"/>
    <w:rsid w:val="00D41905"/>
    <w:rsid w:val="00D419B3"/>
    <w:rsid w:val="00D41BF2"/>
    <w:rsid w:val="00D41BF4"/>
    <w:rsid w:val="00D423E9"/>
    <w:rsid w:val="00D43037"/>
    <w:rsid w:val="00D430C1"/>
    <w:rsid w:val="00D43339"/>
    <w:rsid w:val="00D43BA3"/>
    <w:rsid w:val="00D44164"/>
    <w:rsid w:val="00D44216"/>
    <w:rsid w:val="00D44263"/>
    <w:rsid w:val="00D446CF"/>
    <w:rsid w:val="00D452F4"/>
    <w:rsid w:val="00D4561A"/>
    <w:rsid w:val="00D45A3C"/>
    <w:rsid w:val="00D45C48"/>
    <w:rsid w:val="00D461DE"/>
    <w:rsid w:val="00D46428"/>
    <w:rsid w:val="00D4668B"/>
    <w:rsid w:val="00D46DCC"/>
    <w:rsid w:val="00D475BD"/>
    <w:rsid w:val="00D47868"/>
    <w:rsid w:val="00D478B2"/>
    <w:rsid w:val="00D50317"/>
    <w:rsid w:val="00D5048C"/>
    <w:rsid w:val="00D504D2"/>
    <w:rsid w:val="00D50515"/>
    <w:rsid w:val="00D50E12"/>
    <w:rsid w:val="00D50F12"/>
    <w:rsid w:val="00D512A6"/>
    <w:rsid w:val="00D51365"/>
    <w:rsid w:val="00D51429"/>
    <w:rsid w:val="00D51557"/>
    <w:rsid w:val="00D517D6"/>
    <w:rsid w:val="00D51A17"/>
    <w:rsid w:val="00D51DC2"/>
    <w:rsid w:val="00D51ECF"/>
    <w:rsid w:val="00D51F1F"/>
    <w:rsid w:val="00D52A3E"/>
    <w:rsid w:val="00D5300F"/>
    <w:rsid w:val="00D53207"/>
    <w:rsid w:val="00D5336E"/>
    <w:rsid w:val="00D53946"/>
    <w:rsid w:val="00D53977"/>
    <w:rsid w:val="00D53B66"/>
    <w:rsid w:val="00D53CB4"/>
    <w:rsid w:val="00D53E51"/>
    <w:rsid w:val="00D53FFB"/>
    <w:rsid w:val="00D549AB"/>
    <w:rsid w:val="00D54A51"/>
    <w:rsid w:val="00D54D78"/>
    <w:rsid w:val="00D55496"/>
    <w:rsid w:val="00D55626"/>
    <w:rsid w:val="00D55712"/>
    <w:rsid w:val="00D55C19"/>
    <w:rsid w:val="00D55E57"/>
    <w:rsid w:val="00D564F3"/>
    <w:rsid w:val="00D56984"/>
    <w:rsid w:val="00D56BA2"/>
    <w:rsid w:val="00D56C4B"/>
    <w:rsid w:val="00D57108"/>
    <w:rsid w:val="00D574EF"/>
    <w:rsid w:val="00D57582"/>
    <w:rsid w:val="00D6088F"/>
    <w:rsid w:val="00D609A9"/>
    <w:rsid w:val="00D60A83"/>
    <w:rsid w:val="00D60E96"/>
    <w:rsid w:val="00D6120F"/>
    <w:rsid w:val="00D616AB"/>
    <w:rsid w:val="00D61836"/>
    <w:rsid w:val="00D6183C"/>
    <w:rsid w:val="00D61A31"/>
    <w:rsid w:val="00D62D4A"/>
    <w:rsid w:val="00D62F3B"/>
    <w:rsid w:val="00D63223"/>
    <w:rsid w:val="00D6345D"/>
    <w:rsid w:val="00D637CC"/>
    <w:rsid w:val="00D63838"/>
    <w:rsid w:val="00D6387F"/>
    <w:rsid w:val="00D638A3"/>
    <w:rsid w:val="00D638F2"/>
    <w:rsid w:val="00D6410A"/>
    <w:rsid w:val="00D64184"/>
    <w:rsid w:val="00D6438E"/>
    <w:rsid w:val="00D64480"/>
    <w:rsid w:val="00D6457B"/>
    <w:rsid w:val="00D64C45"/>
    <w:rsid w:val="00D64CC8"/>
    <w:rsid w:val="00D64DA8"/>
    <w:rsid w:val="00D64ECF"/>
    <w:rsid w:val="00D65083"/>
    <w:rsid w:val="00D6595E"/>
    <w:rsid w:val="00D65B23"/>
    <w:rsid w:val="00D65B79"/>
    <w:rsid w:val="00D65D9C"/>
    <w:rsid w:val="00D66028"/>
    <w:rsid w:val="00D6621A"/>
    <w:rsid w:val="00D663BA"/>
    <w:rsid w:val="00D66649"/>
    <w:rsid w:val="00D6697C"/>
    <w:rsid w:val="00D669C6"/>
    <w:rsid w:val="00D66C71"/>
    <w:rsid w:val="00D66CB6"/>
    <w:rsid w:val="00D670D1"/>
    <w:rsid w:val="00D672E1"/>
    <w:rsid w:val="00D6761D"/>
    <w:rsid w:val="00D67A29"/>
    <w:rsid w:val="00D67B6F"/>
    <w:rsid w:val="00D700E4"/>
    <w:rsid w:val="00D702D8"/>
    <w:rsid w:val="00D70684"/>
    <w:rsid w:val="00D70713"/>
    <w:rsid w:val="00D70865"/>
    <w:rsid w:val="00D70AA3"/>
    <w:rsid w:val="00D70B85"/>
    <w:rsid w:val="00D70D56"/>
    <w:rsid w:val="00D70DFB"/>
    <w:rsid w:val="00D70FD3"/>
    <w:rsid w:val="00D71399"/>
    <w:rsid w:val="00D715CB"/>
    <w:rsid w:val="00D718BC"/>
    <w:rsid w:val="00D71AD7"/>
    <w:rsid w:val="00D72418"/>
    <w:rsid w:val="00D724DC"/>
    <w:rsid w:val="00D72565"/>
    <w:rsid w:val="00D725ED"/>
    <w:rsid w:val="00D72618"/>
    <w:rsid w:val="00D72821"/>
    <w:rsid w:val="00D72A7F"/>
    <w:rsid w:val="00D72ACC"/>
    <w:rsid w:val="00D72DC1"/>
    <w:rsid w:val="00D73272"/>
    <w:rsid w:val="00D733F8"/>
    <w:rsid w:val="00D73483"/>
    <w:rsid w:val="00D7359E"/>
    <w:rsid w:val="00D73FB1"/>
    <w:rsid w:val="00D742D4"/>
    <w:rsid w:val="00D742F2"/>
    <w:rsid w:val="00D7439C"/>
    <w:rsid w:val="00D748AC"/>
    <w:rsid w:val="00D7491B"/>
    <w:rsid w:val="00D74923"/>
    <w:rsid w:val="00D74A80"/>
    <w:rsid w:val="00D74CD9"/>
    <w:rsid w:val="00D74CE4"/>
    <w:rsid w:val="00D74EE1"/>
    <w:rsid w:val="00D750B0"/>
    <w:rsid w:val="00D752AA"/>
    <w:rsid w:val="00D75689"/>
    <w:rsid w:val="00D75844"/>
    <w:rsid w:val="00D75900"/>
    <w:rsid w:val="00D75A75"/>
    <w:rsid w:val="00D75E62"/>
    <w:rsid w:val="00D761A2"/>
    <w:rsid w:val="00D76B2C"/>
    <w:rsid w:val="00D76C75"/>
    <w:rsid w:val="00D76D6B"/>
    <w:rsid w:val="00D76EBA"/>
    <w:rsid w:val="00D76EEA"/>
    <w:rsid w:val="00D7703A"/>
    <w:rsid w:val="00D770FE"/>
    <w:rsid w:val="00D775E6"/>
    <w:rsid w:val="00D77705"/>
    <w:rsid w:val="00D7793E"/>
    <w:rsid w:val="00D77EA4"/>
    <w:rsid w:val="00D80364"/>
    <w:rsid w:val="00D80439"/>
    <w:rsid w:val="00D8071A"/>
    <w:rsid w:val="00D809B0"/>
    <w:rsid w:val="00D80BB4"/>
    <w:rsid w:val="00D80E17"/>
    <w:rsid w:val="00D8115F"/>
    <w:rsid w:val="00D81234"/>
    <w:rsid w:val="00D8134B"/>
    <w:rsid w:val="00D81DAC"/>
    <w:rsid w:val="00D81F27"/>
    <w:rsid w:val="00D81F88"/>
    <w:rsid w:val="00D8243C"/>
    <w:rsid w:val="00D824C8"/>
    <w:rsid w:val="00D825C9"/>
    <w:rsid w:val="00D82666"/>
    <w:rsid w:val="00D82B0E"/>
    <w:rsid w:val="00D830E0"/>
    <w:rsid w:val="00D8318E"/>
    <w:rsid w:val="00D83662"/>
    <w:rsid w:val="00D83679"/>
    <w:rsid w:val="00D837C8"/>
    <w:rsid w:val="00D83A68"/>
    <w:rsid w:val="00D83C18"/>
    <w:rsid w:val="00D83D9B"/>
    <w:rsid w:val="00D8428D"/>
    <w:rsid w:val="00D8433B"/>
    <w:rsid w:val="00D848A6"/>
    <w:rsid w:val="00D84AEE"/>
    <w:rsid w:val="00D84E6D"/>
    <w:rsid w:val="00D850FC"/>
    <w:rsid w:val="00D85217"/>
    <w:rsid w:val="00D856F9"/>
    <w:rsid w:val="00D85C46"/>
    <w:rsid w:val="00D861BF"/>
    <w:rsid w:val="00D8651C"/>
    <w:rsid w:val="00D86591"/>
    <w:rsid w:val="00D86780"/>
    <w:rsid w:val="00D867DE"/>
    <w:rsid w:val="00D86849"/>
    <w:rsid w:val="00D86943"/>
    <w:rsid w:val="00D86A1F"/>
    <w:rsid w:val="00D870B2"/>
    <w:rsid w:val="00D87368"/>
    <w:rsid w:val="00D8752C"/>
    <w:rsid w:val="00D87D52"/>
    <w:rsid w:val="00D87E36"/>
    <w:rsid w:val="00D87E80"/>
    <w:rsid w:val="00D9035F"/>
    <w:rsid w:val="00D90669"/>
    <w:rsid w:val="00D90798"/>
    <w:rsid w:val="00D90ADC"/>
    <w:rsid w:val="00D90DD1"/>
    <w:rsid w:val="00D9105E"/>
    <w:rsid w:val="00D9132C"/>
    <w:rsid w:val="00D914CA"/>
    <w:rsid w:val="00D91764"/>
    <w:rsid w:val="00D91B8E"/>
    <w:rsid w:val="00D91C91"/>
    <w:rsid w:val="00D92216"/>
    <w:rsid w:val="00D926E5"/>
    <w:rsid w:val="00D9270E"/>
    <w:rsid w:val="00D92A1D"/>
    <w:rsid w:val="00D92A9B"/>
    <w:rsid w:val="00D92B12"/>
    <w:rsid w:val="00D92D06"/>
    <w:rsid w:val="00D93004"/>
    <w:rsid w:val="00D93012"/>
    <w:rsid w:val="00D9333D"/>
    <w:rsid w:val="00D9354B"/>
    <w:rsid w:val="00D9386B"/>
    <w:rsid w:val="00D93EFB"/>
    <w:rsid w:val="00D9456E"/>
    <w:rsid w:val="00D94798"/>
    <w:rsid w:val="00D94C6A"/>
    <w:rsid w:val="00D94CFF"/>
    <w:rsid w:val="00D94FFF"/>
    <w:rsid w:val="00D95424"/>
    <w:rsid w:val="00D956DF"/>
    <w:rsid w:val="00D95A43"/>
    <w:rsid w:val="00D95BBD"/>
    <w:rsid w:val="00D95D44"/>
    <w:rsid w:val="00D95E8C"/>
    <w:rsid w:val="00D9602E"/>
    <w:rsid w:val="00D96E93"/>
    <w:rsid w:val="00D972AA"/>
    <w:rsid w:val="00D9770D"/>
    <w:rsid w:val="00D9787E"/>
    <w:rsid w:val="00DA042F"/>
    <w:rsid w:val="00DA098C"/>
    <w:rsid w:val="00DA0AA9"/>
    <w:rsid w:val="00DA0E65"/>
    <w:rsid w:val="00DA126B"/>
    <w:rsid w:val="00DA12BC"/>
    <w:rsid w:val="00DA169A"/>
    <w:rsid w:val="00DA1950"/>
    <w:rsid w:val="00DA19CA"/>
    <w:rsid w:val="00DA1CBC"/>
    <w:rsid w:val="00DA1DAC"/>
    <w:rsid w:val="00DA1E06"/>
    <w:rsid w:val="00DA1E56"/>
    <w:rsid w:val="00DA1E98"/>
    <w:rsid w:val="00DA1F08"/>
    <w:rsid w:val="00DA1FC5"/>
    <w:rsid w:val="00DA1FD6"/>
    <w:rsid w:val="00DA22C1"/>
    <w:rsid w:val="00DA230F"/>
    <w:rsid w:val="00DA2413"/>
    <w:rsid w:val="00DA24CA"/>
    <w:rsid w:val="00DA25A0"/>
    <w:rsid w:val="00DA2897"/>
    <w:rsid w:val="00DA28D7"/>
    <w:rsid w:val="00DA2950"/>
    <w:rsid w:val="00DA2CA9"/>
    <w:rsid w:val="00DA306F"/>
    <w:rsid w:val="00DA37B8"/>
    <w:rsid w:val="00DA3B81"/>
    <w:rsid w:val="00DA3C15"/>
    <w:rsid w:val="00DA3DB3"/>
    <w:rsid w:val="00DA445A"/>
    <w:rsid w:val="00DA4ADF"/>
    <w:rsid w:val="00DA4BC8"/>
    <w:rsid w:val="00DA4C1E"/>
    <w:rsid w:val="00DA4EC5"/>
    <w:rsid w:val="00DA558F"/>
    <w:rsid w:val="00DA5680"/>
    <w:rsid w:val="00DA569E"/>
    <w:rsid w:val="00DA573D"/>
    <w:rsid w:val="00DA5ED0"/>
    <w:rsid w:val="00DA5ED6"/>
    <w:rsid w:val="00DA5FDC"/>
    <w:rsid w:val="00DA6139"/>
    <w:rsid w:val="00DA61BF"/>
    <w:rsid w:val="00DA61F1"/>
    <w:rsid w:val="00DA62C5"/>
    <w:rsid w:val="00DA63E3"/>
    <w:rsid w:val="00DA6700"/>
    <w:rsid w:val="00DA6768"/>
    <w:rsid w:val="00DA681B"/>
    <w:rsid w:val="00DA6830"/>
    <w:rsid w:val="00DA6B30"/>
    <w:rsid w:val="00DA6C75"/>
    <w:rsid w:val="00DA6CE9"/>
    <w:rsid w:val="00DA731F"/>
    <w:rsid w:val="00DA742B"/>
    <w:rsid w:val="00DA759E"/>
    <w:rsid w:val="00DA7C58"/>
    <w:rsid w:val="00DA7F54"/>
    <w:rsid w:val="00DB0359"/>
    <w:rsid w:val="00DB0576"/>
    <w:rsid w:val="00DB05DD"/>
    <w:rsid w:val="00DB07EE"/>
    <w:rsid w:val="00DB0853"/>
    <w:rsid w:val="00DB09E2"/>
    <w:rsid w:val="00DB0D20"/>
    <w:rsid w:val="00DB0E1C"/>
    <w:rsid w:val="00DB14CB"/>
    <w:rsid w:val="00DB17C5"/>
    <w:rsid w:val="00DB1C4C"/>
    <w:rsid w:val="00DB1D7B"/>
    <w:rsid w:val="00DB1DC3"/>
    <w:rsid w:val="00DB1FD7"/>
    <w:rsid w:val="00DB22C2"/>
    <w:rsid w:val="00DB24D1"/>
    <w:rsid w:val="00DB2BBD"/>
    <w:rsid w:val="00DB2F2D"/>
    <w:rsid w:val="00DB32EA"/>
    <w:rsid w:val="00DB33DD"/>
    <w:rsid w:val="00DB3618"/>
    <w:rsid w:val="00DB3D73"/>
    <w:rsid w:val="00DB3E19"/>
    <w:rsid w:val="00DB3E3A"/>
    <w:rsid w:val="00DB4BF2"/>
    <w:rsid w:val="00DB4DE1"/>
    <w:rsid w:val="00DB5141"/>
    <w:rsid w:val="00DB59E6"/>
    <w:rsid w:val="00DB5E4B"/>
    <w:rsid w:val="00DB61C0"/>
    <w:rsid w:val="00DB6D1F"/>
    <w:rsid w:val="00DB702C"/>
    <w:rsid w:val="00DB71A6"/>
    <w:rsid w:val="00DB7576"/>
    <w:rsid w:val="00DB78CB"/>
    <w:rsid w:val="00DB7B57"/>
    <w:rsid w:val="00DB7FA7"/>
    <w:rsid w:val="00DC007E"/>
    <w:rsid w:val="00DC00A4"/>
    <w:rsid w:val="00DC0369"/>
    <w:rsid w:val="00DC03D7"/>
    <w:rsid w:val="00DC0463"/>
    <w:rsid w:val="00DC07A3"/>
    <w:rsid w:val="00DC07EB"/>
    <w:rsid w:val="00DC0F53"/>
    <w:rsid w:val="00DC0F7B"/>
    <w:rsid w:val="00DC161D"/>
    <w:rsid w:val="00DC22FC"/>
    <w:rsid w:val="00DC2749"/>
    <w:rsid w:val="00DC284C"/>
    <w:rsid w:val="00DC2A18"/>
    <w:rsid w:val="00DC3021"/>
    <w:rsid w:val="00DC31E9"/>
    <w:rsid w:val="00DC335F"/>
    <w:rsid w:val="00DC3B86"/>
    <w:rsid w:val="00DC467B"/>
    <w:rsid w:val="00DC4D6E"/>
    <w:rsid w:val="00DC4EF3"/>
    <w:rsid w:val="00DC4F48"/>
    <w:rsid w:val="00DC4FBD"/>
    <w:rsid w:val="00DC56E1"/>
    <w:rsid w:val="00DC5B21"/>
    <w:rsid w:val="00DC5B2F"/>
    <w:rsid w:val="00DC5BC3"/>
    <w:rsid w:val="00DC675F"/>
    <w:rsid w:val="00DC6977"/>
    <w:rsid w:val="00DC69C2"/>
    <w:rsid w:val="00DC6CE5"/>
    <w:rsid w:val="00DC6E76"/>
    <w:rsid w:val="00DC708C"/>
    <w:rsid w:val="00DC7327"/>
    <w:rsid w:val="00DC75EA"/>
    <w:rsid w:val="00DC7823"/>
    <w:rsid w:val="00DC78DC"/>
    <w:rsid w:val="00DC7D2B"/>
    <w:rsid w:val="00DC7DB8"/>
    <w:rsid w:val="00DD0518"/>
    <w:rsid w:val="00DD0BA3"/>
    <w:rsid w:val="00DD0BB1"/>
    <w:rsid w:val="00DD0BC4"/>
    <w:rsid w:val="00DD0C59"/>
    <w:rsid w:val="00DD0E08"/>
    <w:rsid w:val="00DD156A"/>
    <w:rsid w:val="00DD183C"/>
    <w:rsid w:val="00DD1A29"/>
    <w:rsid w:val="00DD1D80"/>
    <w:rsid w:val="00DD1F2C"/>
    <w:rsid w:val="00DD221E"/>
    <w:rsid w:val="00DD2B28"/>
    <w:rsid w:val="00DD2BB3"/>
    <w:rsid w:val="00DD2E5A"/>
    <w:rsid w:val="00DD357E"/>
    <w:rsid w:val="00DD3B01"/>
    <w:rsid w:val="00DD3D41"/>
    <w:rsid w:val="00DD3D75"/>
    <w:rsid w:val="00DD3E08"/>
    <w:rsid w:val="00DD49AA"/>
    <w:rsid w:val="00DD4E46"/>
    <w:rsid w:val="00DD4FCC"/>
    <w:rsid w:val="00DD5011"/>
    <w:rsid w:val="00DD5261"/>
    <w:rsid w:val="00DD5E44"/>
    <w:rsid w:val="00DD6092"/>
    <w:rsid w:val="00DD61D4"/>
    <w:rsid w:val="00DD627B"/>
    <w:rsid w:val="00DD647D"/>
    <w:rsid w:val="00DD724E"/>
    <w:rsid w:val="00DD7517"/>
    <w:rsid w:val="00DD766F"/>
    <w:rsid w:val="00DE01B3"/>
    <w:rsid w:val="00DE0764"/>
    <w:rsid w:val="00DE09E4"/>
    <w:rsid w:val="00DE0A23"/>
    <w:rsid w:val="00DE0D70"/>
    <w:rsid w:val="00DE10FA"/>
    <w:rsid w:val="00DE112C"/>
    <w:rsid w:val="00DE1999"/>
    <w:rsid w:val="00DE1A38"/>
    <w:rsid w:val="00DE1B5D"/>
    <w:rsid w:val="00DE1D55"/>
    <w:rsid w:val="00DE2979"/>
    <w:rsid w:val="00DE2C35"/>
    <w:rsid w:val="00DE2D94"/>
    <w:rsid w:val="00DE30A7"/>
    <w:rsid w:val="00DE30C4"/>
    <w:rsid w:val="00DE3520"/>
    <w:rsid w:val="00DE37D6"/>
    <w:rsid w:val="00DE3867"/>
    <w:rsid w:val="00DE3A31"/>
    <w:rsid w:val="00DE3D6B"/>
    <w:rsid w:val="00DE420B"/>
    <w:rsid w:val="00DE4292"/>
    <w:rsid w:val="00DE470D"/>
    <w:rsid w:val="00DE4A25"/>
    <w:rsid w:val="00DE4CB1"/>
    <w:rsid w:val="00DE53D4"/>
    <w:rsid w:val="00DE56C3"/>
    <w:rsid w:val="00DE5902"/>
    <w:rsid w:val="00DE61D1"/>
    <w:rsid w:val="00DE666B"/>
    <w:rsid w:val="00DE6972"/>
    <w:rsid w:val="00DE6F44"/>
    <w:rsid w:val="00DE762C"/>
    <w:rsid w:val="00DE7653"/>
    <w:rsid w:val="00DE76B4"/>
    <w:rsid w:val="00DE7AE2"/>
    <w:rsid w:val="00DE7DD0"/>
    <w:rsid w:val="00DF00E9"/>
    <w:rsid w:val="00DF0321"/>
    <w:rsid w:val="00DF0914"/>
    <w:rsid w:val="00DF0B2A"/>
    <w:rsid w:val="00DF1235"/>
    <w:rsid w:val="00DF133A"/>
    <w:rsid w:val="00DF163E"/>
    <w:rsid w:val="00DF1AF8"/>
    <w:rsid w:val="00DF1E20"/>
    <w:rsid w:val="00DF2245"/>
    <w:rsid w:val="00DF2D8B"/>
    <w:rsid w:val="00DF34EB"/>
    <w:rsid w:val="00DF360B"/>
    <w:rsid w:val="00DF3D33"/>
    <w:rsid w:val="00DF4F2E"/>
    <w:rsid w:val="00DF5310"/>
    <w:rsid w:val="00DF53FC"/>
    <w:rsid w:val="00DF5A3B"/>
    <w:rsid w:val="00DF623C"/>
    <w:rsid w:val="00DF62B2"/>
    <w:rsid w:val="00DF62BF"/>
    <w:rsid w:val="00DF63E4"/>
    <w:rsid w:val="00DF662F"/>
    <w:rsid w:val="00DF67D4"/>
    <w:rsid w:val="00DF6D1B"/>
    <w:rsid w:val="00DF731A"/>
    <w:rsid w:val="00E0031B"/>
    <w:rsid w:val="00E00480"/>
    <w:rsid w:val="00E00ACF"/>
    <w:rsid w:val="00E00C53"/>
    <w:rsid w:val="00E00F82"/>
    <w:rsid w:val="00E0105B"/>
    <w:rsid w:val="00E017DD"/>
    <w:rsid w:val="00E01948"/>
    <w:rsid w:val="00E01BD7"/>
    <w:rsid w:val="00E01DEF"/>
    <w:rsid w:val="00E01FF7"/>
    <w:rsid w:val="00E023C8"/>
    <w:rsid w:val="00E02569"/>
    <w:rsid w:val="00E02AF1"/>
    <w:rsid w:val="00E02CF7"/>
    <w:rsid w:val="00E02DD6"/>
    <w:rsid w:val="00E032F4"/>
    <w:rsid w:val="00E03520"/>
    <w:rsid w:val="00E03845"/>
    <w:rsid w:val="00E039C2"/>
    <w:rsid w:val="00E03A97"/>
    <w:rsid w:val="00E03E54"/>
    <w:rsid w:val="00E0441F"/>
    <w:rsid w:val="00E04599"/>
    <w:rsid w:val="00E0459E"/>
    <w:rsid w:val="00E04AC5"/>
    <w:rsid w:val="00E04D32"/>
    <w:rsid w:val="00E051E1"/>
    <w:rsid w:val="00E052F7"/>
    <w:rsid w:val="00E0591F"/>
    <w:rsid w:val="00E05DBD"/>
    <w:rsid w:val="00E062EC"/>
    <w:rsid w:val="00E06424"/>
    <w:rsid w:val="00E06555"/>
    <w:rsid w:val="00E06572"/>
    <w:rsid w:val="00E0682F"/>
    <w:rsid w:val="00E069CB"/>
    <w:rsid w:val="00E06D7D"/>
    <w:rsid w:val="00E06EC5"/>
    <w:rsid w:val="00E071C1"/>
    <w:rsid w:val="00E07701"/>
    <w:rsid w:val="00E07C50"/>
    <w:rsid w:val="00E07E5C"/>
    <w:rsid w:val="00E100B9"/>
    <w:rsid w:val="00E1011D"/>
    <w:rsid w:val="00E10180"/>
    <w:rsid w:val="00E101CF"/>
    <w:rsid w:val="00E101D0"/>
    <w:rsid w:val="00E10409"/>
    <w:rsid w:val="00E1055B"/>
    <w:rsid w:val="00E10713"/>
    <w:rsid w:val="00E10C9B"/>
    <w:rsid w:val="00E10D8B"/>
    <w:rsid w:val="00E10F5D"/>
    <w:rsid w:val="00E10F9D"/>
    <w:rsid w:val="00E11299"/>
    <w:rsid w:val="00E112EA"/>
    <w:rsid w:val="00E115C9"/>
    <w:rsid w:val="00E1173E"/>
    <w:rsid w:val="00E11B14"/>
    <w:rsid w:val="00E11C4C"/>
    <w:rsid w:val="00E12162"/>
    <w:rsid w:val="00E122DF"/>
    <w:rsid w:val="00E126C5"/>
    <w:rsid w:val="00E1277C"/>
    <w:rsid w:val="00E128F4"/>
    <w:rsid w:val="00E130AF"/>
    <w:rsid w:val="00E132A0"/>
    <w:rsid w:val="00E13400"/>
    <w:rsid w:val="00E13414"/>
    <w:rsid w:val="00E13ACB"/>
    <w:rsid w:val="00E13B32"/>
    <w:rsid w:val="00E14404"/>
    <w:rsid w:val="00E1472A"/>
    <w:rsid w:val="00E148AB"/>
    <w:rsid w:val="00E14D77"/>
    <w:rsid w:val="00E1516B"/>
    <w:rsid w:val="00E1520D"/>
    <w:rsid w:val="00E1558B"/>
    <w:rsid w:val="00E15B59"/>
    <w:rsid w:val="00E15D34"/>
    <w:rsid w:val="00E166B4"/>
    <w:rsid w:val="00E16943"/>
    <w:rsid w:val="00E16CFD"/>
    <w:rsid w:val="00E17427"/>
    <w:rsid w:val="00E177B7"/>
    <w:rsid w:val="00E1793E"/>
    <w:rsid w:val="00E17EB8"/>
    <w:rsid w:val="00E17F09"/>
    <w:rsid w:val="00E17F35"/>
    <w:rsid w:val="00E17F74"/>
    <w:rsid w:val="00E203A2"/>
    <w:rsid w:val="00E20620"/>
    <w:rsid w:val="00E20628"/>
    <w:rsid w:val="00E20753"/>
    <w:rsid w:val="00E20929"/>
    <w:rsid w:val="00E212DD"/>
    <w:rsid w:val="00E21637"/>
    <w:rsid w:val="00E21A7A"/>
    <w:rsid w:val="00E21C4F"/>
    <w:rsid w:val="00E21D74"/>
    <w:rsid w:val="00E22316"/>
    <w:rsid w:val="00E2235E"/>
    <w:rsid w:val="00E229A4"/>
    <w:rsid w:val="00E22E35"/>
    <w:rsid w:val="00E236A7"/>
    <w:rsid w:val="00E2370D"/>
    <w:rsid w:val="00E237DA"/>
    <w:rsid w:val="00E2381D"/>
    <w:rsid w:val="00E23B80"/>
    <w:rsid w:val="00E24539"/>
    <w:rsid w:val="00E247EE"/>
    <w:rsid w:val="00E24CE9"/>
    <w:rsid w:val="00E24DC1"/>
    <w:rsid w:val="00E25171"/>
    <w:rsid w:val="00E257DA"/>
    <w:rsid w:val="00E25F75"/>
    <w:rsid w:val="00E2635E"/>
    <w:rsid w:val="00E2773E"/>
    <w:rsid w:val="00E27A89"/>
    <w:rsid w:val="00E27ADF"/>
    <w:rsid w:val="00E27B4A"/>
    <w:rsid w:val="00E27C8B"/>
    <w:rsid w:val="00E27F56"/>
    <w:rsid w:val="00E3027E"/>
    <w:rsid w:val="00E30951"/>
    <w:rsid w:val="00E309A5"/>
    <w:rsid w:val="00E310B6"/>
    <w:rsid w:val="00E31705"/>
    <w:rsid w:val="00E3184B"/>
    <w:rsid w:val="00E31A8A"/>
    <w:rsid w:val="00E31B3F"/>
    <w:rsid w:val="00E32041"/>
    <w:rsid w:val="00E326D2"/>
    <w:rsid w:val="00E329B9"/>
    <w:rsid w:val="00E32C51"/>
    <w:rsid w:val="00E32CAC"/>
    <w:rsid w:val="00E32F00"/>
    <w:rsid w:val="00E335B9"/>
    <w:rsid w:val="00E338FE"/>
    <w:rsid w:val="00E33C2D"/>
    <w:rsid w:val="00E33D4E"/>
    <w:rsid w:val="00E33F58"/>
    <w:rsid w:val="00E34212"/>
    <w:rsid w:val="00E34350"/>
    <w:rsid w:val="00E3477B"/>
    <w:rsid w:val="00E34973"/>
    <w:rsid w:val="00E34BA7"/>
    <w:rsid w:val="00E34EE3"/>
    <w:rsid w:val="00E35451"/>
    <w:rsid w:val="00E35966"/>
    <w:rsid w:val="00E35A33"/>
    <w:rsid w:val="00E35DE5"/>
    <w:rsid w:val="00E367FE"/>
    <w:rsid w:val="00E36B5F"/>
    <w:rsid w:val="00E36E7A"/>
    <w:rsid w:val="00E37160"/>
    <w:rsid w:val="00E3723F"/>
    <w:rsid w:val="00E373EC"/>
    <w:rsid w:val="00E37A73"/>
    <w:rsid w:val="00E37B65"/>
    <w:rsid w:val="00E37D96"/>
    <w:rsid w:val="00E40B5E"/>
    <w:rsid w:val="00E4103D"/>
    <w:rsid w:val="00E4156E"/>
    <w:rsid w:val="00E41A79"/>
    <w:rsid w:val="00E41D0E"/>
    <w:rsid w:val="00E422D8"/>
    <w:rsid w:val="00E4264C"/>
    <w:rsid w:val="00E426F2"/>
    <w:rsid w:val="00E42A7D"/>
    <w:rsid w:val="00E43467"/>
    <w:rsid w:val="00E43597"/>
    <w:rsid w:val="00E43B0D"/>
    <w:rsid w:val="00E43C1F"/>
    <w:rsid w:val="00E43C9A"/>
    <w:rsid w:val="00E43FC0"/>
    <w:rsid w:val="00E44105"/>
    <w:rsid w:val="00E441C8"/>
    <w:rsid w:val="00E445D4"/>
    <w:rsid w:val="00E44635"/>
    <w:rsid w:val="00E447AB"/>
    <w:rsid w:val="00E44853"/>
    <w:rsid w:val="00E44859"/>
    <w:rsid w:val="00E44A73"/>
    <w:rsid w:val="00E44F97"/>
    <w:rsid w:val="00E4518E"/>
    <w:rsid w:val="00E45455"/>
    <w:rsid w:val="00E4570B"/>
    <w:rsid w:val="00E45B96"/>
    <w:rsid w:val="00E45C11"/>
    <w:rsid w:val="00E45CCA"/>
    <w:rsid w:val="00E45EEC"/>
    <w:rsid w:val="00E46194"/>
    <w:rsid w:val="00E4652E"/>
    <w:rsid w:val="00E466AF"/>
    <w:rsid w:val="00E46C16"/>
    <w:rsid w:val="00E46F0D"/>
    <w:rsid w:val="00E4726A"/>
    <w:rsid w:val="00E47851"/>
    <w:rsid w:val="00E47BBE"/>
    <w:rsid w:val="00E47C81"/>
    <w:rsid w:val="00E47FD9"/>
    <w:rsid w:val="00E47FE4"/>
    <w:rsid w:val="00E501FB"/>
    <w:rsid w:val="00E503C2"/>
    <w:rsid w:val="00E504E7"/>
    <w:rsid w:val="00E5070F"/>
    <w:rsid w:val="00E50C96"/>
    <w:rsid w:val="00E51685"/>
    <w:rsid w:val="00E51E1D"/>
    <w:rsid w:val="00E522FE"/>
    <w:rsid w:val="00E5356B"/>
    <w:rsid w:val="00E53850"/>
    <w:rsid w:val="00E53A41"/>
    <w:rsid w:val="00E53D0E"/>
    <w:rsid w:val="00E54242"/>
    <w:rsid w:val="00E5439B"/>
    <w:rsid w:val="00E54925"/>
    <w:rsid w:val="00E54B5A"/>
    <w:rsid w:val="00E54F9B"/>
    <w:rsid w:val="00E54F9C"/>
    <w:rsid w:val="00E5539E"/>
    <w:rsid w:val="00E55828"/>
    <w:rsid w:val="00E5584A"/>
    <w:rsid w:val="00E55A0B"/>
    <w:rsid w:val="00E55CC5"/>
    <w:rsid w:val="00E55CDA"/>
    <w:rsid w:val="00E55FAF"/>
    <w:rsid w:val="00E563DF"/>
    <w:rsid w:val="00E5676D"/>
    <w:rsid w:val="00E56C43"/>
    <w:rsid w:val="00E56CF4"/>
    <w:rsid w:val="00E56E0A"/>
    <w:rsid w:val="00E56E8E"/>
    <w:rsid w:val="00E57806"/>
    <w:rsid w:val="00E57C55"/>
    <w:rsid w:val="00E57DE2"/>
    <w:rsid w:val="00E60330"/>
    <w:rsid w:val="00E6035D"/>
    <w:rsid w:val="00E60724"/>
    <w:rsid w:val="00E60746"/>
    <w:rsid w:val="00E607DF"/>
    <w:rsid w:val="00E609DB"/>
    <w:rsid w:val="00E60AEE"/>
    <w:rsid w:val="00E60B09"/>
    <w:rsid w:val="00E60E38"/>
    <w:rsid w:val="00E60E84"/>
    <w:rsid w:val="00E60F12"/>
    <w:rsid w:val="00E6139F"/>
    <w:rsid w:val="00E615CE"/>
    <w:rsid w:val="00E61967"/>
    <w:rsid w:val="00E61B3D"/>
    <w:rsid w:val="00E61B5F"/>
    <w:rsid w:val="00E623FD"/>
    <w:rsid w:val="00E626DF"/>
    <w:rsid w:val="00E62BD5"/>
    <w:rsid w:val="00E6381A"/>
    <w:rsid w:val="00E63937"/>
    <w:rsid w:val="00E63D37"/>
    <w:rsid w:val="00E63E4B"/>
    <w:rsid w:val="00E63FB9"/>
    <w:rsid w:val="00E64493"/>
    <w:rsid w:val="00E645DB"/>
    <w:rsid w:val="00E64E84"/>
    <w:rsid w:val="00E64F4B"/>
    <w:rsid w:val="00E6508B"/>
    <w:rsid w:val="00E65550"/>
    <w:rsid w:val="00E656DB"/>
    <w:rsid w:val="00E65819"/>
    <w:rsid w:val="00E6593C"/>
    <w:rsid w:val="00E65DCF"/>
    <w:rsid w:val="00E65ED7"/>
    <w:rsid w:val="00E660EC"/>
    <w:rsid w:val="00E66385"/>
    <w:rsid w:val="00E6650E"/>
    <w:rsid w:val="00E66705"/>
    <w:rsid w:val="00E66B66"/>
    <w:rsid w:val="00E66D5D"/>
    <w:rsid w:val="00E66DDA"/>
    <w:rsid w:val="00E66DDE"/>
    <w:rsid w:val="00E67085"/>
    <w:rsid w:val="00E6735D"/>
    <w:rsid w:val="00E67436"/>
    <w:rsid w:val="00E67600"/>
    <w:rsid w:val="00E67D63"/>
    <w:rsid w:val="00E700CC"/>
    <w:rsid w:val="00E702B4"/>
    <w:rsid w:val="00E703E1"/>
    <w:rsid w:val="00E706CE"/>
    <w:rsid w:val="00E70E37"/>
    <w:rsid w:val="00E70EE5"/>
    <w:rsid w:val="00E71489"/>
    <w:rsid w:val="00E7176D"/>
    <w:rsid w:val="00E71824"/>
    <w:rsid w:val="00E71A19"/>
    <w:rsid w:val="00E71AF6"/>
    <w:rsid w:val="00E71B3A"/>
    <w:rsid w:val="00E71BC2"/>
    <w:rsid w:val="00E721A5"/>
    <w:rsid w:val="00E726FB"/>
    <w:rsid w:val="00E72A34"/>
    <w:rsid w:val="00E72D01"/>
    <w:rsid w:val="00E7301F"/>
    <w:rsid w:val="00E73038"/>
    <w:rsid w:val="00E7314D"/>
    <w:rsid w:val="00E73D80"/>
    <w:rsid w:val="00E73E4C"/>
    <w:rsid w:val="00E74586"/>
    <w:rsid w:val="00E74952"/>
    <w:rsid w:val="00E74997"/>
    <w:rsid w:val="00E74E08"/>
    <w:rsid w:val="00E75054"/>
    <w:rsid w:val="00E75336"/>
    <w:rsid w:val="00E754DD"/>
    <w:rsid w:val="00E75ABF"/>
    <w:rsid w:val="00E75B5A"/>
    <w:rsid w:val="00E75DBC"/>
    <w:rsid w:val="00E75EE8"/>
    <w:rsid w:val="00E76198"/>
    <w:rsid w:val="00E76548"/>
    <w:rsid w:val="00E7666F"/>
    <w:rsid w:val="00E76E26"/>
    <w:rsid w:val="00E76FFA"/>
    <w:rsid w:val="00E77391"/>
    <w:rsid w:val="00E773D6"/>
    <w:rsid w:val="00E77C58"/>
    <w:rsid w:val="00E77CFC"/>
    <w:rsid w:val="00E77E1C"/>
    <w:rsid w:val="00E77FBD"/>
    <w:rsid w:val="00E77FC5"/>
    <w:rsid w:val="00E8025A"/>
    <w:rsid w:val="00E803C8"/>
    <w:rsid w:val="00E80522"/>
    <w:rsid w:val="00E80B26"/>
    <w:rsid w:val="00E80FA2"/>
    <w:rsid w:val="00E81613"/>
    <w:rsid w:val="00E82375"/>
    <w:rsid w:val="00E825E9"/>
    <w:rsid w:val="00E82B2E"/>
    <w:rsid w:val="00E82E67"/>
    <w:rsid w:val="00E831CD"/>
    <w:rsid w:val="00E8332D"/>
    <w:rsid w:val="00E836A4"/>
    <w:rsid w:val="00E83784"/>
    <w:rsid w:val="00E8384B"/>
    <w:rsid w:val="00E83B4E"/>
    <w:rsid w:val="00E83C16"/>
    <w:rsid w:val="00E841D7"/>
    <w:rsid w:val="00E8478C"/>
    <w:rsid w:val="00E84873"/>
    <w:rsid w:val="00E84933"/>
    <w:rsid w:val="00E849C6"/>
    <w:rsid w:val="00E85001"/>
    <w:rsid w:val="00E850FE"/>
    <w:rsid w:val="00E854C3"/>
    <w:rsid w:val="00E85BBC"/>
    <w:rsid w:val="00E86053"/>
    <w:rsid w:val="00E86251"/>
    <w:rsid w:val="00E862C3"/>
    <w:rsid w:val="00E8656B"/>
    <w:rsid w:val="00E865E1"/>
    <w:rsid w:val="00E86927"/>
    <w:rsid w:val="00E86B19"/>
    <w:rsid w:val="00E86F81"/>
    <w:rsid w:val="00E8701C"/>
    <w:rsid w:val="00E874A0"/>
    <w:rsid w:val="00E87A0C"/>
    <w:rsid w:val="00E87C1B"/>
    <w:rsid w:val="00E87DDD"/>
    <w:rsid w:val="00E87F5C"/>
    <w:rsid w:val="00E9019F"/>
    <w:rsid w:val="00E901C5"/>
    <w:rsid w:val="00E905BA"/>
    <w:rsid w:val="00E906ED"/>
    <w:rsid w:val="00E909DB"/>
    <w:rsid w:val="00E90A30"/>
    <w:rsid w:val="00E90A34"/>
    <w:rsid w:val="00E914AB"/>
    <w:rsid w:val="00E9172A"/>
    <w:rsid w:val="00E91766"/>
    <w:rsid w:val="00E91B88"/>
    <w:rsid w:val="00E91BA3"/>
    <w:rsid w:val="00E91DF9"/>
    <w:rsid w:val="00E91F49"/>
    <w:rsid w:val="00E92212"/>
    <w:rsid w:val="00E92604"/>
    <w:rsid w:val="00E92642"/>
    <w:rsid w:val="00E92B32"/>
    <w:rsid w:val="00E94126"/>
    <w:rsid w:val="00E94428"/>
    <w:rsid w:val="00E94BC2"/>
    <w:rsid w:val="00E953C1"/>
    <w:rsid w:val="00E95401"/>
    <w:rsid w:val="00E954F5"/>
    <w:rsid w:val="00E95A74"/>
    <w:rsid w:val="00E96274"/>
    <w:rsid w:val="00E9651A"/>
    <w:rsid w:val="00E96900"/>
    <w:rsid w:val="00E96D9C"/>
    <w:rsid w:val="00E97184"/>
    <w:rsid w:val="00E97B75"/>
    <w:rsid w:val="00EA0735"/>
    <w:rsid w:val="00EA0D52"/>
    <w:rsid w:val="00EA1141"/>
    <w:rsid w:val="00EA11F0"/>
    <w:rsid w:val="00EA137B"/>
    <w:rsid w:val="00EA1583"/>
    <w:rsid w:val="00EA16D5"/>
    <w:rsid w:val="00EA1B08"/>
    <w:rsid w:val="00EA2387"/>
    <w:rsid w:val="00EA271F"/>
    <w:rsid w:val="00EA293A"/>
    <w:rsid w:val="00EA2B54"/>
    <w:rsid w:val="00EA2D0A"/>
    <w:rsid w:val="00EA2DEE"/>
    <w:rsid w:val="00EA3200"/>
    <w:rsid w:val="00EA366D"/>
    <w:rsid w:val="00EA3B61"/>
    <w:rsid w:val="00EA4029"/>
    <w:rsid w:val="00EA4294"/>
    <w:rsid w:val="00EA43A8"/>
    <w:rsid w:val="00EA4D64"/>
    <w:rsid w:val="00EA4E46"/>
    <w:rsid w:val="00EA4FD2"/>
    <w:rsid w:val="00EA521D"/>
    <w:rsid w:val="00EA5AC4"/>
    <w:rsid w:val="00EA5E52"/>
    <w:rsid w:val="00EA6030"/>
    <w:rsid w:val="00EA65B7"/>
    <w:rsid w:val="00EA6C1C"/>
    <w:rsid w:val="00EA6FA7"/>
    <w:rsid w:val="00EA6FFF"/>
    <w:rsid w:val="00EA7113"/>
    <w:rsid w:val="00EA7220"/>
    <w:rsid w:val="00EA7375"/>
    <w:rsid w:val="00EA7741"/>
    <w:rsid w:val="00EA7FAD"/>
    <w:rsid w:val="00EA7FB0"/>
    <w:rsid w:val="00EB0718"/>
    <w:rsid w:val="00EB076A"/>
    <w:rsid w:val="00EB0B19"/>
    <w:rsid w:val="00EB0B3B"/>
    <w:rsid w:val="00EB0C07"/>
    <w:rsid w:val="00EB1329"/>
    <w:rsid w:val="00EB14E1"/>
    <w:rsid w:val="00EB1AC6"/>
    <w:rsid w:val="00EB1BB4"/>
    <w:rsid w:val="00EB1BE5"/>
    <w:rsid w:val="00EB1D9C"/>
    <w:rsid w:val="00EB1EAB"/>
    <w:rsid w:val="00EB2569"/>
    <w:rsid w:val="00EB2DA4"/>
    <w:rsid w:val="00EB2DCD"/>
    <w:rsid w:val="00EB31C3"/>
    <w:rsid w:val="00EB352C"/>
    <w:rsid w:val="00EB38DF"/>
    <w:rsid w:val="00EB4593"/>
    <w:rsid w:val="00EB45DA"/>
    <w:rsid w:val="00EB466A"/>
    <w:rsid w:val="00EB4CF8"/>
    <w:rsid w:val="00EB500A"/>
    <w:rsid w:val="00EB512F"/>
    <w:rsid w:val="00EB51CF"/>
    <w:rsid w:val="00EB53FD"/>
    <w:rsid w:val="00EB5493"/>
    <w:rsid w:val="00EB55DF"/>
    <w:rsid w:val="00EB5AF9"/>
    <w:rsid w:val="00EB5F70"/>
    <w:rsid w:val="00EB6888"/>
    <w:rsid w:val="00EB68D8"/>
    <w:rsid w:val="00EB6C61"/>
    <w:rsid w:val="00EB70EE"/>
    <w:rsid w:val="00EB7426"/>
    <w:rsid w:val="00EB78CD"/>
    <w:rsid w:val="00EB7C51"/>
    <w:rsid w:val="00EB7D76"/>
    <w:rsid w:val="00EB7E15"/>
    <w:rsid w:val="00EB7EAB"/>
    <w:rsid w:val="00EC00D8"/>
    <w:rsid w:val="00EC00E5"/>
    <w:rsid w:val="00EC0348"/>
    <w:rsid w:val="00EC0387"/>
    <w:rsid w:val="00EC0454"/>
    <w:rsid w:val="00EC04B3"/>
    <w:rsid w:val="00EC075A"/>
    <w:rsid w:val="00EC0932"/>
    <w:rsid w:val="00EC09C0"/>
    <w:rsid w:val="00EC0F14"/>
    <w:rsid w:val="00EC1090"/>
    <w:rsid w:val="00EC1292"/>
    <w:rsid w:val="00EC16C4"/>
    <w:rsid w:val="00EC190C"/>
    <w:rsid w:val="00EC1D30"/>
    <w:rsid w:val="00EC2180"/>
    <w:rsid w:val="00EC21F1"/>
    <w:rsid w:val="00EC22C3"/>
    <w:rsid w:val="00EC2305"/>
    <w:rsid w:val="00EC2663"/>
    <w:rsid w:val="00EC2D26"/>
    <w:rsid w:val="00EC34F0"/>
    <w:rsid w:val="00EC3BAB"/>
    <w:rsid w:val="00EC3FE3"/>
    <w:rsid w:val="00EC443A"/>
    <w:rsid w:val="00EC4691"/>
    <w:rsid w:val="00EC4768"/>
    <w:rsid w:val="00EC4907"/>
    <w:rsid w:val="00EC4DB8"/>
    <w:rsid w:val="00EC4E4B"/>
    <w:rsid w:val="00EC546F"/>
    <w:rsid w:val="00EC55F5"/>
    <w:rsid w:val="00EC587B"/>
    <w:rsid w:val="00EC58A1"/>
    <w:rsid w:val="00EC5990"/>
    <w:rsid w:val="00EC5B05"/>
    <w:rsid w:val="00EC5C84"/>
    <w:rsid w:val="00EC5D23"/>
    <w:rsid w:val="00EC5FFA"/>
    <w:rsid w:val="00EC6116"/>
    <w:rsid w:val="00EC61E9"/>
    <w:rsid w:val="00EC631E"/>
    <w:rsid w:val="00EC632C"/>
    <w:rsid w:val="00EC6395"/>
    <w:rsid w:val="00EC6E05"/>
    <w:rsid w:val="00EC6F2A"/>
    <w:rsid w:val="00EC70A8"/>
    <w:rsid w:val="00EC7177"/>
    <w:rsid w:val="00EC71C9"/>
    <w:rsid w:val="00EC71D1"/>
    <w:rsid w:val="00EC72A8"/>
    <w:rsid w:val="00EC7867"/>
    <w:rsid w:val="00EC78CC"/>
    <w:rsid w:val="00ED00D8"/>
    <w:rsid w:val="00ED0253"/>
    <w:rsid w:val="00ED0315"/>
    <w:rsid w:val="00ED047E"/>
    <w:rsid w:val="00ED06EB"/>
    <w:rsid w:val="00ED070F"/>
    <w:rsid w:val="00ED0DDB"/>
    <w:rsid w:val="00ED0E8F"/>
    <w:rsid w:val="00ED1557"/>
    <w:rsid w:val="00ED156C"/>
    <w:rsid w:val="00ED16A9"/>
    <w:rsid w:val="00ED1790"/>
    <w:rsid w:val="00ED18A8"/>
    <w:rsid w:val="00ED1EF6"/>
    <w:rsid w:val="00ED2027"/>
    <w:rsid w:val="00ED2777"/>
    <w:rsid w:val="00ED2861"/>
    <w:rsid w:val="00ED2894"/>
    <w:rsid w:val="00ED2916"/>
    <w:rsid w:val="00ED3187"/>
    <w:rsid w:val="00ED36A8"/>
    <w:rsid w:val="00ED3D8C"/>
    <w:rsid w:val="00ED3F19"/>
    <w:rsid w:val="00ED4092"/>
    <w:rsid w:val="00ED43F9"/>
    <w:rsid w:val="00ED4558"/>
    <w:rsid w:val="00ED4652"/>
    <w:rsid w:val="00ED481C"/>
    <w:rsid w:val="00ED498C"/>
    <w:rsid w:val="00ED4A4D"/>
    <w:rsid w:val="00ED4B2E"/>
    <w:rsid w:val="00ED58B7"/>
    <w:rsid w:val="00ED5ED5"/>
    <w:rsid w:val="00ED5F6F"/>
    <w:rsid w:val="00ED601A"/>
    <w:rsid w:val="00ED6304"/>
    <w:rsid w:val="00ED6BCB"/>
    <w:rsid w:val="00ED6C6C"/>
    <w:rsid w:val="00ED6CFE"/>
    <w:rsid w:val="00ED70D7"/>
    <w:rsid w:val="00ED7390"/>
    <w:rsid w:val="00ED77FE"/>
    <w:rsid w:val="00ED7BA1"/>
    <w:rsid w:val="00ED7D23"/>
    <w:rsid w:val="00EE01A7"/>
    <w:rsid w:val="00EE022E"/>
    <w:rsid w:val="00EE0575"/>
    <w:rsid w:val="00EE065D"/>
    <w:rsid w:val="00EE0856"/>
    <w:rsid w:val="00EE11B1"/>
    <w:rsid w:val="00EE15F7"/>
    <w:rsid w:val="00EE16C1"/>
    <w:rsid w:val="00EE1863"/>
    <w:rsid w:val="00EE1F83"/>
    <w:rsid w:val="00EE232D"/>
    <w:rsid w:val="00EE2683"/>
    <w:rsid w:val="00EE28A4"/>
    <w:rsid w:val="00EE294B"/>
    <w:rsid w:val="00EE2D6B"/>
    <w:rsid w:val="00EE3129"/>
    <w:rsid w:val="00EE3356"/>
    <w:rsid w:val="00EE3659"/>
    <w:rsid w:val="00EE3670"/>
    <w:rsid w:val="00EE3E06"/>
    <w:rsid w:val="00EE4272"/>
    <w:rsid w:val="00EE44FF"/>
    <w:rsid w:val="00EE4CDD"/>
    <w:rsid w:val="00EE51F2"/>
    <w:rsid w:val="00EE5573"/>
    <w:rsid w:val="00EE5960"/>
    <w:rsid w:val="00EE59C6"/>
    <w:rsid w:val="00EE5CAA"/>
    <w:rsid w:val="00EE61C4"/>
    <w:rsid w:val="00EE6436"/>
    <w:rsid w:val="00EE6B3D"/>
    <w:rsid w:val="00EE6F98"/>
    <w:rsid w:val="00EE72CC"/>
    <w:rsid w:val="00EE739F"/>
    <w:rsid w:val="00EE7475"/>
    <w:rsid w:val="00EE7719"/>
    <w:rsid w:val="00EE7AFA"/>
    <w:rsid w:val="00EE7CDE"/>
    <w:rsid w:val="00EE7F98"/>
    <w:rsid w:val="00EF0127"/>
    <w:rsid w:val="00EF05C0"/>
    <w:rsid w:val="00EF0768"/>
    <w:rsid w:val="00EF0823"/>
    <w:rsid w:val="00EF0911"/>
    <w:rsid w:val="00EF0ACA"/>
    <w:rsid w:val="00EF0B15"/>
    <w:rsid w:val="00EF0B7A"/>
    <w:rsid w:val="00EF0BFA"/>
    <w:rsid w:val="00EF0CD8"/>
    <w:rsid w:val="00EF14A5"/>
    <w:rsid w:val="00EF14DE"/>
    <w:rsid w:val="00EF160C"/>
    <w:rsid w:val="00EF1900"/>
    <w:rsid w:val="00EF1C5E"/>
    <w:rsid w:val="00EF1CBA"/>
    <w:rsid w:val="00EF1E20"/>
    <w:rsid w:val="00EF1EF3"/>
    <w:rsid w:val="00EF1F28"/>
    <w:rsid w:val="00EF1FEF"/>
    <w:rsid w:val="00EF2544"/>
    <w:rsid w:val="00EF26A7"/>
    <w:rsid w:val="00EF2A8C"/>
    <w:rsid w:val="00EF2C64"/>
    <w:rsid w:val="00EF3245"/>
    <w:rsid w:val="00EF329E"/>
    <w:rsid w:val="00EF3B31"/>
    <w:rsid w:val="00EF3E2A"/>
    <w:rsid w:val="00EF3EE0"/>
    <w:rsid w:val="00EF40B9"/>
    <w:rsid w:val="00EF49AF"/>
    <w:rsid w:val="00EF4D91"/>
    <w:rsid w:val="00EF4F04"/>
    <w:rsid w:val="00EF5BE1"/>
    <w:rsid w:val="00EF5BEF"/>
    <w:rsid w:val="00EF5E9C"/>
    <w:rsid w:val="00EF607B"/>
    <w:rsid w:val="00EF6211"/>
    <w:rsid w:val="00EF667A"/>
    <w:rsid w:val="00EF6757"/>
    <w:rsid w:val="00EF684E"/>
    <w:rsid w:val="00EF6A57"/>
    <w:rsid w:val="00EF6B5B"/>
    <w:rsid w:val="00EF701E"/>
    <w:rsid w:val="00EF704E"/>
    <w:rsid w:val="00EF73B4"/>
    <w:rsid w:val="00EF7476"/>
    <w:rsid w:val="00F006EB"/>
    <w:rsid w:val="00F00735"/>
    <w:rsid w:val="00F008C8"/>
    <w:rsid w:val="00F00C0C"/>
    <w:rsid w:val="00F01311"/>
    <w:rsid w:val="00F015F7"/>
    <w:rsid w:val="00F01709"/>
    <w:rsid w:val="00F01886"/>
    <w:rsid w:val="00F01983"/>
    <w:rsid w:val="00F01C7F"/>
    <w:rsid w:val="00F01E8E"/>
    <w:rsid w:val="00F01F3D"/>
    <w:rsid w:val="00F020C8"/>
    <w:rsid w:val="00F0215B"/>
    <w:rsid w:val="00F02894"/>
    <w:rsid w:val="00F02A1D"/>
    <w:rsid w:val="00F02CE5"/>
    <w:rsid w:val="00F03095"/>
    <w:rsid w:val="00F030E8"/>
    <w:rsid w:val="00F03274"/>
    <w:rsid w:val="00F032AE"/>
    <w:rsid w:val="00F034A6"/>
    <w:rsid w:val="00F035A0"/>
    <w:rsid w:val="00F040D4"/>
    <w:rsid w:val="00F04628"/>
    <w:rsid w:val="00F04707"/>
    <w:rsid w:val="00F0484F"/>
    <w:rsid w:val="00F04CFF"/>
    <w:rsid w:val="00F051D7"/>
    <w:rsid w:val="00F05411"/>
    <w:rsid w:val="00F05505"/>
    <w:rsid w:val="00F05966"/>
    <w:rsid w:val="00F05A06"/>
    <w:rsid w:val="00F05D0A"/>
    <w:rsid w:val="00F05D5D"/>
    <w:rsid w:val="00F0631A"/>
    <w:rsid w:val="00F066A3"/>
    <w:rsid w:val="00F06A1F"/>
    <w:rsid w:val="00F06ACA"/>
    <w:rsid w:val="00F06D09"/>
    <w:rsid w:val="00F06E95"/>
    <w:rsid w:val="00F06EDC"/>
    <w:rsid w:val="00F072BF"/>
    <w:rsid w:val="00F07AD9"/>
    <w:rsid w:val="00F102A8"/>
    <w:rsid w:val="00F108AA"/>
    <w:rsid w:val="00F112A3"/>
    <w:rsid w:val="00F11367"/>
    <w:rsid w:val="00F113BC"/>
    <w:rsid w:val="00F11E0A"/>
    <w:rsid w:val="00F120E8"/>
    <w:rsid w:val="00F121F7"/>
    <w:rsid w:val="00F1231D"/>
    <w:rsid w:val="00F12326"/>
    <w:rsid w:val="00F12A17"/>
    <w:rsid w:val="00F12B92"/>
    <w:rsid w:val="00F13665"/>
    <w:rsid w:val="00F13788"/>
    <w:rsid w:val="00F13984"/>
    <w:rsid w:val="00F1411B"/>
    <w:rsid w:val="00F14252"/>
    <w:rsid w:val="00F14526"/>
    <w:rsid w:val="00F145C2"/>
    <w:rsid w:val="00F14B16"/>
    <w:rsid w:val="00F1578D"/>
    <w:rsid w:val="00F159FC"/>
    <w:rsid w:val="00F160E6"/>
    <w:rsid w:val="00F16C39"/>
    <w:rsid w:val="00F1702F"/>
    <w:rsid w:val="00F1703D"/>
    <w:rsid w:val="00F17043"/>
    <w:rsid w:val="00F176B8"/>
    <w:rsid w:val="00F17934"/>
    <w:rsid w:val="00F17A8C"/>
    <w:rsid w:val="00F17AEC"/>
    <w:rsid w:val="00F17B37"/>
    <w:rsid w:val="00F17BD3"/>
    <w:rsid w:val="00F17C36"/>
    <w:rsid w:val="00F2001A"/>
    <w:rsid w:val="00F20303"/>
    <w:rsid w:val="00F20394"/>
    <w:rsid w:val="00F209CF"/>
    <w:rsid w:val="00F212AF"/>
    <w:rsid w:val="00F21335"/>
    <w:rsid w:val="00F21537"/>
    <w:rsid w:val="00F21868"/>
    <w:rsid w:val="00F21901"/>
    <w:rsid w:val="00F21AFD"/>
    <w:rsid w:val="00F233B8"/>
    <w:rsid w:val="00F23509"/>
    <w:rsid w:val="00F238AD"/>
    <w:rsid w:val="00F23A06"/>
    <w:rsid w:val="00F23A84"/>
    <w:rsid w:val="00F23B71"/>
    <w:rsid w:val="00F2426F"/>
    <w:rsid w:val="00F244B0"/>
    <w:rsid w:val="00F249A8"/>
    <w:rsid w:val="00F24F8D"/>
    <w:rsid w:val="00F25041"/>
    <w:rsid w:val="00F250EA"/>
    <w:rsid w:val="00F25612"/>
    <w:rsid w:val="00F25AFA"/>
    <w:rsid w:val="00F25C3B"/>
    <w:rsid w:val="00F25CD2"/>
    <w:rsid w:val="00F25E4D"/>
    <w:rsid w:val="00F25E60"/>
    <w:rsid w:val="00F261E3"/>
    <w:rsid w:val="00F262ED"/>
    <w:rsid w:val="00F26944"/>
    <w:rsid w:val="00F269F6"/>
    <w:rsid w:val="00F26B48"/>
    <w:rsid w:val="00F26BE7"/>
    <w:rsid w:val="00F26C12"/>
    <w:rsid w:val="00F26DF1"/>
    <w:rsid w:val="00F26EEA"/>
    <w:rsid w:val="00F270AA"/>
    <w:rsid w:val="00F27AAB"/>
    <w:rsid w:val="00F27DD2"/>
    <w:rsid w:val="00F27E04"/>
    <w:rsid w:val="00F300F2"/>
    <w:rsid w:val="00F3015A"/>
    <w:rsid w:val="00F305A7"/>
    <w:rsid w:val="00F30AF2"/>
    <w:rsid w:val="00F30BA2"/>
    <w:rsid w:val="00F30BE1"/>
    <w:rsid w:val="00F30D2E"/>
    <w:rsid w:val="00F312AB"/>
    <w:rsid w:val="00F31512"/>
    <w:rsid w:val="00F31516"/>
    <w:rsid w:val="00F3157C"/>
    <w:rsid w:val="00F31B07"/>
    <w:rsid w:val="00F31BE1"/>
    <w:rsid w:val="00F31FAF"/>
    <w:rsid w:val="00F3281E"/>
    <w:rsid w:val="00F32882"/>
    <w:rsid w:val="00F32A61"/>
    <w:rsid w:val="00F3320A"/>
    <w:rsid w:val="00F3351C"/>
    <w:rsid w:val="00F335DE"/>
    <w:rsid w:val="00F33B75"/>
    <w:rsid w:val="00F3424A"/>
    <w:rsid w:val="00F3457C"/>
    <w:rsid w:val="00F34657"/>
    <w:rsid w:val="00F34764"/>
    <w:rsid w:val="00F35F18"/>
    <w:rsid w:val="00F35F98"/>
    <w:rsid w:val="00F3639F"/>
    <w:rsid w:val="00F36AF3"/>
    <w:rsid w:val="00F36BED"/>
    <w:rsid w:val="00F37132"/>
    <w:rsid w:val="00F371E8"/>
    <w:rsid w:val="00F37213"/>
    <w:rsid w:val="00F378A0"/>
    <w:rsid w:val="00F37E2F"/>
    <w:rsid w:val="00F4055F"/>
    <w:rsid w:val="00F40810"/>
    <w:rsid w:val="00F40E5A"/>
    <w:rsid w:val="00F40F0D"/>
    <w:rsid w:val="00F412DF"/>
    <w:rsid w:val="00F41913"/>
    <w:rsid w:val="00F423BA"/>
    <w:rsid w:val="00F42836"/>
    <w:rsid w:val="00F42BF4"/>
    <w:rsid w:val="00F4304C"/>
    <w:rsid w:val="00F434B4"/>
    <w:rsid w:val="00F43E8D"/>
    <w:rsid w:val="00F44959"/>
    <w:rsid w:val="00F44ACD"/>
    <w:rsid w:val="00F45628"/>
    <w:rsid w:val="00F45756"/>
    <w:rsid w:val="00F45831"/>
    <w:rsid w:val="00F45BB6"/>
    <w:rsid w:val="00F46091"/>
    <w:rsid w:val="00F46131"/>
    <w:rsid w:val="00F46842"/>
    <w:rsid w:val="00F46A5C"/>
    <w:rsid w:val="00F46DAB"/>
    <w:rsid w:val="00F47BAB"/>
    <w:rsid w:val="00F47BCB"/>
    <w:rsid w:val="00F47BDF"/>
    <w:rsid w:val="00F47ED5"/>
    <w:rsid w:val="00F47F3C"/>
    <w:rsid w:val="00F508D5"/>
    <w:rsid w:val="00F50A23"/>
    <w:rsid w:val="00F50F3E"/>
    <w:rsid w:val="00F50FD3"/>
    <w:rsid w:val="00F5106C"/>
    <w:rsid w:val="00F515B8"/>
    <w:rsid w:val="00F519D4"/>
    <w:rsid w:val="00F51A24"/>
    <w:rsid w:val="00F51C7E"/>
    <w:rsid w:val="00F51D8D"/>
    <w:rsid w:val="00F51F0C"/>
    <w:rsid w:val="00F51F41"/>
    <w:rsid w:val="00F52148"/>
    <w:rsid w:val="00F5232B"/>
    <w:rsid w:val="00F5272A"/>
    <w:rsid w:val="00F52882"/>
    <w:rsid w:val="00F52D92"/>
    <w:rsid w:val="00F52E33"/>
    <w:rsid w:val="00F52F89"/>
    <w:rsid w:val="00F5323D"/>
    <w:rsid w:val="00F53A2A"/>
    <w:rsid w:val="00F53A61"/>
    <w:rsid w:val="00F53B3B"/>
    <w:rsid w:val="00F53D68"/>
    <w:rsid w:val="00F546E2"/>
    <w:rsid w:val="00F547DA"/>
    <w:rsid w:val="00F54DBD"/>
    <w:rsid w:val="00F55149"/>
    <w:rsid w:val="00F551E2"/>
    <w:rsid w:val="00F551F6"/>
    <w:rsid w:val="00F5549A"/>
    <w:rsid w:val="00F557C7"/>
    <w:rsid w:val="00F55F98"/>
    <w:rsid w:val="00F56519"/>
    <w:rsid w:val="00F566CB"/>
    <w:rsid w:val="00F5698E"/>
    <w:rsid w:val="00F56BDA"/>
    <w:rsid w:val="00F56FDD"/>
    <w:rsid w:val="00F57A5C"/>
    <w:rsid w:val="00F57F86"/>
    <w:rsid w:val="00F60455"/>
    <w:rsid w:val="00F60529"/>
    <w:rsid w:val="00F6056E"/>
    <w:rsid w:val="00F6084F"/>
    <w:rsid w:val="00F60859"/>
    <w:rsid w:val="00F60BF6"/>
    <w:rsid w:val="00F60D2D"/>
    <w:rsid w:val="00F60F44"/>
    <w:rsid w:val="00F61261"/>
    <w:rsid w:val="00F614DB"/>
    <w:rsid w:val="00F615CE"/>
    <w:rsid w:val="00F6161D"/>
    <w:rsid w:val="00F617E6"/>
    <w:rsid w:val="00F61956"/>
    <w:rsid w:val="00F619C2"/>
    <w:rsid w:val="00F61A0E"/>
    <w:rsid w:val="00F61AD2"/>
    <w:rsid w:val="00F61E42"/>
    <w:rsid w:val="00F62099"/>
    <w:rsid w:val="00F621D1"/>
    <w:rsid w:val="00F6234D"/>
    <w:rsid w:val="00F62361"/>
    <w:rsid w:val="00F6283C"/>
    <w:rsid w:val="00F62AC4"/>
    <w:rsid w:val="00F62F7E"/>
    <w:rsid w:val="00F63167"/>
    <w:rsid w:val="00F6357C"/>
    <w:rsid w:val="00F6392B"/>
    <w:rsid w:val="00F63994"/>
    <w:rsid w:val="00F639D8"/>
    <w:rsid w:val="00F63D5E"/>
    <w:rsid w:val="00F63D85"/>
    <w:rsid w:val="00F63F43"/>
    <w:rsid w:val="00F649CB"/>
    <w:rsid w:val="00F65ADB"/>
    <w:rsid w:val="00F65CD5"/>
    <w:rsid w:val="00F65F8C"/>
    <w:rsid w:val="00F66150"/>
    <w:rsid w:val="00F6615B"/>
    <w:rsid w:val="00F662D5"/>
    <w:rsid w:val="00F66862"/>
    <w:rsid w:val="00F66979"/>
    <w:rsid w:val="00F6698E"/>
    <w:rsid w:val="00F66D27"/>
    <w:rsid w:val="00F66DFB"/>
    <w:rsid w:val="00F6722F"/>
    <w:rsid w:val="00F672FF"/>
    <w:rsid w:val="00F679EA"/>
    <w:rsid w:val="00F67F6C"/>
    <w:rsid w:val="00F70254"/>
    <w:rsid w:val="00F7052D"/>
    <w:rsid w:val="00F70559"/>
    <w:rsid w:val="00F7075C"/>
    <w:rsid w:val="00F717FD"/>
    <w:rsid w:val="00F71CC7"/>
    <w:rsid w:val="00F71E4B"/>
    <w:rsid w:val="00F72198"/>
    <w:rsid w:val="00F72B21"/>
    <w:rsid w:val="00F72CDC"/>
    <w:rsid w:val="00F72D79"/>
    <w:rsid w:val="00F73497"/>
    <w:rsid w:val="00F7355E"/>
    <w:rsid w:val="00F73787"/>
    <w:rsid w:val="00F73ABB"/>
    <w:rsid w:val="00F73D84"/>
    <w:rsid w:val="00F740F1"/>
    <w:rsid w:val="00F74676"/>
    <w:rsid w:val="00F74990"/>
    <w:rsid w:val="00F74CB0"/>
    <w:rsid w:val="00F750DC"/>
    <w:rsid w:val="00F758BE"/>
    <w:rsid w:val="00F75933"/>
    <w:rsid w:val="00F75B56"/>
    <w:rsid w:val="00F75EA5"/>
    <w:rsid w:val="00F75EAC"/>
    <w:rsid w:val="00F7639E"/>
    <w:rsid w:val="00F769E9"/>
    <w:rsid w:val="00F76B96"/>
    <w:rsid w:val="00F76C5B"/>
    <w:rsid w:val="00F76C7C"/>
    <w:rsid w:val="00F77012"/>
    <w:rsid w:val="00F77493"/>
    <w:rsid w:val="00F777E0"/>
    <w:rsid w:val="00F77938"/>
    <w:rsid w:val="00F77FB8"/>
    <w:rsid w:val="00F8020A"/>
    <w:rsid w:val="00F8025D"/>
    <w:rsid w:val="00F80756"/>
    <w:rsid w:val="00F808CD"/>
    <w:rsid w:val="00F80C7F"/>
    <w:rsid w:val="00F810A7"/>
    <w:rsid w:val="00F81302"/>
    <w:rsid w:val="00F813B4"/>
    <w:rsid w:val="00F81DC9"/>
    <w:rsid w:val="00F81E13"/>
    <w:rsid w:val="00F83055"/>
    <w:rsid w:val="00F83214"/>
    <w:rsid w:val="00F83320"/>
    <w:rsid w:val="00F83770"/>
    <w:rsid w:val="00F83853"/>
    <w:rsid w:val="00F8386B"/>
    <w:rsid w:val="00F838E9"/>
    <w:rsid w:val="00F83AAB"/>
    <w:rsid w:val="00F83AED"/>
    <w:rsid w:val="00F83BB5"/>
    <w:rsid w:val="00F83C4A"/>
    <w:rsid w:val="00F83C51"/>
    <w:rsid w:val="00F83FA4"/>
    <w:rsid w:val="00F8445E"/>
    <w:rsid w:val="00F845BF"/>
    <w:rsid w:val="00F84951"/>
    <w:rsid w:val="00F84958"/>
    <w:rsid w:val="00F84E14"/>
    <w:rsid w:val="00F84FEC"/>
    <w:rsid w:val="00F85323"/>
    <w:rsid w:val="00F85A74"/>
    <w:rsid w:val="00F85C07"/>
    <w:rsid w:val="00F85F19"/>
    <w:rsid w:val="00F868BD"/>
    <w:rsid w:val="00F86BE5"/>
    <w:rsid w:val="00F86CF3"/>
    <w:rsid w:val="00F87163"/>
    <w:rsid w:val="00F871A7"/>
    <w:rsid w:val="00F879FD"/>
    <w:rsid w:val="00F87B5E"/>
    <w:rsid w:val="00F87E18"/>
    <w:rsid w:val="00F87E78"/>
    <w:rsid w:val="00F87EAF"/>
    <w:rsid w:val="00F90028"/>
    <w:rsid w:val="00F903E9"/>
    <w:rsid w:val="00F9065A"/>
    <w:rsid w:val="00F90D5D"/>
    <w:rsid w:val="00F90D75"/>
    <w:rsid w:val="00F90E7C"/>
    <w:rsid w:val="00F90ECA"/>
    <w:rsid w:val="00F91074"/>
    <w:rsid w:val="00F91C03"/>
    <w:rsid w:val="00F920EC"/>
    <w:rsid w:val="00F921FC"/>
    <w:rsid w:val="00F9229C"/>
    <w:rsid w:val="00F922EF"/>
    <w:rsid w:val="00F92481"/>
    <w:rsid w:val="00F929B9"/>
    <w:rsid w:val="00F92CF3"/>
    <w:rsid w:val="00F92ED6"/>
    <w:rsid w:val="00F930EE"/>
    <w:rsid w:val="00F934A8"/>
    <w:rsid w:val="00F9367D"/>
    <w:rsid w:val="00F9398B"/>
    <w:rsid w:val="00F93AF7"/>
    <w:rsid w:val="00F93FF2"/>
    <w:rsid w:val="00F94A14"/>
    <w:rsid w:val="00F94C53"/>
    <w:rsid w:val="00F94C8E"/>
    <w:rsid w:val="00F952A7"/>
    <w:rsid w:val="00F952AA"/>
    <w:rsid w:val="00F953C0"/>
    <w:rsid w:val="00F9546E"/>
    <w:rsid w:val="00F9553A"/>
    <w:rsid w:val="00F9565C"/>
    <w:rsid w:val="00F95DEF"/>
    <w:rsid w:val="00F95FE1"/>
    <w:rsid w:val="00F9615C"/>
    <w:rsid w:val="00F96456"/>
    <w:rsid w:val="00F96711"/>
    <w:rsid w:val="00F969E2"/>
    <w:rsid w:val="00F96AC8"/>
    <w:rsid w:val="00F96E80"/>
    <w:rsid w:val="00F9708F"/>
    <w:rsid w:val="00F971CF"/>
    <w:rsid w:val="00F9750E"/>
    <w:rsid w:val="00F9780D"/>
    <w:rsid w:val="00F97A03"/>
    <w:rsid w:val="00F97E58"/>
    <w:rsid w:val="00F97F00"/>
    <w:rsid w:val="00FA045A"/>
    <w:rsid w:val="00FA05C5"/>
    <w:rsid w:val="00FA1195"/>
    <w:rsid w:val="00FA12A0"/>
    <w:rsid w:val="00FA1699"/>
    <w:rsid w:val="00FA19AC"/>
    <w:rsid w:val="00FA1B87"/>
    <w:rsid w:val="00FA1C90"/>
    <w:rsid w:val="00FA1CBF"/>
    <w:rsid w:val="00FA2068"/>
    <w:rsid w:val="00FA22E9"/>
    <w:rsid w:val="00FA2702"/>
    <w:rsid w:val="00FA29C7"/>
    <w:rsid w:val="00FA2FB6"/>
    <w:rsid w:val="00FA31E7"/>
    <w:rsid w:val="00FA3317"/>
    <w:rsid w:val="00FA350A"/>
    <w:rsid w:val="00FA36A3"/>
    <w:rsid w:val="00FA36E6"/>
    <w:rsid w:val="00FA3BBF"/>
    <w:rsid w:val="00FA478F"/>
    <w:rsid w:val="00FA47CB"/>
    <w:rsid w:val="00FA4B9E"/>
    <w:rsid w:val="00FA4E81"/>
    <w:rsid w:val="00FA50C2"/>
    <w:rsid w:val="00FA54D4"/>
    <w:rsid w:val="00FA5544"/>
    <w:rsid w:val="00FA5B04"/>
    <w:rsid w:val="00FA655F"/>
    <w:rsid w:val="00FA6E2C"/>
    <w:rsid w:val="00FA6EF0"/>
    <w:rsid w:val="00FA6FD2"/>
    <w:rsid w:val="00FA73F5"/>
    <w:rsid w:val="00FA785B"/>
    <w:rsid w:val="00FA79B2"/>
    <w:rsid w:val="00FA79DB"/>
    <w:rsid w:val="00FA7AB3"/>
    <w:rsid w:val="00FA7CE4"/>
    <w:rsid w:val="00FB0C82"/>
    <w:rsid w:val="00FB186D"/>
    <w:rsid w:val="00FB192D"/>
    <w:rsid w:val="00FB1AEB"/>
    <w:rsid w:val="00FB1E03"/>
    <w:rsid w:val="00FB2423"/>
    <w:rsid w:val="00FB269D"/>
    <w:rsid w:val="00FB29C7"/>
    <w:rsid w:val="00FB2BDE"/>
    <w:rsid w:val="00FB30FE"/>
    <w:rsid w:val="00FB3632"/>
    <w:rsid w:val="00FB36A9"/>
    <w:rsid w:val="00FB3CA0"/>
    <w:rsid w:val="00FB3D4C"/>
    <w:rsid w:val="00FB3F71"/>
    <w:rsid w:val="00FB40BA"/>
    <w:rsid w:val="00FB4390"/>
    <w:rsid w:val="00FB4713"/>
    <w:rsid w:val="00FB4BC3"/>
    <w:rsid w:val="00FB4BDD"/>
    <w:rsid w:val="00FB4C98"/>
    <w:rsid w:val="00FB5115"/>
    <w:rsid w:val="00FB5283"/>
    <w:rsid w:val="00FB53EC"/>
    <w:rsid w:val="00FB5771"/>
    <w:rsid w:val="00FB57A0"/>
    <w:rsid w:val="00FB5847"/>
    <w:rsid w:val="00FB590C"/>
    <w:rsid w:val="00FB59E9"/>
    <w:rsid w:val="00FB5AD9"/>
    <w:rsid w:val="00FB66D1"/>
    <w:rsid w:val="00FB6ECF"/>
    <w:rsid w:val="00FB7451"/>
    <w:rsid w:val="00FB76AB"/>
    <w:rsid w:val="00FB7A6A"/>
    <w:rsid w:val="00FB7DBF"/>
    <w:rsid w:val="00FC0122"/>
    <w:rsid w:val="00FC019F"/>
    <w:rsid w:val="00FC01DA"/>
    <w:rsid w:val="00FC0D7C"/>
    <w:rsid w:val="00FC1103"/>
    <w:rsid w:val="00FC15F5"/>
    <w:rsid w:val="00FC1926"/>
    <w:rsid w:val="00FC1A1E"/>
    <w:rsid w:val="00FC1C86"/>
    <w:rsid w:val="00FC1D5A"/>
    <w:rsid w:val="00FC20BC"/>
    <w:rsid w:val="00FC27FB"/>
    <w:rsid w:val="00FC2BBF"/>
    <w:rsid w:val="00FC2C4C"/>
    <w:rsid w:val="00FC303C"/>
    <w:rsid w:val="00FC30A0"/>
    <w:rsid w:val="00FC31F1"/>
    <w:rsid w:val="00FC3382"/>
    <w:rsid w:val="00FC361B"/>
    <w:rsid w:val="00FC384C"/>
    <w:rsid w:val="00FC385D"/>
    <w:rsid w:val="00FC4075"/>
    <w:rsid w:val="00FC454B"/>
    <w:rsid w:val="00FC4553"/>
    <w:rsid w:val="00FC465D"/>
    <w:rsid w:val="00FC46E8"/>
    <w:rsid w:val="00FC470C"/>
    <w:rsid w:val="00FC4B5F"/>
    <w:rsid w:val="00FC4D34"/>
    <w:rsid w:val="00FC5569"/>
    <w:rsid w:val="00FC55FC"/>
    <w:rsid w:val="00FC5A77"/>
    <w:rsid w:val="00FC5C92"/>
    <w:rsid w:val="00FC648E"/>
    <w:rsid w:val="00FC6533"/>
    <w:rsid w:val="00FC6548"/>
    <w:rsid w:val="00FC6630"/>
    <w:rsid w:val="00FC6862"/>
    <w:rsid w:val="00FC6C7B"/>
    <w:rsid w:val="00FC6D6B"/>
    <w:rsid w:val="00FC6DC2"/>
    <w:rsid w:val="00FC741A"/>
    <w:rsid w:val="00FC746B"/>
    <w:rsid w:val="00FC7494"/>
    <w:rsid w:val="00FC768B"/>
    <w:rsid w:val="00FC7CF7"/>
    <w:rsid w:val="00FD023C"/>
    <w:rsid w:val="00FD0722"/>
    <w:rsid w:val="00FD074C"/>
    <w:rsid w:val="00FD0AFE"/>
    <w:rsid w:val="00FD0EEB"/>
    <w:rsid w:val="00FD1139"/>
    <w:rsid w:val="00FD13A2"/>
    <w:rsid w:val="00FD1517"/>
    <w:rsid w:val="00FD162A"/>
    <w:rsid w:val="00FD166E"/>
    <w:rsid w:val="00FD1E02"/>
    <w:rsid w:val="00FD21C1"/>
    <w:rsid w:val="00FD2279"/>
    <w:rsid w:val="00FD248A"/>
    <w:rsid w:val="00FD25E4"/>
    <w:rsid w:val="00FD2D16"/>
    <w:rsid w:val="00FD2D28"/>
    <w:rsid w:val="00FD3158"/>
    <w:rsid w:val="00FD3451"/>
    <w:rsid w:val="00FD352D"/>
    <w:rsid w:val="00FD36BF"/>
    <w:rsid w:val="00FD3BBD"/>
    <w:rsid w:val="00FD3FB1"/>
    <w:rsid w:val="00FD4028"/>
    <w:rsid w:val="00FD40CF"/>
    <w:rsid w:val="00FD425B"/>
    <w:rsid w:val="00FD497D"/>
    <w:rsid w:val="00FD4A49"/>
    <w:rsid w:val="00FD5025"/>
    <w:rsid w:val="00FD51E3"/>
    <w:rsid w:val="00FD55AC"/>
    <w:rsid w:val="00FD59D7"/>
    <w:rsid w:val="00FD5F98"/>
    <w:rsid w:val="00FD6C86"/>
    <w:rsid w:val="00FD6DC3"/>
    <w:rsid w:val="00FD6E9F"/>
    <w:rsid w:val="00FD7132"/>
    <w:rsid w:val="00FD7241"/>
    <w:rsid w:val="00FE018E"/>
    <w:rsid w:val="00FE08E3"/>
    <w:rsid w:val="00FE08FE"/>
    <w:rsid w:val="00FE0BF1"/>
    <w:rsid w:val="00FE0EC3"/>
    <w:rsid w:val="00FE1028"/>
    <w:rsid w:val="00FE13F8"/>
    <w:rsid w:val="00FE15AD"/>
    <w:rsid w:val="00FE15F3"/>
    <w:rsid w:val="00FE182B"/>
    <w:rsid w:val="00FE1AC9"/>
    <w:rsid w:val="00FE1C0E"/>
    <w:rsid w:val="00FE1CEE"/>
    <w:rsid w:val="00FE29C2"/>
    <w:rsid w:val="00FE2F8B"/>
    <w:rsid w:val="00FE30A1"/>
    <w:rsid w:val="00FE31D9"/>
    <w:rsid w:val="00FE371A"/>
    <w:rsid w:val="00FE3B51"/>
    <w:rsid w:val="00FE446B"/>
    <w:rsid w:val="00FE4972"/>
    <w:rsid w:val="00FE4BA0"/>
    <w:rsid w:val="00FE51BF"/>
    <w:rsid w:val="00FE56F9"/>
    <w:rsid w:val="00FE5880"/>
    <w:rsid w:val="00FE5B58"/>
    <w:rsid w:val="00FE5C99"/>
    <w:rsid w:val="00FE5CFC"/>
    <w:rsid w:val="00FE5D96"/>
    <w:rsid w:val="00FE5DF7"/>
    <w:rsid w:val="00FE601A"/>
    <w:rsid w:val="00FE6074"/>
    <w:rsid w:val="00FE60C4"/>
    <w:rsid w:val="00FE60DF"/>
    <w:rsid w:val="00FE633E"/>
    <w:rsid w:val="00FE6378"/>
    <w:rsid w:val="00FE6828"/>
    <w:rsid w:val="00FE6BA3"/>
    <w:rsid w:val="00FE740B"/>
    <w:rsid w:val="00FE76C9"/>
    <w:rsid w:val="00FE76CA"/>
    <w:rsid w:val="00FE7936"/>
    <w:rsid w:val="00FE7AB8"/>
    <w:rsid w:val="00FE7C05"/>
    <w:rsid w:val="00FF01C9"/>
    <w:rsid w:val="00FF08CE"/>
    <w:rsid w:val="00FF08DD"/>
    <w:rsid w:val="00FF0BB7"/>
    <w:rsid w:val="00FF0BE2"/>
    <w:rsid w:val="00FF15BE"/>
    <w:rsid w:val="00FF1BC6"/>
    <w:rsid w:val="00FF2071"/>
    <w:rsid w:val="00FF2232"/>
    <w:rsid w:val="00FF25C9"/>
    <w:rsid w:val="00FF2994"/>
    <w:rsid w:val="00FF2CBF"/>
    <w:rsid w:val="00FF2ED8"/>
    <w:rsid w:val="00FF2F19"/>
    <w:rsid w:val="00FF321C"/>
    <w:rsid w:val="00FF341B"/>
    <w:rsid w:val="00FF3995"/>
    <w:rsid w:val="00FF3BDF"/>
    <w:rsid w:val="00FF3D28"/>
    <w:rsid w:val="00FF4123"/>
    <w:rsid w:val="00FF4878"/>
    <w:rsid w:val="00FF4B60"/>
    <w:rsid w:val="00FF4E6C"/>
    <w:rsid w:val="00FF5125"/>
    <w:rsid w:val="00FF57C6"/>
    <w:rsid w:val="00FF64B0"/>
    <w:rsid w:val="00FF659A"/>
    <w:rsid w:val="00FF6D4F"/>
    <w:rsid w:val="00FF70D5"/>
    <w:rsid w:val="00FF70E7"/>
    <w:rsid w:val="00FF71E4"/>
    <w:rsid w:val="00FF7570"/>
    <w:rsid w:val="00FF7964"/>
    <w:rsid w:val="0109664F"/>
    <w:rsid w:val="010B7637"/>
    <w:rsid w:val="010C0C85"/>
    <w:rsid w:val="010E78D2"/>
    <w:rsid w:val="01131CAA"/>
    <w:rsid w:val="01135665"/>
    <w:rsid w:val="011C09EE"/>
    <w:rsid w:val="012010A3"/>
    <w:rsid w:val="01223B56"/>
    <w:rsid w:val="012664E8"/>
    <w:rsid w:val="012A38A4"/>
    <w:rsid w:val="012D147C"/>
    <w:rsid w:val="012E6E12"/>
    <w:rsid w:val="01422993"/>
    <w:rsid w:val="0146260B"/>
    <w:rsid w:val="014830C8"/>
    <w:rsid w:val="01485C55"/>
    <w:rsid w:val="014A5D6B"/>
    <w:rsid w:val="014C342F"/>
    <w:rsid w:val="014F0608"/>
    <w:rsid w:val="014F6EF5"/>
    <w:rsid w:val="015118E0"/>
    <w:rsid w:val="01531003"/>
    <w:rsid w:val="01553991"/>
    <w:rsid w:val="01584DA3"/>
    <w:rsid w:val="015B5BE0"/>
    <w:rsid w:val="015D22AF"/>
    <w:rsid w:val="01715C82"/>
    <w:rsid w:val="0172238D"/>
    <w:rsid w:val="01777875"/>
    <w:rsid w:val="01791183"/>
    <w:rsid w:val="017B5A74"/>
    <w:rsid w:val="017C7204"/>
    <w:rsid w:val="017E1193"/>
    <w:rsid w:val="017E4245"/>
    <w:rsid w:val="017E4DA9"/>
    <w:rsid w:val="017E6CDD"/>
    <w:rsid w:val="018318F3"/>
    <w:rsid w:val="0187548C"/>
    <w:rsid w:val="01964F14"/>
    <w:rsid w:val="01974E1D"/>
    <w:rsid w:val="01984653"/>
    <w:rsid w:val="01994337"/>
    <w:rsid w:val="01A7359D"/>
    <w:rsid w:val="01A96AFF"/>
    <w:rsid w:val="01AD2B2D"/>
    <w:rsid w:val="01AF5DCA"/>
    <w:rsid w:val="01B7300B"/>
    <w:rsid w:val="01BB20C0"/>
    <w:rsid w:val="01C046AC"/>
    <w:rsid w:val="01C34144"/>
    <w:rsid w:val="01C41D7B"/>
    <w:rsid w:val="01CF08BB"/>
    <w:rsid w:val="01DB6B02"/>
    <w:rsid w:val="01E16630"/>
    <w:rsid w:val="01E471F9"/>
    <w:rsid w:val="01EC5E75"/>
    <w:rsid w:val="01F12696"/>
    <w:rsid w:val="01F170BD"/>
    <w:rsid w:val="01F761EF"/>
    <w:rsid w:val="01FE68A6"/>
    <w:rsid w:val="02000987"/>
    <w:rsid w:val="02016302"/>
    <w:rsid w:val="02093AF5"/>
    <w:rsid w:val="020D5C54"/>
    <w:rsid w:val="02127911"/>
    <w:rsid w:val="02127D12"/>
    <w:rsid w:val="02137DDE"/>
    <w:rsid w:val="02154CBF"/>
    <w:rsid w:val="0217695B"/>
    <w:rsid w:val="0218234F"/>
    <w:rsid w:val="021836F0"/>
    <w:rsid w:val="02197385"/>
    <w:rsid w:val="021A782D"/>
    <w:rsid w:val="021B2375"/>
    <w:rsid w:val="021F74C4"/>
    <w:rsid w:val="02214275"/>
    <w:rsid w:val="022473E3"/>
    <w:rsid w:val="02293C40"/>
    <w:rsid w:val="022B5F5C"/>
    <w:rsid w:val="02310277"/>
    <w:rsid w:val="023442DD"/>
    <w:rsid w:val="024559B8"/>
    <w:rsid w:val="0248381D"/>
    <w:rsid w:val="02490040"/>
    <w:rsid w:val="024D5874"/>
    <w:rsid w:val="02536A24"/>
    <w:rsid w:val="02561D75"/>
    <w:rsid w:val="025A5EB4"/>
    <w:rsid w:val="025D6043"/>
    <w:rsid w:val="025F6FEF"/>
    <w:rsid w:val="02610DBC"/>
    <w:rsid w:val="026A6DFC"/>
    <w:rsid w:val="026C65FF"/>
    <w:rsid w:val="02740467"/>
    <w:rsid w:val="02756897"/>
    <w:rsid w:val="027904F8"/>
    <w:rsid w:val="0279454D"/>
    <w:rsid w:val="027F4127"/>
    <w:rsid w:val="027F5E7B"/>
    <w:rsid w:val="02876083"/>
    <w:rsid w:val="02887A4F"/>
    <w:rsid w:val="028A4717"/>
    <w:rsid w:val="02965857"/>
    <w:rsid w:val="029C2D7B"/>
    <w:rsid w:val="029E5B5A"/>
    <w:rsid w:val="02A5670D"/>
    <w:rsid w:val="02A63E80"/>
    <w:rsid w:val="02A84FD9"/>
    <w:rsid w:val="02AE784F"/>
    <w:rsid w:val="02B2464C"/>
    <w:rsid w:val="02C07F66"/>
    <w:rsid w:val="02C546B9"/>
    <w:rsid w:val="02C6660F"/>
    <w:rsid w:val="02C854A1"/>
    <w:rsid w:val="02CD1E12"/>
    <w:rsid w:val="02CF6E52"/>
    <w:rsid w:val="02D27D99"/>
    <w:rsid w:val="02D674DE"/>
    <w:rsid w:val="02D96E8B"/>
    <w:rsid w:val="02EE3FAA"/>
    <w:rsid w:val="02F11A29"/>
    <w:rsid w:val="02F26CDE"/>
    <w:rsid w:val="02FB378E"/>
    <w:rsid w:val="02FC3421"/>
    <w:rsid w:val="02FD3309"/>
    <w:rsid w:val="02FF2BD1"/>
    <w:rsid w:val="03004C72"/>
    <w:rsid w:val="03053E82"/>
    <w:rsid w:val="03074E51"/>
    <w:rsid w:val="03093486"/>
    <w:rsid w:val="030B773B"/>
    <w:rsid w:val="030D46BA"/>
    <w:rsid w:val="03102A81"/>
    <w:rsid w:val="03121E7B"/>
    <w:rsid w:val="03154853"/>
    <w:rsid w:val="031C1FEB"/>
    <w:rsid w:val="031D6C8F"/>
    <w:rsid w:val="031E2FE1"/>
    <w:rsid w:val="03285661"/>
    <w:rsid w:val="03296E70"/>
    <w:rsid w:val="032B7A26"/>
    <w:rsid w:val="032C3720"/>
    <w:rsid w:val="03333E84"/>
    <w:rsid w:val="0333756A"/>
    <w:rsid w:val="033A1815"/>
    <w:rsid w:val="033D526A"/>
    <w:rsid w:val="034002BB"/>
    <w:rsid w:val="03432012"/>
    <w:rsid w:val="03441B72"/>
    <w:rsid w:val="034D52AC"/>
    <w:rsid w:val="034E5C18"/>
    <w:rsid w:val="03514B77"/>
    <w:rsid w:val="03533563"/>
    <w:rsid w:val="03536477"/>
    <w:rsid w:val="035814CA"/>
    <w:rsid w:val="03597F86"/>
    <w:rsid w:val="035C1F5E"/>
    <w:rsid w:val="035C5783"/>
    <w:rsid w:val="03616C4B"/>
    <w:rsid w:val="036D03F7"/>
    <w:rsid w:val="036E557E"/>
    <w:rsid w:val="03726C71"/>
    <w:rsid w:val="037274FD"/>
    <w:rsid w:val="03766543"/>
    <w:rsid w:val="037C2751"/>
    <w:rsid w:val="037D6371"/>
    <w:rsid w:val="038043E3"/>
    <w:rsid w:val="03820CF5"/>
    <w:rsid w:val="03855F5D"/>
    <w:rsid w:val="03865D5E"/>
    <w:rsid w:val="038679F9"/>
    <w:rsid w:val="038F2A59"/>
    <w:rsid w:val="039F629C"/>
    <w:rsid w:val="03A0538A"/>
    <w:rsid w:val="03A37BFD"/>
    <w:rsid w:val="03A60E6E"/>
    <w:rsid w:val="03A65DBA"/>
    <w:rsid w:val="03A958C9"/>
    <w:rsid w:val="03A9618F"/>
    <w:rsid w:val="03AC3869"/>
    <w:rsid w:val="03AC7AE4"/>
    <w:rsid w:val="03B2712E"/>
    <w:rsid w:val="03BB0802"/>
    <w:rsid w:val="03BB15D6"/>
    <w:rsid w:val="03BB73F2"/>
    <w:rsid w:val="03C12510"/>
    <w:rsid w:val="03C64139"/>
    <w:rsid w:val="03C66690"/>
    <w:rsid w:val="03C82944"/>
    <w:rsid w:val="03CB2B8A"/>
    <w:rsid w:val="03CC180C"/>
    <w:rsid w:val="03CF5EC8"/>
    <w:rsid w:val="03D33EDD"/>
    <w:rsid w:val="03D7307B"/>
    <w:rsid w:val="03D815DD"/>
    <w:rsid w:val="03DA1EF9"/>
    <w:rsid w:val="03DA537B"/>
    <w:rsid w:val="03DB2023"/>
    <w:rsid w:val="03E43430"/>
    <w:rsid w:val="03E500D3"/>
    <w:rsid w:val="03EF2AC3"/>
    <w:rsid w:val="03EF596B"/>
    <w:rsid w:val="03F14573"/>
    <w:rsid w:val="03F34ADE"/>
    <w:rsid w:val="03F6078C"/>
    <w:rsid w:val="03FB0DDC"/>
    <w:rsid w:val="03FE22FD"/>
    <w:rsid w:val="04023C48"/>
    <w:rsid w:val="04027A67"/>
    <w:rsid w:val="04064E22"/>
    <w:rsid w:val="041139E9"/>
    <w:rsid w:val="04117293"/>
    <w:rsid w:val="04122E3F"/>
    <w:rsid w:val="04180320"/>
    <w:rsid w:val="041C23DA"/>
    <w:rsid w:val="04200A65"/>
    <w:rsid w:val="04254721"/>
    <w:rsid w:val="042D438D"/>
    <w:rsid w:val="0432161F"/>
    <w:rsid w:val="043226BB"/>
    <w:rsid w:val="043260AE"/>
    <w:rsid w:val="044302B2"/>
    <w:rsid w:val="04433E04"/>
    <w:rsid w:val="044364FB"/>
    <w:rsid w:val="04453B6A"/>
    <w:rsid w:val="044806DE"/>
    <w:rsid w:val="04497D44"/>
    <w:rsid w:val="044C11C3"/>
    <w:rsid w:val="044D2CAB"/>
    <w:rsid w:val="04512206"/>
    <w:rsid w:val="045714BE"/>
    <w:rsid w:val="04640183"/>
    <w:rsid w:val="04673C2E"/>
    <w:rsid w:val="0468187F"/>
    <w:rsid w:val="046B0CCD"/>
    <w:rsid w:val="046E7A8B"/>
    <w:rsid w:val="046E7CBF"/>
    <w:rsid w:val="04736E6A"/>
    <w:rsid w:val="048F731D"/>
    <w:rsid w:val="0493631B"/>
    <w:rsid w:val="04946463"/>
    <w:rsid w:val="0496410B"/>
    <w:rsid w:val="049A0791"/>
    <w:rsid w:val="049A1C79"/>
    <w:rsid w:val="049D2418"/>
    <w:rsid w:val="04A31BCF"/>
    <w:rsid w:val="04A43E84"/>
    <w:rsid w:val="04A52B5F"/>
    <w:rsid w:val="04A8266B"/>
    <w:rsid w:val="04BB5FB2"/>
    <w:rsid w:val="04BC2019"/>
    <w:rsid w:val="04C33292"/>
    <w:rsid w:val="04CF1FB9"/>
    <w:rsid w:val="04D26AF3"/>
    <w:rsid w:val="04DA0001"/>
    <w:rsid w:val="04DC36B8"/>
    <w:rsid w:val="04DE2845"/>
    <w:rsid w:val="04DF37E3"/>
    <w:rsid w:val="04E309E9"/>
    <w:rsid w:val="04E460FB"/>
    <w:rsid w:val="04E674EB"/>
    <w:rsid w:val="04F0408A"/>
    <w:rsid w:val="04F27738"/>
    <w:rsid w:val="04F85093"/>
    <w:rsid w:val="04F97D40"/>
    <w:rsid w:val="04FA1DF1"/>
    <w:rsid w:val="050236A2"/>
    <w:rsid w:val="0504278F"/>
    <w:rsid w:val="0505044F"/>
    <w:rsid w:val="050D1C8F"/>
    <w:rsid w:val="05144B74"/>
    <w:rsid w:val="051961F8"/>
    <w:rsid w:val="05207639"/>
    <w:rsid w:val="052837BD"/>
    <w:rsid w:val="05293855"/>
    <w:rsid w:val="05312A11"/>
    <w:rsid w:val="05350A5B"/>
    <w:rsid w:val="053B58F4"/>
    <w:rsid w:val="053C165F"/>
    <w:rsid w:val="053C78C7"/>
    <w:rsid w:val="053F3C3A"/>
    <w:rsid w:val="05436364"/>
    <w:rsid w:val="05450E18"/>
    <w:rsid w:val="054C07B1"/>
    <w:rsid w:val="055073F3"/>
    <w:rsid w:val="05517A0D"/>
    <w:rsid w:val="05567439"/>
    <w:rsid w:val="055C42C4"/>
    <w:rsid w:val="05601415"/>
    <w:rsid w:val="056B4ED7"/>
    <w:rsid w:val="056E1388"/>
    <w:rsid w:val="05705AEA"/>
    <w:rsid w:val="05755DCB"/>
    <w:rsid w:val="05804D8E"/>
    <w:rsid w:val="05874FA8"/>
    <w:rsid w:val="05965E88"/>
    <w:rsid w:val="059C4B63"/>
    <w:rsid w:val="059F241C"/>
    <w:rsid w:val="05A0255D"/>
    <w:rsid w:val="05A113D4"/>
    <w:rsid w:val="05A1730E"/>
    <w:rsid w:val="05A21036"/>
    <w:rsid w:val="05A26D57"/>
    <w:rsid w:val="05A379C0"/>
    <w:rsid w:val="05A4669F"/>
    <w:rsid w:val="05A64B04"/>
    <w:rsid w:val="05A9431A"/>
    <w:rsid w:val="05AA39E0"/>
    <w:rsid w:val="05AC031A"/>
    <w:rsid w:val="05AE2D26"/>
    <w:rsid w:val="05AE43A5"/>
    <w:rsid w:val="05B2139D"/>
    <w:rsid w:val="05C35FBC"/>
    <w:rsid w:val="05C450CB"/>
    <w:rsid w:val="05C45118"/>
    <w:rsid w:val="05C52C89"/>
    <w:rsid w:val="05C6319E"/>
    <w:rsid w:val="05CB67FB"/>
    <w:rsid w:val="05D05454"/>
    <w:rsid w:val="05D25655"/>
    <w:rsid w:val="05D808B1"/>
    <w:rsid w:val="05DA54A7"/>
    <w:rsid w:val="05DB3EEB"/>
    <w:rsid w:val="05E126F6"/>
    <w:rsid w:val="05EF77A3"/>
    <w:rsid w:val="05F26D9F"/>
    <w:rsid w:val="05F37C6E"/>
    <w:rsid w:val="05F85324"/>
    <w:rsid w:val="05F94A47"/>
    <w:rsid w:val="06032EA4"/>
    <w:rsid w:val="06051AAC"/>
    <w:rsid w:val="06091027"/>
    <w:rsid w:val="060C3EE0"/>
    <w:rsid w:val="06142977"/>
    <w:rsid w:val="061F616A"/>
    <w:rsid w:val="06210D13"/>
    <w:rsid w:val="06232F7A"/>
    <w:rsid w:val="06262B2D"/>
    <w:rsid w:val="06267F6A"/>
    <w:rsid w:val="062D0F62"/>
    <w:rsid w:val="062F1E72"/>
    <w:rsid w:val="063611D0"/>
    <w:rsid w:val="06365F2D"/>
    <w:rsid w:val="063B5E2C"/>
    <w:rsid w:val="06412314"/>
    <w:rsid w:val="064141BE"/>
    <w:rsid w:val="06420AD1"/>
    <w:rsid w:val="06444595"/>
    <w:rsid w:val="06447856"/>
    <w:rsid w:val="06453A17"/>
    <w:rsid w:val="0650125A"/>
    <w:rsid w:val="0651516D"/>
    <w:rsid w:val="06516812"/>
    <w:rsid w:val="06544331"/>
    <w:rsid w:val="06573ABD"/>
    <w:rsid w:val="065D2ACA"/>
    <w:rsid w:val="066541A1"/>
    <w:rsid w:val="06664495"/>
    <w:rsid w:val="066718C8"/>
    <w:rsid w:val="06683AC0"/>
    <w:rsid w:val="06683EE2"/>
    <w:rsid w:val="066F5F19"/>
    <w:rsid w:val="067173CF"/>
    <w:rsid w:val="06736A71"/>
    <w:rsid w:val="0674743A"/>
    <w:rsid w:val="06750768"/>
    <w:rsid w:val="067653E9"/>
    <w:rsid w:val="06776BDE"/>
    <w:rsid w:val="06784FBF"/>
    <w:rsid w:val="068109C5"/>
    <w:rsid w:val="06961962"/>
    <w:rsid w:val="069B41BB"/>
    <w:rsid w:val="069E0721"/>
    <w:rsid w:val="069E6954"/>
    <w:rsid w:val="069F3899"/>
    <w:rsid w:val="06A40077"/>
    <w:rsid w:val="06A40C4E"/>
    <w:rsid w:val="06A66A3D"/>
    <w:rsid w:val="06A938CB"/>
    <w:rsid w:val="06AB07FB"/>
    <w:rsid w:val="06BE16B9"/>
    <w:rsid w:val="06BE3873"/>
    <w:rsid w:val="06C00842"/>
    <w:rsid w:val="06C515CA"/>
    <w:rsid w:val="06C96500"/>
    <w:rsid w:val="06CA730B"/>
    <w:rsid w:val="06CA7EE0"/>
    <w:rsid w:val="06CC600F"/>
    <w:rsid w:val="06D86026"/>
    <w:rsid w:val="06D90342"/>
    <w:rsid w:val="06DB73EA"/>
    <w:rsid w:val="06DE4EB7"/>
    <w:rsid w:val="06E4139F"/>
    <w:rsid w:val="06EA14AE"/>
    <w:rsid w:val="06EE5DF0"/>
    <w:rsid w:val="06EF5DE6"/>
    <w:rsid w:val="06F10924"/>
    <w:rsid w:val="06F11E2A"/>
    <w:rsid w:val="06F57EC5"/>
    <w:rsid w:val="06F628C9"/>
    <w:rsid w:val="06FA4C34"/>
    <w:rsid w:val="06FB6E00"/>
    <w:rsid w:val="06FC64FF"/>
    <w:rsid w:val="06FE25AC"/>
    <w:rsid w:val="07071E91"/>
    <w:rsid w:val="07082FBF"/>
    <w:rsid w:val="07092A24"/>
    <w:rsid w:val="070D2FF9"/>
    <w:rsid w:val="07164BB2"/>
    <w:rsid w:val="071C266F"/>
    <w:rsid w:val="072F3988"/>
    <w:rsid w:val="07305135"/>
    <w:rsid w:val="0732743A"/>
    <w:rsid w:val="07351184"/>
    <w:rsid w:val="073C3972"/>
    <w:rsid w:val="073D0EB1"/>
    <w:rsid w:val="073D2481"/>
    <w:rsid w:val="0744735F"/>
    <w:rsid w:val="074834AF"/>
    <w:rsid w:val="074D2322"/>
    <w:rsid w:val="07546057"/>
    <w:rsid w:val="075E0DA4"/>
    <w:rsid w:val="075E2076"/>
    <w:rsid w:val="0765582F"/>
    <w:rsid w:val="077241B8"/>
    <w:rsid w:val="07742EEB"/>
    <w:rsid w:val="0777360D"/>
    <w:rsid w:val="077A2E4B"/>
    <w:rsid w:val="077A59D9"/>
    <w:rsid w:val="077B7C55"/>
    <w:rsid w:val="07805E72"/>
    <w:rsid w:val="0780667C"/>
    <w:rsid w:val="078672E3"/>
    <w:rsid w:val="078A78D2"/>
    <w:rsid w:val="078B660A"/>
    <w:rsid w:val="078C22E3"/>
    <w:rsid w:val="078E5566"/>
    <w:rsid w:val="079002BD"/>
    <w:rsid w:val="0790302A"/>
    <w:rsid w:val="07942E7D"/>
    <w:rsid w:val="079639CA"/>
    <w:rsid w:val="07982F74"/>
    <w:rsid w:val="07983B10"/>
    <w:rsid w:val="07A158A8"/>
    <w:rsid w:val="07A40991"/>
    <w:rsid w:val="07A64390"/>
    <w:rsid w:val="07B1203A"/>
    <w:rsid w:val="07B2747B"/>
    <w:rsid w:val="07BC65C5"/>
    <w:rsid w:val="07BE5FD6"/>
    <w:rsid w:val="07C21637"/>
    <w:rsid w:val="07CD1CB1"/>
    <w:rsid w:val="07CD570B"/>
    <w:rsid w:val="07D77A14"/>
    <w:rsid w:val="07D96CCA"/>
    <w:rsid w:val="07DA4F62"/>
    <w:rsid w:val="07DE4F09"/>
    <w:rsid w:val="07DF5D65"/>
    <w:rsid w:val="07E62645"/>
    <w:rsid w:val="07E730D8"/>
    <w:rsid w:val="07ED20CC"/>
    <w:rsid w:val="07F3204F"/>
    <w:rsid w:val="07F57DF9"/>
    <w:rsid w:val="07FB367D"/>
    <w:rsid w:val="07FB585E"/>
    <w:rsid w:val="08016D39"/>
    <w:rsid w:val="08047274"/>
    <w:rsid w:val="08067F39"/>
    <w:rsid w:val="08082902"/>
    <w:rsid w:val="08105D02"/>
    <w:rsid w:val="081B01CF"/>
    <w:rsid w:val="08304ED6"/>
    <w:rsid w:val="083B4C8E"/>
    <w:rsid w:val="083B66E3"/>
    <w:rsid w:val="08423368"/>
    <w:rsid w:val="08462AC7"/>
    <w:rsid w:val="08491F8D"/>
    <w:rsid w:val="084D5E58"/>
    <w:rsid w:val="084E1ADB"/>
    <w:rsid w:val="08500540"/>
    <w:rsid w:val="0854311D"/>
    <w:rsid w:val="08627E27"/>
    <w:rsid w:val="08647033"/>
    <w:rsid w:val="086509E3"/>
    <w:rsid w:val="0867498F"/>
    <w:rsid w:val="086759D0"/>
    <w:rsid w:val="0867795C"/>
    <w:rsid w:val="086A37FC"/>
    <w:rsid w:val="086B5E4E"/>
    <w:rsid w:val="086C09E7"/>
    <w:rsid w:val="086E65A0"/>
    <w:rsid w:val="08732944"/>
    <w:rsid w:val="08742A15"/>
    <w:rsid w:val="087C7072"/>
    <w:rsid w:val="087D3A73"/>
    <w:rsid w:val="087D5049"/>
    <w:rsid w:val="087E73A7"/>
    <w:rsid w:val="087F402E"/>
    <w:rsid w:val="08840B48"/>
    <w:rsid w:val="088E3213"/>
    <w:rsid w:val="089063B0"/>
    <w:rsid w:val="08930E6B"/>
    <w:rsid w:val="089405F6"/>
    <w:rsid w:val="08941078"/>
    <w:rsid w:val="08A526D2"/>
    <w:rsid w:val="08AC0ADA"/>
    <w:rsid w:val="08AC2BD8"/>
    <w:rsid w:val="08AF3F7D"/>
    <w:rsid w:val="08B117FB"/>
    <w:rsid w:val="08B23D8F"/>
    <w:rsid w:val="08B73372"/>
    <w:rsid w:val="08B858C6"/>
    <w:rsid w:val="08BA06D7"/>
    <w:rsid w:val="08CA0C0F"/>
    <w:rsid w:val="08CD2DE8"/>
    <w:rsid w:val="08D07BA3"/>
    <w:rsid w:val="08D4651F"/>
    <w:rsid w:val="08D468AF"/>
    <w:rsid w:val="08D60320"/>
    <w:rsid w:val="08E26AAA"/>
    <w:rsid w:val="08E31E6B"/>
    <w:rsid w:val="08E54FF6"/>
    <w:rsid w:val="08E64DA3"/>
    <w:rsid w:val="08E6786B"/>
    <w:rsid w:val="08E771AE"/>
    <w:rsid w:val="08ED04BD"/>
    <w:rsid w:val="08ED14F4"/>
    <w:rsid w:val="08EE5568"/>
    <w:rsid w:val="08F35217"/>
    <w:rsid w:val="08F37678"/>
    <w:rsid w:val="08F55011"/>
    <w:rsid w:val="08F61C3D"/>
    <w:rsid w:val="08F743A5"/>
    <w:rsid w:val="08FA22B1"/>
    <w:rsid w:val="08FA446E"/>
    <w:rsid w:val="09011804"/>
    <w:rsid w:val="09013EB7"/>
    <w:rsid w:val="090667D2"/>
    <w:rsid w:val="090A5A02"/>
    <w:rsid w:val="090B0986"/>
    <w:rsid w:val="090E7B13"/>
    <w:rsid w:val="090F558B"/>
    <w:rsid w:val="090F6393"/>
    <w:rsid w:val="09134684"/>
    <w:rsid w:val="09171463"/>
    <w:rsid w:val="091F0971"/>
    <w:rsid w:val="092270C5"/>
    <w:rsid w:val="09257DEA"/>
    <w:rsid w:val="092A362A"/>
    <w:rsid w:val="092B4361"/>
    <w:rsid w:val="093275E7"/>
    <w:rsid w:val="09372D8E"/>
    <w:rsid w:val="09380779"/>
    <w:rsid w:val="093C2C62"/>
    <w:rsid w:val="093D4951"/>
    <w:rsid w:val="093D6CCC"/>
    <w:rsid w:val="09431BB9"/>
    <w:rsid w:val="094708DC"/>
    <w:rsid w:val="094B0F0E"/>
    <w:rsid w:val="094C327C"/>
    <w:rsid w:val="094C468C"/>
    <w:rsid w:val="094D4739"/>
    <w:rsid w:val="09525E0A"/>
    <w:rsid w:val="09562632"/>
    <w:rsid w:val="095722DC"/>
    <w:rsid w:val="09620194"/>
    <w:rsid w:val="09624DF6"/>
    <w:rsid w:val="09636510"/>
    <w:rsid w:val="09641AC5"/>
    <w:rsid w:val="096B68BC"/>
    <w:rsid w:val="096C5278"/>
    <w:rsid w:val="096C5A2C"/>
    <w:rsid w:val="09700B04"/>
    <w:rsid w:val="0974622E"/>
    <w:rsid w:val="097563EA"/>
    <w:rsid w:val="097641E7"/>
    <w:rsid w:val="09785F3F"/>
    <w:rsid w:val="09797936"/>
    <w:rsid w:val="097A654A"/>
    <w:rsid w:val="097D087F"/>
    <w:rsid w:val="09813333"/>
    <w:rsid w:val="09901D85"/>
    <w:rsid w:val="09905044"/>
    <w:rsid w:val="09973BA9"/>
    <w:rsid w:val="09976958"/>
    <w:rsid w:val="099B1EA6"/>
    <w:rsid w:val="09A21723"/>
    <w:rsid w:val="09A9606B"/>
    <w:rsid w:val="09AD72F1"/>
    <w:rsid w:val="09B7671B"/>
    <w:rsid w:val="09BC53CB"/>
    <w:rsid w:val="09C54EA4"/>
    <w:rsid w:val="09C64A6E"/>
    <w:rsid w:val="09C751FF"/>
    <w:rsid w:val="09CA6EDE"/>
    <w:rsid w:val="09CB692C"/>
    <w:rsid w:val="09CD31B7"/>
    <w:rsid w:val="09CF0890"/>
    <w:rsid w:val="09D03DFF"/>
    <w:rsid w:val="09D6087C"/>
    <w:rsid w:val="09DA64A7"/>
    <w:rsid w:val="09DB771C"/>
    <w:rsid w:val="09DC7A53"/>
    <w:rsid w:val="09E076CE"/>
    <w:rsid w:val="09E07827"/>
    <w:rsid w:val="09EC0A8D"/>
    <w:rsid w:val="09ED338A"/>
    <w:rsid w:val="09FC294D"/>
    <w:rsid w:val="09FD6E20"/>
    <w:rsid w:val="0A010CEE"/>
    <w:rsid w:val="0A014111"/>
    <w:rsid w:val="0A0621C5"/>
    <w:rsid w:val="0A0651D6"/>
    <w:rsid w:val="0A076D69"/>
    <w:rsid w:val="0A0A6BD6"/>
    <w:rsid w:val="0A0C407C"/>
    <w:rsid w:val="0A145241"/>
    <w:rsid w:val="0A1E08E7"/>
    <w:rsid w:val="0A1E163E"/>
    <w:rsid w:val="0A1E7202"/>
    <w:rsid w:val="0A292B12"/>
    <w:rsid w:val="0A2C6610"/>
    <w:rsid w:val="0A2E5D77"/>
    <w:rsid w:val="0A2F198C"/>
    <w:rsid w:val="0A301770"/>
    <w:rsid w:val="0A323DA0"/>
    <w:rsid w:val="0A34574B"/>
    <w:rsid w:val="0A357D87"/>
    <w:rsid w:val="0A372AFF"/>
    <w:rsid w:val="0A420BC8"/>
    <w:rsid w:val="0A443B25"/>
    <w:rsid w:val="0A46007F"/>
    <w:rsid w:val="0A4930BC"/>
    <w:rsid w:val="0A4B13A7"/>
    <w:rsid w:val="0A4F3AED"/>
    <w:rsid w:val="0A4F3C6C"/>
    <w:rsid w:val="0A500482"/>
    <w:rsid w:val="0A513AFC"/>
    <w:rsid w:val="0A5C7F96"/>
    <w:rsid w:val="0A603FCC"/>
    <w:rsid w:val="0A606BC3"/>
    <w:rsid w:val="0A630808"/>
    <w:rsid w:val="0A6366AD"/>
    <w:rsid w:val="0A6848B5"/>
    <w:rsid w:val="0A6E431B"/>
    <w:rsid w:val="0A72285C"/>
    <w:rsid w:val="0A770282"/>
    <w:rsid w:val="0A7768A6"/>
    <w:rsid w:val="0A7A3F8D"/>
    <w:rsid w:val="0A7C0B43"/>
    <w:rsid w:val="0A7C7BAE"/>
    <w:rsid w:val="0A855D5E"/>
    <w:rsid w:val="0A8A1CE7"/>
    <w:rsid w:val="0AA04CB2"/>
    <w:rsid w:val="0AA616D0"/>
    <w:rsid w:val="0AA93EE6"/>
    <w:rsid w:val="0AB03CC5"/>
    <w:rsid w:val="0AB24B9D"/>
    <w:rsid w:val="0AB40689"/>
    <w:rsid w:val="0ABF672B"/>
    <w:rsid w:val="0AC012AA"/>
    <w:rsid w:val="0AC03AB3"/>
    <w:rsid w:val="0AC10BF9"/>
    <w:rsid w:val="0AC37F58"/>
    <w:rsid w:val="0AC7102C"/>
    <w:rsid w:val="0AC777F0"/>
    <w:rsid w:val="0ACE723C"/>
    <w:rsid w:val="0AD4132C"/>
    <w:rsid w:val="0AD45FB2"/>
    <w:rsid w:val="0AD53D95"/>
    <w:rsid w:val="0AD66571"/>
    <w:rsid w:val="0AD919BC"/>
    <w:rsid w:val="0AE43B13"/>
    <w:rsid w:val="0AE51EEB"/>
    <w:rsid w:val="0AE60B75"/>
    <w:rsid w:val="0AED1BCD"/>
    <w:rsid w:val="0AEF6C15"/>
    <w:rsid w:val="0AF308F8"/>
    <w:rsid w:val="0AF45C98"/>
    <w:rsid w:val="0B007EC7"/>
    <w:rsid w:val="0B0B0BB4"/>
    <w:rsid w:val="0B13774F"/>
    <w:rsid w:val="0B1851DD"/>
    <w:rsid w:val="0B1B02AB"/>
    <w:rsid w:val="0B1E327E"/>
    <w:rsid w:val="0B236B7F"/>
    <w:rsid w:val="0B247029"/>
    <w:rsid w:val="0B247FE7"/>
    <w:rsid w:val="0B252023"/>
    <w:rsid w:val="0B2A1C6C"/>
    <w:rsid w:val="0B2B4BC4"/>
    <w:rsid w:val="0B311E6B"/>
    <w:rsid w:val="0B3277A5"/>
    <w:rsid w:val="0B380E64"/>
    <w:rsid w:val="0B382F3E"/>
    <w:rsid w:val="0B385B4D"/>
    <w:rsid w:val="0B3900E3"/>
    <w:rsid w:val="0B401D83"/>
    <w:rsid w:val="0B421480"/>
    <w:rsid w:val="0B4372E8"/>
    <w:rsid w:val="0B4918F5"/>
    <w:rsid w:val="0B494754"/>
    <w:rsid w:val="0B4A7804"/>
    <w:rsid w:val="0B4B35BB"/>
    <w:rsid w:val="0B4C6284"/>
    <w:rsid w:val="0B520E18"/>
    <w:rsid w:val="0B571295"/>
    <w:rsid w:val="0B586FA3"/>
    <w:rsid w:val="0B5F7E35"/>
    <w:rsid w:val="0B6B32E6"/>
    <w:rsid w:val="0B702444"/>
    <w:rsid w:val="0B755D19"/>
    <w:rsid w:val="0B792C89"/>
    <w:rsid w:val="0B7C5D9B"/>
    <w:rsid w:val="0B7D1FA6"/>
    <w:rsid w:val="0B7E1616"/>
    <w:rsid w:val="0B8408E0"/>
    <w:rsid w:val="0B852FED"/>
    <w:rsid w:val="0B893954"/>
    <w:rsid w:val="0B8D7336"/>
    <w:rsid w:val="0B8D7917"/>
    <w:rsid w:val="0B923CDC"/>
    <w:rsid w:val="0B926554"/>
    <w:rsid w:val="0B951BF7"/>
    <w:rsid w:val="0B967024"/>
    <w:rsid w:val="0B9C4659"/>
    <w:rsid w:val="0BA32D07"/>
    <w:rsid w:val="0BA63324"/>
    <w:rsid w:val="0BA7010B"/>
    <w:rsid w:val="0BA818EC"/>
    <w:rsid w:val="0BAD6791"/>
    <w:rsid w:val="0BAE40C3"/>
    <w:rsid w:val="0BAF465D"/>
    <w:rsid w:val="0BB84B81"/>
    <w:rsid w:val="0BBF67FE"/>
    <w:rsid w:val="0BC25AEC"/>
    <w:rsid w:val="0BC67E5E"/>
    <w:rsid w:val="0BC76AFF"/>
    <w:rsid w:val="0BC8121D"/>
    <w:rsid w:val="0BCB262F"/>
    <w:rsid w:val="0BCC4072"/>
    <w:rsid w:val="0BD14A67"/>
    <w:rsid w:val="0BD27DAC"/>
    <w:rsid w:val="0BD34CA3"/>
    <w:rsid w:val="0BD731CC"/>
    <w:rsid w:val="0BDA670B"/>
    <w:rsid w:val="0BDD0ECA"/>
    <w:rsid w:val="0BDF12DB"/>
    <w:rsid w:val="0BDF6CD6"/>
    <w:rsid w:val="0BE1089A"/>
    <w:rsid w:val="0BE27329"/>
    <w:rsid w:val="0BE34601"/>
    <w:rsid w:val="0BED363A"/>
    <w:rsid w:val="0BEE7042"/>
    <w:rsid w:val="0BF00218"/>
    <w:rsid w:val="0BF17858"/>
    <w:rsid w:val="0BF40C48"/>
    <w:rsid w:val="0BF4746B"/>
    <w:rsid w:val="0BF57747"/>
    <w:rsid w:val="0BFD1756"/>
    <w:rsid w:val="0BFD34D2"/>
    <w:rsid w:val="0BFE08AE"/>
    <w:rsid w:val="0BFF7DD7"/>
    <w:rsid w:val="0C037115"/>
    <w:rsid w:val="0C055E40"/>
    <w:rsid w:val="0C126125"/>
    <w:rsid w:val="0C181AE3"/>
    <w:rsid w:val="0C18495D"/>
    <w:rsid w:val="0C185C18"/>
    <w:rsid w:val="0C1B6CD1"/>
    <w:rsid w:val="0C1E45F1"/>
    <w:rsid w:val="0C221666"/>
    <w:rsid w:val="0C334983"/>
    <w:rsid w:val="0C343A06"/>
    <w:rsid w:val="0C371F6B"/>
    <w:rsid w:val="0C3E3A48"/>
    <w:rsid w:val="0C4318EF"/>
    <w:rsid w:val="0C436682"/>
    <w:rsid w:val="0C4664CD"/>
    <w:rsid w:val="0C4A66BA"/>
    <w:rsid w:val="0C4D517A"/>
    <w:rsid w:val="0C5178F8"/>
    <w:rsid w:val="0C560B42"/>
    <w:rsid w:val="0C61114D"/>
    <w:rsid w:val="0C630BDD"/>
    <w:rsid w:val="0C7127A1"/>
    <w:rsid w:val="0C7D7873"/>
    <w:rsid w:val="0C806FC4"/>
    <w:rsid w:val="0C8328CC"/>
    <w:rsid w:val="0C844EEE"/>
    <w:rsid w:val="0C892505"/>
    <w:rsid w:val="0C8A657F"/>
    <w:rsid w:val="0C90002A"/>
    <w:rsid w:val="0C9C7612"/>
    <w:rsid w:val="0C9D4CA2"/>
    <w:rsid w:val="0C9E4BD1"/>
    <w:rsid w:val="0C9E62A1"/>
    <w:rsid w:val="0CAE3A45"/>
    <w:rsid w:val="0CB04613"/>
    <w:rsid w:val="0CB24580"/>
    <w:rsid w:val="0CB3362F"/>
    <w:rsid w:val="0CB8783E"/>
    <w:rsid w:val="0CBE04FF"/>
    <w:rsid w:val="0CC02539"/>
    <w:rsid w:val="0CC32DC1"/>
    <w:rsid w:val="0CC4118C"/>
    <w:rsid w:val="0CC44C43"/>
    <w:rsid w:val="0CC75D82"/>
    <w:rsid w:val="0CD0419F"/>
    <w:rsid w:val="0CD56DBB"/>
    <w:rsid w:val="0CDA650B"/>
    <w:rsid w:val="0CDF53FA"/>
    <w:rsid w:val="0CE1744E"/>
    <w:rsid w:val="0CE6774F"/>
    <w:rsid w:val="0CEA67F9"/>
    <w:rsid w:val="0CEB01DB"/>
    <w:rsid w:val="0CEB39C2"/>
    <w:rsid w:val="0CF0028A"/>
    <w:rsid w:val="0CF472EE"/>
    <w:rsid w:val="0CFF57B0"/>
    <w:rsid w:val="0D014A55"/>
    <w:rsid w:val="0D073245"/>
    <w:rsid w:val="0D077D7E"/>
    <w:rsid w:val="0D0D2925"/>
    <w:rsid w:val="0D1223F2"/>
    <w:rsid w:val="0D126F10"/>
    <w:rsid w:val="0D151EAF"/>
    <w:rsid w:val="0D15340B"/>
    <w:rsid w:val="0D182A2E"/>
    <w:rsid w:val="0D196F75"/>
    <w:rsid w:val="0D1E1234"/>
    <w:rsid w:val="0D236F6A"/>
    <w:rsid w:val="0D245BC0"/>
    <w:rsid w:val="0D2529B7"/>
    <w:rsid w:val="0D2B42CA"/>
    <w:rsid w:val="0D2F57C9"/>
    <w:rsid w:val="0D324536"/>
    <w:rsid w:val="0D3A10F1"/>
    <w:rsid w:val="0D3B2425"/>
    <w:rsid w:val="0D3B6F98"/>
    <w:rsid w:val="0D3C1B4B"/>
    <w:rsid w:val="0D3C3A45"/>
    <w:rsid w:val="0D434D4D"/>
    <w:rsid w:val="0D4516E4"/>
    <w:rsid w:val="0D475175"/>
    <w:rsid w:val="0D497C2E"/>
    <w:rsid w:val="0D4A0375"/>
    <w:rsid w:val="0D4A6CA3"/>
    <w:rsid w:val="0D4D112C"/>
    <w:rsid w:val="0D4D5176"/>
    <w:rsid w:val="0D5672FD"/>
    <w:rsid w:val="0D567527"/>
    <w:rsid w:val="0D5842E9"/>
    <w:rsid w:val="0D5B232E"/>
    <w:rsid w:val="0D610848"/>
    <w:rsid w:val="0D6121BA"/>
    <w:rsid w:val="0D642E83"/>
    <w:rsid w:val="0D657755"/>
    <w:rsid w:val="0D695A80"/>
    <w:rsid w:val="0D6B0B34"/>
    <w:rsid w:val="0D6F1E45"/>
    <w:rsid w:val="0D6F6659"/>
    <w:rsid w:val="0D726D98"/>
    <w:rsid w:val="0D732F40"/>
    <w:rsid w:val="0D772264"/>
    <w:rsid w:val="0D7B5A90"/>
    <w:rsid w:val="0D7C0562"/>
    <w:rsid w:val="0D7D7AB3"/>
    <w:rsid w:val="0D7D7E97"/>
    <w:rsid w:val="0D7E65DD"/>
    <w:rsid w:val="0D847C87"/>
    <w:rsid w:val="0D856D0F"/>
    <w:rsid w:val="0D8B483C"/>
    <w:rsid w:val="0D8E100B"/>
    <w:rsid w:val="0D907FA9"/>
    <w:rsid w:val="0D912CD9"/>
    <w:rsid w:val="0D9209DE"/>
    <w:rsid w:val="0D923F78"/>
    <w:rsid w:val="0D9505D2"/>
    <w:rsid w:val="0D9537AD"/>
    <w:rsid w:val="0DA21FCD"/>
    <w:rsid w:val="0DA43A7B"/>
    <w:rsid w:val="0DAC1430"/>
    <w:rsid w:val="0DAC5336"/>
    <w:rsid w:val="0DB376F4"/>
    <w:rsid w:val="0DB812C9"/>
    <w:rsid w:val="0DC21139"/>
    <w:rsid w:val="0DC64BC6"/>
    <w:rsid w:val="0DC74CCE"/>
    <w:rsid w:val="0DC9254E"/>
    <w:rsid w:val="0DCE0836"/>
    <w:rsid w:val="0DD27CAD"/>
    <w:rsid w:val="0DD37C0B"/>
    <w:rsid w:val="0DD85E70"/>
    <w:rsid w:val="0DDF1D10"/>
    <w:rsid w:val="0DDF40B1"/>
    <w:rsid w:val="0DE01D81"/>
    <w:rsid w:val="0DE1094B"/>
    <w:rsid w:val="0DE24965"/>
    <w:rsid w:val="0DEB4A81"/>
    <w:rsid w:val="0DEF5EA6"/>
    <w:rsid w:val="0DF2607D"/>
    <w:rsid w:val="0DF56FCE"/>
    <w:rsid w:val="0DF80D57"/>
    <w:rsid w:val="0DFE3B8C"/>
    <w:rsid w:val="0E0310B1"/>
    <w:rsid w:val="0E052FDC"/>
    <w:rsid w:val="0E086D88"/>
    <w:rsid w:val="0E0B696B"/>
    <w:rsid w:val="0E0D5F15"/>
    <w:rsid w:val="0E132E56"/>
    <w:rsid w:val="0E151EA6"/>
    <w:rsid w:val="0E155D50"/>
    <w:rsid w:val="0E1A20EB"/>
    <w:rsid w:val="0E1C771F"/>
    <w:rsid w:val="0E1D02F1"/>
    <w:rsid w:val="0E1E1A9A"/>
    <w:rsid w:val="0E1F271E"/>
    <w:rsid w:val="0E1F6D1A"/>
    <w:rsid w:val="0E200385"/>
    <w:rsid w:val="0E21003D"/>
    <w:rsid w:val="0E271C7C"/>
    <w:rsid w:val="0E275017"/>
    <w:rsid w:val="0E28102C"/>
    <w:rsid w:val="0E2B4563"/>
    <w:rsid w:val="0E2B664F"/>
    <w:rsid w:val="0E2C2683"/>
    <w:rsid w:val="0E2D0A00"/>
    <w:rsid w:val="0E304EFA"/>
    <w:rsid w:val="0E320C7D"/>
    <w:rsid w:val="0E3D34CD"/>
    <w:rsid w:val="0E420BA6"/>
    <w:rsid w:val="0E483A6E"/>
    <w:rsid w:val="0E4C0728"/>
    <w:rsid w:val="0E527F26"/>
    <w:rsid w:val="0E5477EE"/>
    <w:rsid w:val="0E56066B"/>
    <w:rsid w:val="0E6106A7"/>
    <w:rsid w:val="0E620FCE"/>
    <w:rsid w:val="0E642187"/>
    <w:rsid w:val="0E6C00AF"/>
    <w:rsid w:val="0E6F3855"/>
    <w:rsid w:val="0E765D02"/>
    <w:rsid w:val="0E7E4AE9"/>
    <w:rsid w:val="0E7E7E87"/>
    <w:rsid w:val="0E8037E5"/>
    <w:rsid w:val="0E806C69"/>
    <w:rsid w:val="0E8C4E62"/>
    <w:rsid w:val="0E8D2E78"/>
    <w:rsid w:val="0E914EFA"/>
    <w:rsid w:val="0E9E57ED"/>
    <w:rsid w:val="0E9F5F82"/>
    <w:rsid w:val="0EA312CE"/>
    <w:rsid w:val="0EA431A1"/>
    <w:rsid w:val="0EA452F1"/>
    <w:rsid w:val="0EA460DA"/>
    <w:rsid w:val="0EA55E50"/>
    <w:rsid w:val="0EA55EA9"/>
    <w:rsid w:val="0EAA7CFF"/>
    <w:rsid w:val="0EAB2784"/>
    <w:rsid w:val="0EAC2498"/>
    <w:rsid w:val="0EAD7523"/>
    <w:rsid w:val="0EAE7C10"/>
    <w:rsid w:val="0EAF2237"/>
    <w:rsid w:val="0EBE78DF"/>
    <w:rsid w:val="0EC260A8"/>
    <w:rsid w:val="0EC41F0B"/>
    <w:rsid w:val="0EC8448D"/>
    <w:rsid w:val="0ECF5A45"/>
    <w:rsid w:val="0ED079A4"/>
    <w:rsid w:val="0EDA3600"/>
    <w:rsid w:val="0EE1113B"/>
    <w:rsid w:val="0EE2580B"/>
    <w:rsid w:val="0EEF51BA"/>
    <w:rsid w:val="0EF97754"/>
    <w:rsid w:val="0EFB0682"/>
    <w:rsid w:val="0EFB7868"/>
    <w:rsid w:val="0EFC7F9D"/>
    <w:rsid w:val="0EFF0583"/>
    <w:rsid w:val="0F036EF8"/>
    <w:rsid w:val="0F041014"/>
    <w:rsid w:val="0F0831E4"/>
    <w:rsid w:val="0F08394C"/>
    <w:rsid w:val="0F0E6952"/>
    <w:rsid w:val="0F0F7561"/>
    <w:rsid w:val="0F1072CE"/>
    <w:rsid w:val="0F116DEC"/>
    <w:rsid w:val="0F1326A6"/>
    <w:rsid w:val="0F13744E"/>
    <w:rsid w:val="0F1A000D"/>
    <w:rsid w:val="0F1E21B0"/>
    <w:rsid w:val="0F1E43B6"/>
    <w:rsid w:val="0F226A0D"/>
    <w:rsid w:val="0F227650"/>
    <w:rsid w:val="0F245A03"/>
    <w:rsid w:val="0F293512"/>
    <w:rsid w:val="0F2952FF"/>
    <w:rsid w:val="0F2B198E"/>
    <w:rsid w:val="0F2C5FB3"/>
    <w:rsid w:val="0F2E0DE9"/>
    <w:rsid w:val="0F305151"/>
    <w:rsid w:val="0F333BFE"/>
    <w:rsid w:val="0F3877BA"/>
    <w:rsid w:val="0F3B4522"/>
    <w:rsid w:val="0F3C6AB7"/>
    <w:rsid w:val="0F3D7363"/>
    <w:rsid w:val="0F4B5427"/>
    <w:rsid w:val="0F4E52E1"/>
    <w:rsid w:val="0F4E7B7A"/>
    <w:rsid w:val="0F52101E"/>
    <w:rsid w:val="0F5829CF"/>
    <w:rsid w:val="0F5B25F7"/>
    <w:rsid w:val="0F5D2780"/>
    <w:rsid w:val="0F5D2878"/>
    <w:rsid w:val="0F5E5D05"/>
    <w:rsid w:val="0F6246A1"/>
    <w:rsid w:val="0F624BD6"/>
    <w:rsid w:val="0F681D00"/>
    <w:rsid w:val="0F700ECF"/>
    <w:rsid w:val="0F7253F9"/>
    <w:rsid w:val="0F7320D0"/>
    <w:rsid w:val="0F73351A"/>
    <w:rsid w:val="0F795494"/>
    <w:rsid w:val="0F796748"/>
    <w:rsid w:val="0F7A7173"/>
    <w:rsid w:val="0F7B518A"/>
    <w:rsid w:val="0F866EA8"/>
    <w:rsid w:val="0F8A3950"/>
    <w:rsid w:val="0F8D72D0"/>
    <w:rsid w:val="0F9268F1"/>
    <w:rsid w:val="0F95480E"/>
    <w:rsid w:val="0F970510"/>
    <w:rsid w:val="0F9B112D"/>
    <w:rsid w:val="0F9B7687"/>
    <w:rsid w:val="0F9E5672"/>
    <w:rsid w:val="0F9F7882"/>
    <w:rsid w:val="0FA124F0"/>
    <w:rsid w:val="0FA3651F"/>
    <w:rsid w:val="0FA62469"/>
    <w:rsid w:val="0FA8118A"/>
    <w:rsid w:val="0FB353B3"/>
    <w:rsid w:val="0FB42C54"/>
    <w:rsid w:val="0FB859C4"/>
    <w:rsid w:val="0FC025D7"/>
    <w:rsid w:val="0FC93529"/>
    <w:rsid w:val="0FCA6EBB"/>
    <w:rsid w:val="0FD119DA"/>
    <w:rsid w:val="0FD416AD"/>
    <w:rsid w:val="0FD5292F"/>
    <w:rsid w:val="0FD807C6"/>
    <w:rsid w:val="0FDB0BB9"/>
    <w:rsid w:val="0FDD04E4"/>
    <w:rsid w:val="0FDD4A6E"/>
    <w:rsid w:val="0FE121E2"/>
    <w:rsid w:val="0FF14FAD"/>
    <w:rsid w:val="0FF57E4A"/>
    <w:rsid w:val="0FF91530"/>
    <w:rsid w:val="0FFB1BBC"/>
    <w:rsid w:val="0FFC5D44"/>
    <w:rsid w:val="1007287A"/>
    <w:rsid w:val="100C0018"/>
    <w:rsid w:val="100C327D"/>
    <w:rsid w:val="100E67A8"/>
    <w:rsid w:val="100F4C9E"/>
    <w:rsid w:val="100F5147"/>
    <w:rsid w:val="10100B3E"/>
    <w:rsid w:val="10112348"/>
    <w:rsid w:val="10125D08"/>
    <w:rsid w:val="10170582"/>
    <w:rsid w:val="10217EC4"/>
    <w:rsid w:val="10247B0E"/>
    <w:rsid w:val="1028175A"/>
    <w:rsid w:val="102A1041"/>
    <w:rsid w:val="102F3653"/>
    <w:rsid w:val="10402883"/>
    <w:rsid w:val="104318C9"/>
    <w:rsid w:val="10432708"/>
    <w:rsid w:val="105420D8"/>
    <w:rsid w:val="10564156"/>
    <w:rsid w:val="105664D7"/>
    <w:rsid w:val="10572E1B"/>
    <w:rsid w:val="105A3DDC"/>
    <w:rsid w:val="105F6D5E"/>
    <w:rsid w:val="106441C6"/>
    <w:rsid w:val="106816F9"/>
    <w:rsid w:val="106B592A"/>
    <w:rsid w:val="106B775D"/>
    <w:rsid w:val="106C20A5"/>
    <w:rsid w:val="106D5491"/>
    <w:rsid w:val="106E51F1"/>
    <w:rsid w:val="10766A70"/>
    <w:rsid w:val="107C56ED"/>
    <w:rsid w:val="10801D8F"/>
    <w:rsid w:val="10810FD2"/>
    <w:rsid w:val="108261F6"/>
    <w:rsid w:val="108562A2"/>
    <w:rsid w:val="10890922"/>
    <w:rsid w:val="10894C06"/>
    <w:rsid w:val="108A1C8D"/>
    <w:rsid w:val="108D1957"/>
    <w:rsid w:val="108E75AA"/>
    <w:rsid w:val="1092437B"/>
    <w:rsid w:val="10985481"/>
    <w:rsid w:val="10990B77"/>
    <w:rsid w:val="109E423A"/>
    <w:rsid w:val="10A605B8"/>
    <w:rsid w:val="10A61B81"/>
    <w:rsid w:val="10AC5379"/>
    <w:rsid w:val="10AD13F0"/>
    <w:rsid w:val="10AF3134"/>
    <w:rsid w:val="10B47295"/>
    <w:rsid w:val="10B55CE6"/>
    <w:rsid w:val="10B90038"/>
    <w:rsid w:val="10BB6B07"/>
    <w:rsid w:val="10BD2390"/>
    <w:rsid w:val="10C239F5"/>
    <w:rsid w:val="10C3621F"/>
    <w:rsid w:val="10C83FB1"/>
    <w:rsid w:val="10C956E3"/>
    <w:rsid w:val="10C97120"/>
    <w:rsid w:val="10CA27EF"/>
    <w:rsid w:val="10CD4A57"/>
    <w:rsid w:val="10CF3040"/>
    <w:rsid w:val="10DA40E3"/>
    <w:rsid w:val="10E166BC"/>
    <w:rsid w:val="10E200A8"/>
    <w:rsid w:val="10E44A16"/>
    <w:rsid w:val="10EC57F0"/>
    <w:rsid w:val="10EF1BBC"/>
    <w:rsid w:val="10F47874"/>
    <w:rsid w:val="10F54EC6"/>
    <w:rsid w:val="10F859F8"/>
    <w:rsid w:val="10FD01AA"/>
    <w:rsid w:val="110707E9"/>
    <w:rsid w:val="11095AF8"/>
    <w:rsid w:val="1109668F"/>
    <w:rsid w:val="11097385"/>
    <w:rsid w:val="110C6012"/>
    <w:rsid w:val="110D0899"/>
    <w:rsid w:val="110D4475"/>
    <w:rsid w:val="111B10A1"/>
    <w:rsid w:val="111C05D9"/>
    <w:rsid w:val="11202831"/>
    <w:rsid w:val="11265DDB"/>
    <w:rsid w:val="112C42D0"/>
    <w:rsid w:val="112D00D2"/>
    <w:rsid w:val="113233AF"/>
    <w:rsid w:val="11340538"/>
    <w:rsid w:val="11357C29"/>
    <w:rsid w:val="1137728C"/>
    <w:rsid w:val="11377800"/>
    <w:rsid w:val="11384A22"/>
    <w:rsid w:val="113A5CE3"/>
    <w:rsid w:val="113F1D66"/>
    <w:rsid w:val="11400911"/>
    <w:rsid w:val="114B1049"/>
    <w:rsid w:val="114C6AD5"/>
    <w:rsid w:val="114D58AA"/>
    <w:rsid w:val="114E230E"/>
    <w:rsid w:val="114F1D0A"/>
    <w:rsid w:val="1153353F"/>
    <w:rsid w:val="1154661D"/>
    <w:rsid w:val="115B2371"/>
    <w:rsid w:val="11601761"/>
    <w:rsid w:val="11693296"/>
    <w:rsid w:val="116B29D0"/>
    <w:rsid w:val="11716069"/>
    <w:rsid w:val="11755111"/>
    <w:rsid w:val="117574BF"/>
    <w:rsid w:val="117B0C2C"/>
    <w:rsid w:val="117E55F5"/>
    <w:rsid w:val="117F2897"/>
    <w:rsid w:val="11835523"/>
    <w:rsid w:val="11846DA0"/>
    <w:rsid w:val="11863D7F"/>
    <w:rsid w:val="11864439"/>
    <w:rsid w:val="11871E4D"/>
    <w:rsid w:val="11893436"/>
    <w:rsid w:val="11916CD4"/>
    <w:rsid w:val="11931DC9"/>
    <w:rsid w:val="119F1376"/>
    <w:rsid w:val="11A157A6"/>
    <w:rsid w:val="11A2399B"/>
    <w:rsid w:val="11AC34EA"/>
    <w:rsid w:val="11AF1E2F"/>
    <w:rsid w:val="11BC29BC"/>
    <w:rsid w:val="11BF1116"/>
    <w:rsid w:val="11C4343F"/>
    <w:rsid w:val="11C539E5"/>
    <w:rsid w:val="11C90C47"/>
    <w:rsid w:val="11CC3215"/>
    <w:rsid w:val="11CD09FB"/>
    <w:rsid w:val="11CD250B"/>
    <w:rsid w:val="11CF4917"/>
    <w:rsid w:val="11D1479C"/>
    <w:rsid w:val="11D77F80"/>
    <w:rsid w:val="11D97F50"/>
    <w:rsid w:val="11DD0609"/>
    <w:rsid w:val="11DD5040"/>
    <w:rsid w:val="11DD6F36"/>
    <w:rsid w:val="11DE4BD7"/>
    <w:rsid w:val="11E03D83"/>
    <w:rsid w:val="11E32D09"/>
    <w:rsid w:val="11E33CE0"/>
    <w:rsid w:val="11E61F1F"/>
    <w:rsid w:val="11E77405"/>
    <w:rsid w:val="11E905D6"/>
    <w:rsid w:val="11E97BE6"/>
    <w:rsid w:val="11EA7C1E"/>
    <w:rsid w:val="11ED44C1"/>
    <w:rsid w:val="11F178BE"/>
    <w:rsid w:val="11F874D1"/>
    <w:rsid w:val="12003683"/>
    <w:rsid w:val="12141D2A"/>
    <w:rsid w:val="121666E9"/>
    <w:rsid w:val="121F5915"/>
    <w:rsid w:val="121F61CA"/>
    <w:rsid w:val="12245F0D"/>
    <w:rsid w:val="1225672D"/>
    <w:rsid w:val="122F02B3"/>
    <w:rsid w:val="123039EC"/>
    <w:rsid w:val="12305FB6"/>
    <w:rsid w:val="12334D56"/>
    <w:rsid w:val="12397A40"/>
    <w:rsid w:val="12397F48"/>
    <w:rsid w:val="123B058B"/>
    <w:rsid w:val="123E0354"/>
    <w:rsid w:val="12431FA7"/>
    <w:rsid w:val="12476189"/>
    <w:rsid w:val="124B0B48"/>
    <w:rsid w:val="125269BD"/>
    <w:rsid w:val="12572114"/>
    <w:rsid w:val="125D44A4"/>
    <w:rsid w:val="12626F24"/>
    <w:rsid w:val="12661D47"/>
    <w:rsid w:val="12671B37"/>
    <w:rsid w:val="126A5997"/>
    <w:rsid w:val="12704684"/>
    <w:rsid w:val="127A3459"/>
    <w:rsid w:val="127F6ADF"/>
    <w:rsid w:val="1282597E"/>
    <w:rsid w:val="128358DF"/>
    <w:rsid w:val="128D7E47"/>
    <w:rsid w:val="12902149"/>
    <w:rsid w:val="12907B79"/>
    <w:rsid w:val="1295734E"/>
    <w:rsid w:val="129860B5"/>
    <w:rsid w:val="129974F0"/>
    <w:rsid w:val="12A30396"/>
    <w:rsid w:val="12A44BFA"/>
    <w:rsid w:val="12A56405"/>
    <w:rsid w:val="12A63D01"/>
    <w:rsid w:val="12A925A7"/>
    <w:rsid w:val="12AB3515"/>
    <w:rsid w:val="12AB5E33"/>
    <w:rsid w:val="12AD56F8"/>
    <w:rsid w:val="12AF3EED"/>
    <w:rsid w:val="12AF6DEE"/>
    <w:rsid w:val="12B237A6"/>
    <w:rsid w:val="12B47694"/>
    <w:rsid w:val="12BE0281"/>
    <w:rsid w:val="12C631A5"/>
    <w:rsid w:val="12CC3FF8"/>
    <w:rsid w:val="12D4177A"/>
    <w:rsid w:val="12D43E15"/>
    <w:rsid w:val="12D44DDA"/>
    <w:rsid w:val="12DE789D"/>
    <w:rsid w:val="12E7752C"/>
    <w:rsid w:val="12EA7F25"/>
    <w:rsid w:val="12F03782"/>
    <w:rsid w:val="12F101A8"/>
    <w:rsid w:val="12F13F69"/>
    <w:rsid w:val="12F1423B"/>
    <w:rsid w:val="12F637C3"/>
    <w:rsid w:val="13004536"/>
    <w:rsid w:val="13036FB8"/>
    <w:rsid w:val="130455EA"/>
    <w:rsid w:val="13100DA0"/>
    <w:rsid w:val="13112363"/>
    <w:rsid w:val="131270A1"/>
    <w:rsid w:val="131457B8"/>
    <w:rsid w:val="1320224D"/>
    <w:rsid w:val="13246AA6"/>
    <w:rsid w:val="13253923"/>
    <w:rsid w:val="13277E8E"/>
    <w:rsid w:val="13293B35"/>
    <w:rsid w:val="132A2EE4"/>
    <w:rsid w:val="13314822"/>
    <w:rsid w:val="1333228E"/>
    <w:rsid w:val="13345BA0"/>
    <w:rsid w:val="133C2F7D"/>
    <w:rsid w:val="133D2A75"/>
    <w:rsid w:val="134105B4"/>
    <w:rsid w:val="13415935"/>
    <w:rsid w:val="13445554"/>
    <w:rsid w:val="134A4234"/>
    <w:rsid w:val="134B50F0"/>
    <w:rsid w:val="134D3367"/>
    <w:rsid w:val="134F1562"/>
    <w:rsid w:val="13520279"/>
    <w:rsid w:val="1354065C"/>
    <w:rsid w:val="13565C5E"/>
    <w:rsid w:val="135E09C5"/>
    <w:rsid w:val="135F6405"/>
    <w:rsid w:val="13620F7A"/>
    <w:rsid w:val="13715F5B"/>
    <w:rsid w:val="13741796"/>
    <w:rsid w:val="13763557"/>
    <w:rsid w:val="137B0CF2"/>
    <w:rsid w:val="137C6312"/>
    <w:rsid w:val="137D5D0B"/>
    <w:rsid w:val="138060A7"/>
    <w:rsid w:val="138523D0"/>
    <w:rsid w:val="13856D07"/>
    <w:rsid w:val="13894A57"/>
    <w:rsid w:val="138D5AF1"/>
    <w:rsid w:val="138F5CB3"/>
    <w:rsid w:val="139B0799"/>
    <w:rsid w:val="139F5809"/>
    <w:rsid w:val="13A81532"/>
    <w:rsid w:val="13AA3BEB"/>
    <w:rsid w:val="13AF6BE8"/>
    <w:rsid w:val="13B13F4F"/>
    <w:rsid w:val="13B14830"/>
    <w:rsid w:val="13B712C4"/>
    <w:rsid w:val="13B87C67"/>
    <w:rsid w:val="13B902A5"/>
    <w:rsid w:val="13B9626B"/>
    <w:rsid w:val="13B96B25"/>
    <w:rsid w:val="13BB43EA"/>
    <w:rsid w:val="13BD43E8"/>
    <w:rsid w:val="13C25061"/>
    <w:rsid w:val="13C37A0B"/>
    <w:rsid w:val="13C416E1"/>
    <w:rsid w:val="13CB1630"/>
    <w:rsid w:val="13CD2FC3"/>
    <w:rsid w:val="13CF5782"/>
    <w:rsid w:val="13D22700"/>
    <w:rsid w:val="13E02819"/>
    <w:rsid w:val="13E07632"/>
    <w:rsid w:val="13E431C6"/>
    <w:rsid w:val="13E55A02"/>
    <w:rsid w:val="13E906E9"/>
    <w:rsid w:val="13E95C19"/>
    <w:rsid w:val="13EF26C9"/>
    <w:rsid w:val="13F153E2"/>
    <w:rsid w:val="13F160F8"/>
    <w:rsid w:val="13F329DE"/>
    <w:rsid w:val="13F44FB6"/>
    <w:rsid w:val="13F51D88"/>
    <w:rsid w:val="13F7295E"/>
    <w:rsid w:val="13FF52DF"/>
    <w:rsid w:val="140012EB"/>
    <w:rsid w:val="14033366"/>
    <w:rsid w:val="14081565"/>
    <w:rsid w:val="140B529E"/>
    <w:rsid w:val="141660E4"/>
    <w:rsid w:val="14196625"/>
    <w:rsid w:val="141C2BE2"/>
    <w:rsid w:val="141D56DD"/>
    <w:rsid w:val="141E278C"/>
    <w:rsid w:val="141E3889"/>
    <w:rsid w:val="141F5465"/>
    <w:rsid w:val="14250623"/>
    <w:rsid w:val="14261EEA"/>
    <w:rsid w:val="142D0E83"/>
    <w:rsid w:val="143036AD"/>
    <w:rsid w:val="14336F49"/>
    <w:rsid w:val="14363A1F"/>
    <w:rsid w:val="14366DD3"/>
    <w:rsid w:val="143A70FC"/>
    <w:rsid w:val="143E65E6"/>
    <w:rsid w:val="14420B44"/>
    <w:rsid w:val="14446AD4"/>
    <w:rsid w:val="14451345"/>
    <w:rsid w:val="1446096A"/>
    <w:rsid w:val="1446389E"/>
    <w:rsid w:val="14476470"/>
    <w:rsid w:val="144A58E1"/>
    <w:rsid w:val="144B40CB"/>
    <w:rsid w:val="144F5C0B"/>
    <w:rsid w:val="14527ADA"/>
    <w:rsid w:val="14640EB2"/>
    <w:rsid w:val="14643BF4"/>
    <w:rsid w:val="14665BA4"/>
    <w:rsid w:val="146930C1"/>
    <w:rsid w:val="146F51E4"/>
    <w:rsid w:val="1479778F"/>
    <w:rsid w:val="147B38D6"/>
    <w:rsid w:val="147E5369"/>
    <w:rsid w:val="147F6157"/>
    <w:rsid w:val="14832169"/>
    <w:rsid w:val="14833A00"/>
    <w:rsid w:val="14835FA1"/>
    <w:rsid w:val="14843ABE"/>
    <w:rsid w:val="148A5DD3"/>
    <w:rsid w:val="1494227B"/>
    <w:rsid w:val="149B54B7"/>
    <w:rsid w:val="149B7557"/>
    <w:rsid w:val="149D370D"/>
    <w:rsid w:val="14A44E66"/>
    <w:rsid w:val="14AB2250"/>
    <w:rsid w:val="14AE4055"/>
    <w:rsid w:val="14AE49D5"/>
    <w:rsid w:val="14B232C4"/>
    <w:rsid w:val="14B65C7F"/>
    <w:rsid w:val="14BA6D75"/>
    <w:rsid w:val="14BE7F58"/>
    <w:rsid w:val="14C0476C"/>
    <w:rsid w:val="14C41352"/>
    <w:rsid w:val="14C42F03"/>
    <w:rsid w:val="14C52463"/>
    <w:rsid w:val="14C809F5"/>
    <w:rsid w:val="14CD19D3"/>
    <w:rsid w:val="14CE43B9"/>
    <w:rsid w:val="14CF33B4"/>
    <w:rsid w:val="14CF62C3"/>
    <w:rsid w:val="14D2682E"/>
    <w:rsid w:val="14D30070"/>
    <w:rsid w:val="14D62A95"/>
    <w:rsid w:val="14DB7B1B"/>
    <w:rsid w:val="14DE5056"/>
    <w:rsid w:val="14EB5F3D"/>
    <w:rsid w:val="14F25E98"/>
    <w:rsid w:val="14F862ED"/>
    <w:rsid w:val="14FC64A6"/>
    <w:rsid w:val="14FC7191"/>
    <w:rsid w:val="15026B14"/>
    <w:rsid w:val="1504011C"/>
    <w:rsid w:val="15040754"/>
    <w:rsid w:val="15067D6A"/>
    <w:rsid w:val="150765E2"/>
    <w:rsid w:val="15080DAC"/>
    <w:rsid w:val="15085D61"/>
    <w:rsid w:val="15093997"/>
    <w:rsid w:val="150A5A65"/>
    <w:rsid w:val="150E1156"/>
    <w:rsid w:val="150F5D9A"/>
    <w:rsid w:val="151257F1"/>
    <w:rsid w:val="15135716"/>
    <w:rsid w:val="15143164"/>
    <w:rsid w:val="1520297E"/>
    <w:rsid w:val="152E082C"/>
    <w:rsid w:val="15316D3E"/>
    <w:rsid w:val="153B51B9"/>
    <w:rsid w:val="154365BA"/>
    <w:rsid w:val="154442EC"/>
    <w:rsid w:val="1547771E"/>
    <w:rsid w:val="15494ED9"/>
    <w:rsid w:val="154C2026"/>
    <w:rsid w:val="154D6E61"/>
    <w:rsid w:val="15532708"/>
    <w:rsid w:val="155333AA"/>
    <w:rsid w:val="15557B16"/>
    <w:rsid w:val="15583846"/>
    <w:rsid w:val="15591472"/>
    <w:rsid w:val="155B4150"/>
    <w:rsid w:val="155F52B1"/>
    <w:rsid w:val="156654E7"/>
    <w:rsid w:val="15695773"/>
    <w:rsid w:val="156C6269"/>
    <w:rsid w:val="15782808"/>
    <w:rsid w:val="157B0A9F"/>
    <w:rsid w:val="157C7087"/>
    <w:rsid w:val="158075AB"/>
    <w:rsid w:val="158509E6"/>
    <w:rsid w:val="15865494"/>
    <w:rsid w:val="158A2E09"/>
    <w:rsid w:val="159E1B2A"/>
    <w:rsid w:val="15A63822"/>
    <w:rsid w:val="15A77F86"/>
    <w:rsid w:val="15AF6A4C"/>
    <w:rsid w:val="15B261C2"/>
    <w:rsid w:val="15B27012"/>
    <w:rsid w:val="15B333C0"/>
    <w:rsid w:val="15B6707C"/>
    <w:rsid w:val="15BB1341"/>
    <w:rsid w:val="15BE0401"/>
    <w:rsid w:val="15C307B7"/>
    <w:rsid w:val="15C7063B"/>
    <w:rsid w:val="15C91224"/>
    <w:rsid w:val="15CB63B7"/>
    <w:rsid w:val="15D57683"/>
    <w:rsid w:val="15D93AC0"/>
    <w:rsid w:val="15E4572F"/>
    <w:rsid w:val="15E6307E"/>
    <w:rsid w:val="15E6613E"/>
    <w:rsid w:val="15E718F2"/>
    <w:rsid w:val="15E72C11"/>
    <w:rsid w:val="15E7795D"/>
    <w:rsid w:val="15EC79DC"/>
    <w:rsid w:val="15ED3FBC"/>
    <w:rsid w:val="15EE7793"/>
    <w:rsid w:val="15F66A6D"/>
    <w:rsid w:val="16020026"/>
    <w:rsid w:val="16022C30"/>
    <w:rsid w:val="160A0D05"/>
    <w:rsid w:val="160B57C6"/>
    <w:rsid w:val="160C0E41"/>
    <w:rsid w:val="160C47BC"/>
    <w:rsid w:val="16107EC8"/>
    <w:rsid w:val="16134611"/>
    <w:rsid w:val="1614328F"/>
    <w:rsid w:val="161705A7"/>
    <w:rsid w:val="161812E4"/>
    <w:rsid w:val="161A2979"/>
    <w:rsid w:val="161B61CD"/>
    <w:rsid w:val="161C3F31"/>
    <w:rsid w:val="161D4E6F"/>
    <w:rsid w:val="161F68A4"/>
    <w:rsid w:val="16306C94"/>
    <w:rsid w:val="163662DB"/>
    <w:rsid w:val="163D3AE3"/>
    <w:rsid w:val="16451DF4"/>
    <w:rsid w:val="164962B9"/>
    <w:rsid w:val="164C5774"/>
    <w:rsid w:val="164E3743"/>
    <w:rsid w:val="164F7354"/>
    <w:rsid w:val="165059D1"/>
    <w:rsid w:val="16507255"/>
    <w:rsid w:val="16561B03"/>
    <w:rsid w:val="16573463"/>
    <w:rsid w:val="16584028"/>
    <w:rsid w:val="165E74D5"/>
    <w:rsid w:val="166368EA"/>
    <w:rsid w:val="16660AB1"/>
    <w:rsid w:val="16662906"/>
    <w:rsid w:val="16677C90"/>
    <w:rsid w:val="166B4361"/>
    <w:rsid w:val="166E153B"/>
    <w:rsid w:val="166E5EC9"/>
    <w:rsid w:val="167204BD"/>
    <w:rsid w:val="167406D1"/>
    <w:rsid w:val="16744DD6"/>
    <w:rsid w:val="16747824"/>
    <w:rsid w:val="16757D8E"/>
    <w:rsid w:val="167A7BBD"/>
    <w:rsid w:val="167D16A1"/>
    <w:rsid w:val="167F7E57"/>
    <w:rsid w:val="16815C98"/>
    <w:rsid w:val="16895C47"/>
    <w:rsid w:val="16906605"/>
    <w:rsid w:val="16932F66"/>
    <w:rsid w:val="16943B2A"/>
    <w:rsid w:val="169453A7"/>
    <w:rsid w:val="16985CC6"/>
    <w:rsid w:val="169C7E9C"/>
    <w:rsid w:val="16A15726"/>
    <w:rsid w:val="16A506AB"/>
    <w:rsid w:val="16A91508"/>
    <w:rsid w:val="16AD7889"/>
    <w:rsid w:val="16BB47DC"/>
    <w:rsid w:val="16BB7BA3"/>
    <w:rsid w:val="16BB7ED7"/>
    <w:rsid w:val="16BC7763"/>
    <w:rsid w:val="16BE71A8"/>
    <w:rsid w:val="16C24805"/>
    <w:rsid w:val="16C6051D"/>
    <w:rsid w:val="16CB4FB6"/>
    <w:rsid w:val="16D574E6"/>
    <w:rsid w:val="16D91A2A"/>
    <w:rsid w:val="16D921F1"/>
    <w:rsid w:val="16DF4564"/>
    <w:rsid w:val="16DF799D"/>
    <w:rsid w:val="16E201CE"/>
    <w:rsid w:val="16EA6E10"/>
    <w:rsid w:val="16F10420"/>
    <w:rsid w:val="16F2756D"/>
    <w:rsid w:val="16F54922"/>
    <w:rsid w:val="16F96083"/>
    <w:rsid w:val="170B2BE8"/>
    <w:rsid w:val="170C3EF5"/>
    <w:rsid w:val="170F7A1A"/>
    <w:rsid w:val="17125D59"/>
    <w:rsid w:val="17272BE0"/>
    <w:rsid w:val="172D2421"/>
    <w:rsid w:val="17325647"/>
    <w:rsid w:val="17345053"/>
    <w:rsid w:val="173676A9"/>
    <w:rsid w:val="173A0207"/>
    <w:rsid w:val="173E0FEA"/>
    <w:rsid w:val="17404E8F"/>
    <w:rsid w:val="17426C5F"/>
    <w:rsid w:val="175352F9"/>
    <w:rsid w:val="175D6A49"/>
    <w:rsid w:val="17602D8D"/>
    <w:rsid w:val="176913DF"/>
    <w:rsid w:val="17696622"/>
    <w:rsid w:val="17731942"/>
    <w:rsid w:val="17760025"/>
    <w:rsid w:val="177773B7"/>
    <w:rsid w:val="178867A6"/>
    <w:rsid w:val="178A4B65"/>
    <w:rsid w:val="178E1241"/>
    <w:rsid w:val="17943C99"/>
    <w:rsid w:val="179637BB"/>
    <w:rsid w:val="179C1D14"/>
    <w:rsid w:val="179F231A"/>
    <w:rsid w:val="17A26A02"/>
    <w:rsid w:val="17A90DAA"/>
    <w:rsid w:val="17AB42EB"/>
    <w:rsid w:val="17AB526E"/>
    <w:rsid w:val="17AE2A98"/>
    <w:rsid w:val="17AF63C5"/>
    <w:rsid w:val="17AF6AD7"/>
    <w:rsid w:val="17B20370"/>
    <w:rsid w:val="17B24F33"/>
    <w:rsid w:val="17B34FF6"/>
    <w:rsid w:val="17B52292"/>
    <w:rsid w:val="17B7128D"/>
    <w:rsid w:val="17B730C5"/>
    <w:rsid w:val="17B91D73"/>
    <w:rsid w:val="17BA37E4"/>
    <w:rsid w:val="17BA749E"/>
    <w:rsid w:val="17BB6F01"/>
    <w:rsid w:val="17C13751"/>
    <w:rsid w:val="17C95ADC"/>
    <w:rsid w:val="17CC4C71"/>
    <w:rsid w:val="17CF1343"/>
    <w:rsid w:val="17D563F1"/>
    <w:rsid w:val="17D77ED6"/>
    <w:rsid w:val="17DA5729"/>
    <w:rsid w:val="17DC0FCE"/>
    <w:rsid w:val="17DF290E"/>
    <w:rsid w:val="17ED6C73"/>
    <w:rsid w:val="17F701B7"/>
    <w:rsid w:val="17F7518E"/>
    <w:rsid w:val="17FE4EDC"/>
    <w:rsid w:val="18042756"/>
    <w:rsid w:val="18056FB0"/>
    <w:rsid w:val="18077E33"/>
    <w:rsid w:val="180A63E4"/>
    <w:rsid w:val="1811463D"/>
    <w:rsid w:val="18116983"/>
    <w:rsid w:val="18134F00"/>
    <w:rsid w:val="18231300"/>
    <w:rsid w:val="18257A24"/>
    <w:rsid w:val="18283E03"/>
    <w:rsid w:val="1828653E"/>
    <w:rsid w:val="18293E85"/>
    <w:rsid w:val="18294DD1"/>
    <w:rsid w:val="182C6CF6"/>
    <w:rsid w:val="182F682F"/>
    <w:rsid w:val="1832773D"/>
    <w:rsid w:val="18334601"/>
    <w:rsid w:val="18363325"/>
    <w:rsid w:val="18384126"/>
    <w:rsid w:val="183D3AA5"/>
    <w:rsid w:val="184171DB"/>
    <w:rsid w:val="184627F0"/>
    <w:rsid w:val="18484A01"/>
    <w:rsid w:val="184C6252"/>
    <w:rsid w:val="184F15E1"/>
    <w:rsid w:val="184F77C2"/>
    <w:rsid w:val="1852524F"/>
    <w:rsid w:val="18541B9C"/>
    <w:rsid w:val="185B47DE"/>
    <w:rsid w:val="186074FA"/>
    <w:rsid w:val="186332C6"/>
    <w:rsid w:val="18637138"/>
    <w:rsid w:val="18692B68"/>
    <w:rsid w:val="186B356A"/>
    <w:rsid w:val="186B522D"/>
    <w:rsid w:val="186C1B10"/>
    <w:rsid w:val="18716CD6"/>
    <w:rsid w:val="18790851"/>
    <w:rsid w:val="187D6242"/>
    <w:rsid w:val="187E2A70"/>
    <w:rsid w:val="187E5223"/>
    <w:rsid w:val="18801846"/>
    <w:rsid w:val="18851064"/>
    <w:rsid w:val="188A6C83"/>
    <w:rsid w:val="188D10D6"/>
    <w:rsid w:val="188F15BA"/>
    <w:rsid w:val="18915CA0"/>
    <w:rsid w:val="18917F2D"/>
    <w:rsid w:val="18952D44"/>
    <w:rsid w:val="189670C0"/>
    <w:rsid w:val="18A00CEF"/>
    <w:rsid w:val="18A2680D"/>
    <w:rsid w:val="18B03BD8"/>
    <w:rsid w:val="18B45D4A"/>
    <w:rsid w:val="18BD28FE"/>
    <w:rsid w:val="18BD3D08"/>
    <w:rsid w:val="18BD6E03"/>
    <w:rsid w:val="18BE0FA4"/>
    <w:rsid w:val="18C07EA2"/>
    <w:rsid w:val="18CD0F2D"/>
    <w:rsid w:val="18D261AC"/>
    <w:rsid w:val="18D41371"/>
    <w:rsid w:val="18DE69F6"/>
    <w:rsid w:val="18DE7C9F"/>
    <w:rsid w:val="18EF132A"/>
    <w:rsid w:val="18F47D0D"/>
    <w:rsid w:val="18FA2F62"/>
    <w:rsid w:val="18FB2FE6"/>
    <w:rsid w:val="190E16F6"/>
    <w:rsid w:val="1911646B"/>
    <w:rsid w:val="19125AA2"/>
    <w:rsid w:val="19127724"/>
    <w:rsid w:val="191306C2"/>
    <w:rsid w:val="1915183E"/>
    <w:rsid w:val="191631EA"/>
    <w:rsid w:val="19206415"/>
    <w:rsid w:val="192107E9"/>
    <w:rsid w:val="19216471"/>
    <w:rsid w:val="19227170"/>
    <w:rsid w:val="192628CD"/>
    <w:rsid w:val="19274857"/>
    <w:rsid w:val="19276E3B"/>
    <w:rsid w:val="192A74FA"/>
    <w:rsid w:val="19314D09"/>
    <w:rsid w:val="19324ABB"/>
    <w:rsid w:val="19360A5F"/>
    <w:rsid w:val="19373F7D"/>
    <w:rsid w:val="193B05B9"/>
    <w:rsid w:val="193C2715"/>
    <w:rsid w:val="19405DE4"/>
    <w:rsid w:val="194C5F46"/>
    <w:rsid w:val="194E2631"/>
    <w:rsid w:val="19605F98"/>
    <w:rsid w:val="19632878"/>
    <w:rsid w:val="196654B5"/>
    <w:rsid w:val="19684EFD"/>
    <w:rsid w:val="196A2F7E"/>
    <w:rsid w:val="196B583C"/>
    <w:rsid w:val="196E0C8A"/>
    <w:rsid w:val="19760B2C"/>
    <w:rsid w:val="19795EE5"/>
    <w:rsid w:val="197F5C7C"/>
    <w:rsid w:val="19802499"/>
    <w:rsid w:val="1985602A"/>
    <w:rsid w:val="19862569"/>
    <w:rsid w:val="198B4025"/>
    <w:rsid w:val="19965341"/>
    <w:rsid w:val="199F7AA3"/>
    <w:rsid w:val="19A32F90"/>
    <w:rsid w:val="19AD020C"/>
    <w:rsid w:val="19AD038F"/>
    <w:rsid w:val="19AF00D5"/>
    <w:rsid w:val="19B30894"/>
    <w:rsid w:val="19B3318C"/>
    <w:rsid w:val="19B740BD"/>
    <w:rsid w:val="19B7645A"/>
    <w:rsid w:val="19C04474"/>
    <w:rsid w:val="19C1429D"/>
    <w:rsid w:val="19C26DA7"/>
    <w:rsid w:val="19C320A3"/>
    <w:rsid w:val="19C577A5"/>
    <w:rsid w:val="19D57831"/>
    <w:rsid w:val="19D61616"/>
    <w:rsid w:val="19D80D11"/>
    <w:rsid w:val="19DA713C"/>
    <w:rsid w:val="19DE70F9"/>
    <w:rsid w:val="19E103A2"/>
    <w:rsid w:val="19ED0CBD"/>
    <w:rsid w:val="19EE5C0D"/>
    <w:rsid w:val="19F92DCF"/>
    <w:rsid w:val="19FB20C3"/>
    <w:rsid w:val="19FC367D"/>
    <w:rsid w:val="19FC4ACC"/>
    <w:rsid w:val="19FD39C6"/>
    <w:rsid w:val="1A08179A"/>
    <w:rsid w:val="1A081994"/>
    <w:rsid w:val="1A140689"/>
    <w:rsid w:val="1A1F177D"/>
    <w:rsid w:val="1A205934"/>
    <w:rsid w:val="1A2A3674"/>
    <w:rsid w:val="1A4002E2"/>
    <w:rsid w:val="1A403208"/>
    <w:rsid w:val="1A4326F6"/>
    <w:rsid w:val="1A4469E2"/>
    <w:rsid w:val="1A45748C"/>
    <w:rsid w:val="1A48720B"/>
    <w:rsid w:val="1A4F3D48"/>
    <w:rsid w:val="1A5B3C34"/>
    <w:rsid w:val="1A6577C0"/>
    <w:rsid w:val="1A6A32B4"/>
    <w:rsid w:val="1A6B5FD0"/>
    <w:rsid w:val="1A717DF7"/>
    <w:rsid w:val="1A774332"/>
    <w:rsid w:val="1A785D6F"/>
    <w:rsid w:val="1A7D70E7"/>
    <w:rsid w:val="1A7E039C"/>
    <w:rsid w:val="1A7E36A1"/>
    <w:rsid w:val="1A8259CE"/>
    <w:rsid w:val="1A843501"/>
    <w:rsid w:val="1A8736EB"/>
    <w:rsid w:val="1A8763B0"/>
    <w:rsid w:val="1A887049"/>
    <w:rsid w:val="1A8B0158"/>
    <w:rsid w:val="1A8C3458"/>
    <w:rsid w:val="1A8C4896"/>
    <w:rsid w:val="1A8D0F38"/>
    <w:rsid w:val="1A970F40"/>
    <w:rsid w:val="1A9C2C24"/>
    <w:rsid w:val="1A9D480B"/>
    <w:rsid w:val="1AA34202"/>
    <w:rsid w:val="1AA35C0E"/>
    <w:rsid w:val="1AA9384A"/>
    <w:rsid w:val="1AB66EDD"/>
    <w:rsid w:val="1AB71550"/>
    <w:rsid w:val="1AB74EF3"/>
    <w:rsid w:val="1ABC4108"/>
    <w:rsid w:val="1ABC73EB"/>
    <w:rsid w:val="1ABD062F"/>
    <w:rsid w:val="1AC11958"/>
    <w:rsid w:val="1AC2318E"/>
    <w:rsid w:val="1AC7419E"/>
    <w:rsid w:val="1AC879A9"/>
    <w:rsid w:val="1AC92826"/>
    <w:rsid w:val="1ACD5182"/>
    <w:rsid w:val="1AD01E3D"/>
    <w:rsid w:val="1AD4247E"/>
    <w:rsid w:val="1AD77D92"/>
    <w:rsid w:val="1AD84C47"/>
    <w:rsid w:val="1AE177B4"/>
    <w:rsid w:val="1AE3674E"/>
    <w:rsid w:val="1AE62090"/>
    <w:rsid w:val="1AE82082"/>
    <w:rsid w:val="1AED426D"/>
    <w:rsid w:val="1AF172D4"/>
    <w:rsid w:val="1AF7716E"/>
    <w:rsid w:val="1AFB6DF0"/>
    <w:rsid w:val="1B0426C2"/>
    <w:rsid w:val="1B074BD5"/>
    <w:rsid w:val="1B09165B"/>
    <w:rsid w:val="1B093128"/>
    <w:rsid w:val="1B0A05D8"/>
    <w:rsid w:val="1B0E7796"/>
    <w:rsid w:val="1B1452D2"/>
    <w:rsid w:val="1B150439"/>
    <w:rsid w:val="1B182C62"/>
    <w:rsid w:val="1B192C37"/>
    <w:rsid w:val="1B1D373E"/>
    <w:rsid w:val="1B1D429D"/>
    <w:rsid w:val="1B1F6F20"/>
    <w:rsid w:val="1B2A2BE2"/>
    <w:rsid w:val="1B3576B2"/>
    <w:rsid w:val="1B3579D5"/>
    <w:rsid w:val="1B3D16D6"/>
    <w:rsid w:val="1B4072B4"/>
    <w:rsid w:val="1B4C5525"/>
    <w:rsid w:val="1B4D3E54"/>
    <w:rsid w:val="1B5A57E7"/>
    <w:rsid w:val="1B5B29ED"/>
    <w:rsid w:val="1B6331A6"/>
    <w:rsid w:val="1B6B06BD"/>
    <w:rsid w:val="1B6E2049"/>
    <w:rsid w:val="1B703288"/>
    <w:rsid w:val="1B746793"/>
    <w:rsid w:val="1B756DED"/>
    <w:rsid w:val="1B7A20E6"/>
    <w:rsid w:val="1B89497E"/>
    <w:rsid w:val="1B897655"/>
    <w:rsid w:val="1B8C5B6B"/>
    <w:rsid w:val="1B8E5517"/>
    <w:rsid w:val="1B8F5EAB"/>
    <w:rsid w:val="1B9307CB"/>
    <w:rsid w:val="1BA61AEF"/>
    <w:rsid w:val="1BAA31E2"/>
    <w:rsid w:val="1BAB3F7A"/>
    <w:rsid w:val="1BB218D2"/>
    <w:rsid w:val="1BB568F0"/>
    <w:rsid w:val="1BBB29FD"/>
    <w:rsid w:val="1BCF50D1"/>
    <w:rsid w:val="1BD13F8C"/>
    <w:rsid w:val="1BD463FF"/>
    <w:rsid w:val="1BDB7736"/>
    <w:rsid w:val="1BDE524F"/>
    <w:rsid w:val="1BDF4861"/>
    <w:rsid w:val="1BE31AF1"/>
    <w:rsid w:val="1BE3484A"/>
    <w:rsid w:val="1BE606D0"/>
    <w:rsid w:val="1BEC7F39"/>
    <w:rsid w:val="1BF02021"/>
    <w:rsid w:val="1BF30338"/>
    <w:rsid w:val="1BF51367"/>
    <w:rsid w:val="1BF5683F"/>
    <w:rsid w:val="1BFD2557"/>
    <w:rsid w:val="1C0009EA"/>
    <w:rsid w:val="1C04440E"/>
    <w:rsid w:val="1C0754E0"/>
    <w:rsid w:val="1C0F0423"/>
    <w:rsid w:val="1C1018AA"/>
    <w:rsid w:val="1C126106"/>
    <w:rsid w:val="1C1A0B3C"/>
    <w:rsid w:val="1C1E7AA6"/>
    <w:rsid w:val="1C1F5FCF"/>
    <w:rsid w:val="1C246018"/>
    <w:rsid w:val="1C2715F3"/>
    <w:rsid w:val="1C275713"/>
    <w:rsid w:val="1C331D42"/>
    <w:rsid w:val="1C386C71"/>
    <w:rsid w:val="1C3A5519"/>
    <w:rsid w:val="1C3C335F"/>
    <w:rsid w:val="1C3C5DA3"/>
    <w:rsid w:val="1C3E7223"/>
    <w:rsid w:val="1C3F5797"/>
    <w:rsid w:val="1C4422A8"/>
    <w:rsid w:val="1C4F6E91"/>
    <w:rsid w:val="1C594377"/>
    <w:rsid w:val="1C5D237D"/>
    <w:rsid w:val="1C5E115A"/>
    <w:rsid w:val="1C5F209F"/>
    <w:rsid w:val="1C622B58"/>
    <w:rsid w:val="1C6A26EA"/>
    <w:rsid w:val="1C6A2E4E"/>
    <w:rsid w:val="1C726622"/>
    <w:rsid w:val="1C743B4C"/>
    <w:rsid w:val="1C7C09C5"/>
    <w:rsid w:val="1C7E0022"/>
    <w:rsid w:val="1C7F1D9C"/>
    <w:rsid w:val="1C834B8A"/>
    <w:rsid w:val="1C8362D3"/>
    <w:rsid w:val="1C855CF4"/>
    <w:rsid w:val="1C877830"/>
    <w:rsid w:val="1C8E3566"/>
    <w:rsid w:val="1C91719F"/>
    <w:rsid w:val="1C927900"/>
    <w:rsid w:val="1C973A00"/>
    <w:rsid w:val="1C982EEB"/>
    <w:rsid w:val="1C991A90"/>
    <w:rsid w:val="1CA96EA0"/>
    <w:rsid w:val="1CAA3CF5"/>
    <w:rsid w:val="1CAA66EE"/>
    <w:rsid w:val="1CB23A00"/>
    <w:rsid w:val="1CB275ED"/>
    <w:rsid w:val="1CB7076D"/>
    <w:rsid w:val="1CBD4617"/>
    <w:rsid w:val="1CBF0662"/>
    <w:rsid w:val="1CC6531D"/>
    <w:rsid w:val="1CCA6711"/>
    <w:rsid w:val="1CD07761"/>
    <w:rsid w:val="1CD23926"/>
    <w:rsid w:val="1CD60362"/>
    <w:rsid w:val="1CD80678"/>
    <w:rsid w:val="1CDB5017"/>
    <w:rsid w:val="1CDC4B46"/>
    <w:rsid w:val="1CE27FF9"/>
    <w:rsid w:val="1CE9706E"/>
    <w:rsid w:val="1CED6F7E"/>
    <w:rsid w:val="1CF57CFE"/>
    <w:rsid w:val="1CF820F2"/>
    <w:rsid w:val="1CFB337B"/>
    <w:rsid w:val="1CFC2FF7"/>
    <w:rsid w:val="1D091AF2"/>
    <w:rsid w:val="1D0B0493"/>
    <w:rsid w:val="1D0F2419"/>
    <w:rsid w:val="1D141CA6"/>
    <w:rsid w:val="1D150EDF"/>
    <w:rsid w:val="1D280D46"/>
    <w:rsid w:val="1D2A6420"/>
    <w:rsid w:val="1D2B5E9D"/>
    <w:rsid w:val="1D2D7E09"/>
    <w:rsid w:val="1D316E5E"/>
    <w:rsid w:val="1D33103A"/>
    <w:rsid w:val="1D3850BE"/>
    <w:rsid w:val="1D3A0D24"/>
    <w:rsid w:val="1D3D12A0"/>
    <w:rsid w:val="1D3D39E5"/>
    <w:rsid w:val="1D3F69EE"/>
    <w:rsid w:val="1D3F76F3"/>
    <w:rsid w:val="1D415EE4"/>
    <w:rsid w:val="1D43327F"/>
    <w:rsid w:val="1D4415BC"/>
    <w:rsid w:val="1D4804DE"/>
    <w:rsid w:val="1D49193E"/>
    <w:rsid w:val="1D4D4AE1"/>
    <w:rsid w:val="1D4F2EBB"/>
    <w:rsid w:val="1D512A54"/>
    <w:rsid w:val="1D520DEA"/>
    <w:rsid w:val="1D555B15"/>
    <w:rsid w:val="1D5844E1"/>
    <w:rsid w:val="1D586B6C"/>
    <w:rsid w:val="1D5B7473"/>
    <w:rsid w:val="1D5C23B5"/>
    <w:rsid w:val="1D600650"/>
    <w:rsid w:val="1D603169"/>
    <w:rsid w:val="1D60709E"/>
    <w:rsid w:val="1D626DF1"/>
    <w:rsid w:val="1D670FF2"/>
    <w:rsid w:val="1D672CD4"/>
    <w:rsid w:val="1D6B544D"/>
    <w:rsid w:val="1D6D1C79"/>
    <w:rsid w:val="1D76310F"/>
    <w:rsid w:val="1D770A8C"/>
    <w:rsid w:val="1D7722D5"/>
    <w:rsid w:val="1D782073"/>
    <w:rsid w:val="1D7A4D1A"/>
    <w:rsid w:val="1D7B7562"/>
    <w:rsid w:val="1D7C5A09"/>
    <w:rsid w:val="1D7D636A"/>
    <w:rsid w:val="1D864604"/>
    <w:rsid w:val="1D902E82"/>
    <w:rsid w:val="1D9517A0"/>
    <w:rsid w:val="1D975CD7"/>
    <w:rsid w:val="1D980E53"/>
    <w:rsid w:val="1D997CDC"/>
    <w:rsid w:val="1D9D07D9"/>
    <w:rsid w:val="1D9D414E"/>
    <w:rsid w:val="1D9D4331"/>
    <w:rsid w:val="1DA1421C"/>
    <w:rsid w:val="1DA535CD"/>
    <w:rsid w:val="1DA55B8F"/>
    <w:rsid w:val="1DA674CD"/>
    <w:rsid w:val="1DA7643E"/>
    <w:rsid w:val="1DA97AE3"/>
    <w:rsid w:val="1DAB3A77"/>
    <w:rsid w:val="1DAF6961"/>
    <w:rsid w:val="1DB5042D"/>
    <w:rsid w:val="1DC305BD"/>
    <w:rsid w:val="1DD33641"/>
    <w:rsid w:val="1DD545A2"/>
    <w:rsid w:val="1DD92F56"/>
    <w:rsid w:val="1DE152DD"/>
    <w:rsid w:val="1DEA2264"/>
    <w:rsid w:val="1DEB7D5D"/>
    <w:rsid w:val="1DEC3275"/>
    <w:rsid w:val="1DEC7AF5"/>
    <w:rsid w:val="1DF02B71"/>
    <w:rsid w:val="1DF12483"/>
    <w:rsid w:val="1DF76268"/>
    <w:rsid w:val="1DFA688A"/>
    <w:rsid w:val="1DFC35D2"/>
    <w:rsid w:val="1DFD68F4"/>
    <w:rsid w:val="1DFF359C"/>
    <w:rsid w:val="1E003C9A"/>
    <w:rsid w:val="1E05233A"/>
    <w:rsid w:val="1E0B6AD4"/>
    <w:rsid w:val="1E1126C8"/>
    <w:rsid w:val="1E132201"/>
    <w:rsid w:val="1E1552C8"/>
    <w:rsid w:val="1E170F59"/>
    <w:rsid w:val="1E1901EF"/>
    <w:rsid w:val="1E1A4153"/>
    <w:rsid w:val="1E1E6EC3"/>
    <w:rsid w:val="1E2E3F71"/>
    <w:rsid w:val="1E321697"/>
    <w:rsid w:val="1E325050"/>
    <w:rsid w:val="1E453784"/>
    <w:rsid w:val="1E4B54B0"/>
    <w:rsid w:val="1E503A1A"/>
    <w:rsid w:val="1E503A3B"/>
    <w:rsid w:val="1E5346A7"/>
    <w:rsid w:val="1E5A1CCF"/>
    <w:rsid w:val="1E6031E6"/>
    <w:rsid w:val="1E670D4E"/>
    <w:rsid w:val="1E6B5B8F"/>
    <w:rsid w:val="1E6E416A"/>
    <w:rsid w:val="1E721A3D"/>
    <w:rsid w:val="1E755C2B"/>
    <w:rsid w:val="1E7632F6"/>
    <w:rsid w:val="1E792CF5"/>
    <w:rsid w:val="1E7D4E0A"/>
    <w:rsid w:val="1E7F0633"/>
    <w:rsid w:val="1E812652"/>
    <w:rsid w:val="1E8B7037"/>
    <w:rsid w:val="1E91177C"/>
    <w:rsid w:val="1E991E75"/>
    <w:rsid w:val="1E996904"/>
    <w:rsid w:val="1E9B4276"/>
    <w:rsid w:val="1E9C0A53"/>
    <w:rsid w:val="1E9D6901"/>
    <w:rsid w:val="1EA02835"/>
    <w:rsid w:val="1EA95A53"/>
    <w:rsid w:val="1EAB5E53"/>
    <w:rsid w:val="1EAC0275"/>
    <w:rsid w:val="1EAE2702"/>
    <w:rsid w:val="1EAE7824"/>
    <w:rsid w:val="1EB00860"/>
    <w:rsid w:val="1EB02CC8"/>
    <w:rsid w:val="1EB04A4A"/>
    <w:rsid w:val="1EB53A7C"/>
    <w:rsid w:val="1EBE1CE9"/>
    <w:rsid w:val="1EBF224C"/>
    <w:rsid w:val="1EC04104"/>
    <w:rsid w:val="1EC11992"/>
    <w:rsid w:val="1EC30BEA"/>
    <w:rsid w:val="1EC41087"/>
    <w:rsid w:val="1ECE4985"/>
    <w:rsid w:val="1ED21003"/>
    <w:rsid w:val="1ED26F3D"/>
    <w:rsid w:val="1ED93B0E"/>
    <w:rsid w:val="1EDD6197"/>
    <w:rsid w:val="1EE1375B"/>
    <w:rsid w:val="1EE16C24"/>
    <w:rsid w:val="1EE21E25"/>
    <w:rsid w:val="1EEC418C"/>
    <w:rsid w:val="1EEC556C"/>
    <w:rsid w:val="1EED774F"/>
    <w:rsid w:val="1F010D92"/>
    <w:rsid w:val="1F0520FA"/>
    <w:rsid w:val="1F097F62"/>
    <w:rsid w:val="1F0B23CA"/>
    <w:rsid w:val="1F1563DB"/>
    <w:rsid w:val="1F1B70EB"/>
    <w:rsid w:val="1F2450AF"/>
    <w:rsid w:val="1F253CDA"/>
    <w:rsid w:val="1F2C4DFC"/>
    <w:rsid w:val="1F362D47"/>
    <w:rsid w:val="1F423651"/>
    <w:rsid w:val="1F431E6D"/>
    <w:rsid w:val="1F4668C0"/>
    <w:rsid w:val="1F466CEE"/>
    <w:rsid w:val="1F4D1647"/>
    <w:rsid w:val="1F4E3160"/>
    <w:rsid w:val="1F5054C6"/>
    <w:rsid w:val="1F506C6E"/>
    <w:rsid w:val="1F515883"/>
    <w:rsid w:val="1F516677"/>
    <w:rsid w:val="1F5219CB"/>
    <w:rsid w:val="1F541EEF"/>
    <w:rsid w:val="1F561493"/>
    <w:rsid w:val="1F5B7C2D"/>
    <w:rsid w:val="1F6912EA"/>
    <w:rsid w:val="1F6A7B28"/>
    <w:rsid w:val="1F6F2588"/>
    <w:rsid w:val="1F784B09"/>
    <w:rsid w:val="1F7E6BF5"/>
    <w:rsid w:val="1F836424"/>
    <w:rsid w:val="1F846D20"/>
    <w:rsid w:val="1F871BD3"/>
    <w:rsid w:val="1F88113F"/>
    <w:rsid w:val="1F8D4367"/>
    <w:rsid w:val="1F8F746F"/>
    <w:rsid w:val="1F910E37"/>
    <w:rsid w:val="1F914A75"/>
    <w:rsid w:val="1F95616D"/>
    <w:rsid w:val="1F9874EA"/>
    <w:rsid w:val="1F9B6919"/>
    <w:rsid w:val="1F9F46B3"/>
    <w:rsid w:val="1FAA0941"/>
    <w:rsid w:val="1FB74D02"/>
    <w:rsid w:val="1FBE5412"/>
    <w:rsid w:val="1FCB16F7"/>
    <w:rsid w:val="1FCC49F0"/>
    <w:rsid w:val="1FCF3726"/>
    <w:rsid w:val="1FD050E9"/>
    <w:rsid w:val="1FD5520D"/>
    <w:rsid w:val="1FD653FD"/>
    <w:rsid w:val="1FDE64E1"/>
    <w:rsid w:val="1FDF3BD5"/>
    <w:rsid w:val="1FE11BD8"/>
    <w:rsid w:val="1FE2052C"/>
    <w:rsid w:val="1FE56181"/>
    <w:rsid w:val="1FE56EC5"/>
    <w:rsid w:val="1FE6624B"/>
    <w:rsid w:val="1FED02FA"/>
    <w:rsid w:val="1FEE229F"/>
    <w:rsid w:val="1FF02AAA"/>
    <w:rsid w:val="1FF53C8F"/>
    <w:rsid w:val="1FF6140E"/>
    <w:rsid w:val="1FF86A76"/>
    <w:rsid w:val="1FFD10FC"/>
    <w:rsid w:val="1FFD62F7"/>
    <w:rsid w:val="200356DF"/>
    <w:rsid w:val="200428EF"/>
    <w:rsid w:val="200B1CEE"/>
    <w:rsid w:val="200C2C99"/>
    <w:rsid w:val="200C6816"/>
    <w:rsid w:val="200E56C6"/>
    <w:rsid w:val="200E6BFB"/>
    <w:rsid w:val="20182D2D"/>
    <w:rsid w:val="201876A7"/>
    <w:rsid w:val="201A06FE"/>
    <w:rsid w:val="201C5A1F"/>
    <w:rsid w:val="20233A9B"/>
    <w:rsid w:val="202F14B1"/>
    <w:rsid w:val="2030156C"/>
    <w:rsid w:val="20376005"/>
    <w:rsid w:val="20380AB4"/>
    <w:rsid w:val="203B795E"/>
    <w:rsid w:val="203F3C8D"/>
    <w:rsid w:val="2040553E"/>
    <w:rsid w:val="20486984"/>
    <w:rsid w:val="204D314F"/>
    <w:rsid w:val="204D701E"/>
    <w:rsid w:val="205004FF"/>
    <w:rsid w:val="205145FD"/>
    <w:rsid w:val="20515B24"/>
    <w:rsid w:val="20624FAE"/>
    <w:rsid w:val="206A491A"/>
    <w:rsid w:val="206B05CD"/>
    <w:rsid w:val="206F4B06"/>
    <w:rsid w:val="207360D2"/>
    <w:rsid w:val="20737E71"/>
    <w:rsid w:val="20750FBD"/>
    <w:rsid w:val="207654F7"/>
    <w:rsid w:val="207710B9"/>
    <w:rsid w:val="207F6C38"/>
    <w:rsid w:val="208B5A14"/>
    <w:rsid w:val="20903AAD"/>
    <w:rsid w:val="20940B63"/>
    <w:rsid w:val="2095374D"/>
    <w:rsid w:val="209827F2"/>
    <w:rsid w:val="20992C71"/>
    <w:rsid w:val="209C291B"/>
    <w:rsid w:val="20A05300"/>
    <w:rsid w:val="20AB1B83"/>
    <w:rsid w:val="20AC095C"/>
    <w:rsid w:val="20B500D7"/>
    <w:rsid w:val="20B5066B"/>
    <w:rsid w:val="20BF3ED9"/>
    <w:rsid w:val="20BF7D1E"/>
    <w:rsid w:val="20C15438"/>
    <w:rsid w:val="20C155C9"/>
    <w:rsid w:val="20C5314A"/>
    <w:rsid w:val="20C54681"/>
    <w:rsid w:val="20C67D50"/>
    <w:rsid w:val="20C70485"/>
    <w:rsid w:val="20CB0A8E"/>
    <w:rsid w:val="20CC24D6"/>
    <w:rsid w:val="20D174B0"/>
    <w:rsid w:val="20D459E5"/>
    <w:rsid w:val="20D615FF"/>
    <w:rsid w:val="20D61683"/>
    <w:rsid w:val="20D87490"/>
    <w:rsid w:val="20DF37C8"/>
    <w:rsid w:val="20E650E5"/>
    <w:rsid w:val="20E8756B"/>
    <w:rsid w:val="20E9709D"/>
    <w:rsid w:val="20EE3952"/>
    <w:rsid w:val="20F136E1"/>
    <w:rsid w:val="20F4314F"/>
    <w:rsid w:val="20F47451"/>
    <w:rsid w:val="20F90B4A"/>
    <w:rsid w:val="20FC0246"/>
    <w:rsid w:val="21040914"/>
    <w:rsid w:val="21042B7C"/>
    <w:rsid w:val="21072BBA"/>
    <w:rsid w:val="2111660A"/>
    <w:rsid w:val="21142F88"/>
    <w:rsid w:val="211C59A3"/>
    <w:rsid w:val="211D5431"/>
    <w:rsid w:val="211F056C"/>
    <w:rsid w:val="21227094"/>
    <w:rsid w:val="21296544"/>
    <w:rsid w:val="2131256A"/>
    <w:rsid w:val="213263E7"/>
    <w:rsid w:val="21373E4C"/>
    <w:rsid w:val="213A0C62"/>
    <w:rsid w:val="213E432F"/>
    <w:rsid w:val="21491950"/>
    <w:rsid w:val="214E4EA0"/>
    <w:rsid w:val="2150479C"/>
    <w:rsid w:val="21606A43"/>
    <w:rsid w:val="216279DD"/>
    <w:rsid w:val="216A0F2E"/>
    <w:rsid w:val="216F3311"/>
    <w:rsid w:val="217203CB"/>
    <w:rsid w:val="2177302E"/>
    <w:rsid w:val="21782805"/>
    <w:rsid w:val="21791635"/>
    <w:rsid w:val="217C0365"/>
    <w:rsid w:val="217C4F60"/>
    <w:rsid w:val="21811E63"/>
    <w:rsid w:val="21840D54"/>
    <w:rsid w:val="21853A22"/>
    <w:rsid w:val="218C3300"/>
    <w:rsid w:val="218E7F14"/>
    <w:rsid w:val="21961EAF"/>
    <w:rsid w:val="219D7AB0"/>
    <w:rsid w:val="21A4744F"/>
    <w:rsid w:val="21AF0464"/>
    <w:rsid w:val="21AF45E1"/>
    <w:rsid w:val="21B067B4"/>
    <w:rsid w:val="21B500A4"/>
    <w:rsid w:val="21BC6476"/>
    <w:rsid w:val="21BD42B4"/>
    <w:rsid w:val="21C13238"/>
    <w:rsid w:val="21C179F1"/>
    <w:rsid w:val="21C669E0"/>
    <w:rsid w:val="21C66B99"/>
    <w:rsid w:val="21C821F4"/>
    <w:rsid w:val="21C969FB"/>
    <w:rsid w:val="21CE5930"/>
    <w:rsid w:val="21CE59A1"/>
    <w:rsid w:val="21D11C41"/>
    <w:rsid w:val="21D21B0D"/>
    <w:rsid w:val="21D75B7B"/>
    <w:rsid w:val="21D75CF4"/>
    <w:rsid w:val="21DC320A"/>
    <w:rsid w:val="21DD6C97"/>
    <w:rsid w:val="21DE3B3C"/>
    <w:rsid w:val="21E14A0B"/>
    <w:rsid w:val="21E40024"/>
    <w:rsid w:val="21EA5CFE"/>
    <w:rsid w:val="21EE5211"/>
    <w:rsid w:val="21EE660C"/>
    <w:rsid w:val="21EF02BE"/>
    <w:rsid w:val="21EF5B9D"/>
    <w:rsid w:val="21F7027D"/>
    <w:rsid w:val="21F73193"/>
    <w:rsid w:val="21F73793"/>
    <w:rsid w:val="21FD1C3F"/>
    <w:rsid w:val="220126B3"/>
    <w:rsid w:val="22020E4A"/>
    <w:rsid w:val="22031727"/>
    <w:rsid w:val="220C0754"/>
    <w:rsid w:val="221A792F"/>
    <w:rsid w:val="221F2DB1"/>
    <w:rsid w:val="22200E36"/>
    <w:rsid w:val="2228602A"/>
    <w:rsid w:val="222B508C"/>
    <w:rsid w:val="222B77B1"/>
    <w:rsid w:val="2236251C"/>
    <w:rsid w:val="223B4CBD"/>
    <w:rsid w:val="223C0C3E"/>
    <w:rsid w:val="22466DF7"/>
    <w:rsid w:val="224C5A81"/>
    <w:rsid w:val="224E3883"/>
    <w:rsid w:val="224F435B"/>
    <w:rsid w:val="22532BD7"/>
    <w:rsid w:val="225B5E36"/>
    <w:rsid w:val="22624E94"/>
    <w:rsid w:val="22744935"/>
    <w:rsid w:val="22782E9C"/>
    <w:rsid w:val="227E6CC1"/>
    <w:rsid w:val="228749BF"/>
    <w:rsid w:val="22961BC6"/>
    <w:rsid w:val="22970806"/>
    <w:rsid w:val="229868BC"/>
    <w:rsid w:val="22A246E7"/>
    <w:rsid w:val="22A3720C"/>
    <w:rsid w:val="22A700D0"/>
    <w:rsid w:val="22B134AC"/>
    <w:rsid w:val="22B37552"/>
    <w:rsid w:val="22B52D37"/>
    <w:rsid w:val="22B644C9"/>
    <w:rsid w:val="22B70EBD"/>
    <w:rsid w:val="22B8357B"/>
    <w:rsid w:val="22BA37FF"/>
    <w:rsid w:val="22BA6B58"/>
    <w:rsid w:val="22BE17FF"/>
    <w:rsid w:val="22BE3A45"/>
    <w:rsid w:val="22C410DB"/>
    <w:rsid w:val="22C42B7F"/>
    <w:rsid w:val="22CC54CD"/>
    <w:rsid w:val="22CD1D6D"/>
    <w:rsid w:val="22CE2EC6"/>
    <w:rsid w:val="22D4106F"/>
    <w:rsid w:val="22D60E40"/>
    <w:rsid w:val="22DD1A1E"/>
    <w:rsid w:val="22E86952"/>
    <w:rsid w:val="22EF3BA1"/>
    <w:rsid w:val="22EF7BBC"/>
    <w:rsid w:val="22F102BC"/>
    <w:rsid w:val="22F5495D"/>
    <w:rsid w:val="22F56054"/>
    <w:rsid w:val="23104EAF"/>
    <w:rsid w:val="23132550"/>
    <w:rsid w:val="23156543"/>
    <w:rsid w:val="231A070F"/>
    <w:rsid w:val="2320425D"/>
    <w:rsid w:val="23235E57"/>
    <w:rsid w:val="23273691"/>
    <w:rsid w:val="232909CE"/>
    <w:rsid w:val="23291E78"/>
    <w:rsid w:val="232C1509"/>
    <w:rsid w:val="232F665A"/>
    <w:rsid w:val="23314EAB"/>
    <w:rsid w:val="23335467"/>
    <w:rsid w:val="23363406"/>
    <w:rsid w:val="233862A6"/>
    <w:rsid w:val="233A3607"/>
    <w:rsid w:val="233E03FF"/>
    <w:rsid w:val="2346475E"/>
    <w:rsid w:val="23487DCB"/>
    <w:rsid w:val="234A48EE"/>
    <w:rsid w:val="234D24E2"/>
    <w:rsid w:val="23510FF6"/>
    <w:rsid w:val="235C354B"/>
    <w:rsid w:val="235C50E5"/>
    <w:rsid w:val="235D1253"/>
    <w:rsid w:val="235F4549"/>
    <w:rsid w:val="235F79ED"/>
    <w:rsid w:val="23600BA2"/>
    <w:rsid w:val="23603196"/>
    <w:rsid w:val="23630399"/>
    <w:rsid w:val="23681507"/>
    <w:rsid w:val="23764977"/>
    <w:rsid w:val="23793A68"/>
    <w:rsid w:val="237C5641"/>
    <w:rsid w:val="237C7121"/>
    <w:rsid w:val="237D1DF7"/>
    <w:rsid w:val="237E3045"/>
    <w:rsid w:val="237E4359"/>
    <w:rsid w:val="2383327E"/>
    <w:rsid w:val="2389194D"/>
    <w:rsid w:val="238C17A2"/>
    <w:rsid w:val="238C7192"/>
    <w:rsid w:val="238D4215"/>
    <w:rsid w:val="238E1610"/>
    <w:rsid w:val="23901A17"/>
    <w:rsid w:val="23910CFA"/>
    <w:rsid w:val="239337D8"/>
    <w:rsid w:val="2393595B"/>
    <w:rsid w:val="239609C5"/>
    <w:rsid w:val="239926FB"/>
    <w:rsid w:val="239B22C3"/>
    <w:rsid w:val="239B2AE7"/>
    <w:rsid w:val="239B461A"/>
    <w:rsid w:val="239C2690"/>
    <w:rsid w:val="239F593D"/>
    <w:rsid w:val="23AB49E1"/>
    <w:rsid w:val="23B265BF"/>
    <w:rsid w:val="23B93181"/>
    <w:rsid w:val="23BC1420"/>
    <w:rsid w:val="23C030DD"/>
    <w:rsid w:val="23D05A91"/>
    <w:rsid w:val="23D21BD0"/>
    <w:rsid w:val="23D272A0"/>
    <w:rsid w:val="23DB2655"/>
    <w:rsid w:val="23E21DE7"/>
    <w:rsid w:val="23E665DF"/>
    <w:rsid w:val="23EA3923"/>
    <w:rsid w:val="23F17CD5"/>
    <w:rsid w:val="23FA4358"/>
    <w:rsid w:val="23FB3241"/>
    <w:rsid w:val="24045830"/>
    <w:rsid w:val="24054F77"/>
    <w:rsid w:val="24057952"/>
    <w:rsid w:val="240758EB"/>
    <w:rsid w:val="24093F2C"/>
    <w:rsid w:val="24096ACF"/>
    <w:rsid w:val="24130084"/>
    <w:rsid w:val="24135A21"/>
    <w:rsid w:val="241454E6"/>
    <w:rsid w:val="242401C2"/>
    <w:rsid w:val="242419A3"/>
    <w:rsid w:val="242F2B97"/>
    <w:rsid w:val="243350D6"/>
    <w:rsid w:val="24357197"/>
    <w:rsid w:val="243911EB"/>
    <w:rsid w:val="244007D0"/>
    <w:rsid w:val="2442334F"/>
    <w:rsid w:val="244A2921"/>
    <w:rsid w:val="244F4173"/>
    <w:rsid w:val="244F4C26"/>
    <w:rsid w:val="245040EE"/>
    <w:rsid w:val="24531B52"/>
    <w:rsid w:val="24580C99"/>
    <w:rsid w:val="245E5BB8"/>
    <w:rsid w:val="246841DB"/>
    <w:rsid w:val="246D27D3"/>
    <w:rsid w:val="24711FF0"/>
    <w:rsid w:val="247741F0"/>
    <w:rsid w:val="247E5198"/>
    <w:rsid w:val="24885E29"/>
    <w:rsid w:val="248E1EDF"/>
    <w:rsid w:val="24917A49"/>
    <w:rsid w:val="249B03DD"/>
    <w:rsid w:val="249C22F2"/>
    <w:rsid w:val="249C5709"/>
    <w:rsid w:val="24A011EA"/>
    <w:rsid w:val="24A236B4"/>
    <w:rsid w:val="24A24C4F"/>
    <w:rsid w:val="24A357A3"/>
    <w:rsid w:val="24AF4AB2"/>
    <w:rsid w:val="24B0730B"/>
    <w:rsid w:val="24B91DBA"/>
    <w:rsid w:val="24BF1603"/>
    <w:rsid w:val="24BF546C"/>
    <w:rsid w:val="24C11CE2"/>
    <w:rsid w:val="24CB61EF"/>
    <w:rsid w:val="24CC06C4"/>
    <w:rsid w:val="24D32421"/>
    <w:rsid w:val="24D9334E"/>
    <w:rsid w:val="24D94193"/>
    <w:rsid w:val="24DB25E5"/>
    <w:rsid w:val="24DD58A0"/>
    <w:rsid w:val="24EA64A3"/>
    <w:rsid w:val="24ED7984"/>
    <w:rsid w:val="24F47844"/>
    <w:rsid w:val="24FB5721"/>
    <w:rsid w:val="24FD2637"/>
    <w:rsid w:val="25090DF2"/>
    <w:rsid w:val="250A1A1A"/>
    <w:rsid w:val="25126760"/>
    <w:rsid w:val="25162941"/>
    <w:rsid w:val="25186007"/>
    <w:rsid w:val="2521441A"/>
    <w:rsid w:val="25267EAF"/>
    <w:rsid w:val="252B42B0"/>
    <w:rsid w:val="252B797F"/>
    <w:rsid w:val="252C6BB7"/>
    <w:rsid w:val="2531617C"/>
    <w:rsid w:val="25325686"/>
    <w:rsid w:val="253936DE"/>
    <w:rsid w:val="25413543"/>
    <w:rsid w:val="254202D6"/>
    <w:rsid w:val="25420FD7"/>
    <w:rsid w:val="254A08C3"/>
    <w:rsid w:val="254C6C7C"/>
    <w:rsid w:val="255D1428"/>
    <w:rsid w:val="255E0383"/>
    <w:rsid w:val="255F44C7"/>
    <w:rsid w:val="25681F9E"/>
    <w:rsid w:val="25690721"/>
    <w:rsid w:val="2570484E"/>
    <w:rsid w:val="25745AD1"/>
    <w:rsid w:val="257C13F6"/>
    <w:rsid w:val="257E038C"/>
    <w:rsid w:val="2584221F"/>
    <w:rsid w:val="25850ACF"/>
    <w:rsid w:val="25883788"/>
    <w:rsid w:val="2589191D"/>
    <w:rsid w:val="258B4255"/>
    <w:rsid w:val="258C4CEB"/>
    <w:rsid w:val="258F3462"/>
    <w:rsid w:val="259303AA"/>
    <w:rsid w:val="259758A0"/>
    <w:rsid w:val="25977B81"/>
    <w:rsid w:val="25982A38"/>
    <w:rsid w:val="259A0C7F"/>
    <w:rsid w:val="259B75A0"/>
    <w:rsid w:val="259D4E9E"/>
    <w:rsid w:val="259F40CE"/>
    <w:rsid w:val="25A223F7"/>
    <w:rsid w:val="25A322A9"/>
    <w:rsid w:val="25A50BC6"/>
    <w:rsid w:val="25A5426B"/>
    <w:rsid w:val="25B53242"/>
    <w:rsid w:val="25BC273C"/>
    <w:rsid w:val="25BF5FB7"/>
    <w:rsid w:val="25C40F68"/>
    <w:rsid w:val="25C668B2"/>
    <w:rsid w:val="25CC5A06"/>
    <w:rsid w:val="25CE44F2"/>
    <w:rsid w:val="25D07500"/>
    <w:rsid w:val="25D53CD7"/>
    <w:rsid w:val="25D73E26"/>
    <w:rsid w:val="25DB633E"/>
    <w:rsid w:val="25DD4431"/>
    <w:rsid w:val="25DD58BA"/>
    <w:rsid w:val="25DF402C"/>
    <w:rsid w:val="25E33D7C"/>
    <w:rsid w:val="25E51164"/>
    <w:rsid w:val="25E54E73"/>
    <w:rsid w:val="25EE0359"/>
    <w:rsid w:val="25F3755D"/>
    <w:rsid w:val="25F85255"/>
    <w:rsid w:val="25F92B56"/>
    <w:rsid w:val="26005439"/>
    <w:rsid w:val="26080F04"/>
    <w:rsid w:val="26121073"/>
    <w:rsid w:val="26150C8E"/>
    <w:rsid w:val="261A2AA2"/>
    <w:rsid w:val="261B3BC4"/>
    <w:rsid w:val="261D06F9"/>
    <w:rsid w:val="26225DF3"/>
    <w:rsid w:val="26230A0E"/>
    <w:rsid w:val="262B52B5"/>
    <w:rsid w:val="262B7D51"/>
    <w:rsid w:val="2636550D"/>
    <w:rsid w:val="263A185A"/>
    <w:rsid w:val="263F1CB9"/>
    <w:rsid w:val="264277FA"/>
    <w:rsid w:val="2646651D"/>
    <w:rsid w:val="26485548"/>
    <w:rsid w:val="264D5524"/>
    <w:rsid w:val="265201EC"/>
    <w:rsid w:val="2656262F"/>
    <w:rsid w:val="265737C7"/>
    <w:rsid w:val="265B5DEE"/>
    <w:rsid w:val="265D5464"/>
    <w:rsid w:val="265E0CD7"/>
    <w:rsid w:val="26692CC2"/>
    <w:rsid w:val="26697D8F"/>
    <w:rsid w:val="26701E81"/>
    <w:rsid w:val="26731CAB"/>
    <w:rsid w:val="26744054"/>
    <w:rsid w:val="267C54C5"/>
    <w:rsid w:val="268358AE"/>
    <w:rsid w:val="26884EEA"/>
    <w:rsid w:val="268C3899"/>
    <w:rsid w:val="268E1731"/>
    <w:rsid w:val="269007A1"/>
    <w:rsid w:val="26907418"/>
    <w:rsid w:val="26962D44"/>
    <w:rsid w:val="26974882"/>
    <w:rsid w:val="269D41C5"/>
    <w:rsid w:val="269E3306"/>
    <w:rsid w:val="26A2728F"/>
    <w:rsid w:val="26A4232D"/>
    <w:rsid w:val="26A61D2C"/>
    <w:rsid w:val="26B02BFA"/>
    <w:rsid w:val="26B1004D"/>
    <w:rsid w:val="26B45077"/>
    <w:rsid w:val="26BB781B"/>
    <w:rsid w:val="26C50D28"/>
    <w:rsid w:val="26C81000"/>
    <w:rsid w:val="26CE443C"/>
    <w:rsid w:val="26CE48C5"/>
    <w:rsid w:val="26D90721"/>
    <w:rsid w:val="26E21DC7"/>
    <w:rsid w:val="26E532F1"/>
    <w:rsid w:val="26E74EF8"/>
    <w:rsid w:val="26EB2562"/>
    <w:rsid w:val="26F44A74"/>
    <w:rsid w:val="26F55B67"/>
    <w:rsid w:val="26F61590"/>
    <w:rsid w:val="26F71A20"/>
    <w:rsid w:val="26FA66F2"/>
    <w:rsid w:val="26FE33DA"/>
    <w:rsid w:val="27005784"/>
    <w:rsid w:val="27017DA3"/>
    <w:rsid w:val="27020593"/>
    <w:rsid w:val="27071815"/>
    <w:rsid w:val="27085BC5"/>
    <w:rsid w:val="270A0CDF"/>
    <w:rsid w:val="270C2E76"/>
    <w:rsid w:val="270D1707"/>
    <w:rsid w:val="27121982"/>
    <w:rsid w:val="27197A8B"/>
    <w:rsid w:val="271B3083"/>
    <w:rsid w:val="272071B3"/>
    <w:rsid w:val="2723017C"/>
    <w:rsid w:val="27287E97"/>
    <w:rsid w:val="272B650F"/>
    <w:rsid w:val="272B6629"/>
    <w:rsid w:val="272F45D7"/>
    <w:rsid w:val="272F47B9"/>
    <w:rsid w:val="2736249B"/>
    <w:rsid w:val="27386CE1"/>
    <w:rsid w:val="27392207"/>
    <w:rsid w:val="273B301F"/>
    <w:rsid w:val="274471A8"/>
    <w:rsid w:val="27461106"/>
    <w:rsid w:val="2748128C"/>
    <w:rsid w:val="274D2316"/>
    <w:rsid w:val="27517A1C"/>
    <w:rsid w:val="27557A79"/>
    <w:rsid w:val="27562B9E"/>
    <w:rsid w:val="27576A2C"/>
    <w:rsid w:val="27642D8B"/>
    <w:rsid w:val="27643624"/>
    <w:rsid w:val="276A69FE"/>
    <w:rsid w:val="27764F2C"/>
    <w:rsid w:val="27773EA3"/>
    <w:rsid w:val="277B732C"/>
    <w:rsid w:val="277C5203"/>
    <w:rsid w:val="277F59CB"/>
    <w:rsid w:val="27806D14"/>
    <w:rsid w:val="27867AF4"/>
    <w:rsid w:val="279268A7"/>
    <w:rsid w:val="279539CB"/>
    <w:rsid w:val="2796420D"/>
    <w:rsid w:val="2798296D"/>
    <w:rsid w:val="27992485"/>
    <w:rsid w:val="279E1883"/>
    <w:rsid w:val="27A2740A"/>
    <w:rsid w:val="27A76508"/>
    <w:rsid w:val="27AA73DB"/>
    <w:rsid w:val="27AD1231"/>
    <w:rsid w:val="27B02BBA"/>
    <w:rsid w:val="27B0648A"/>
    <w:rsid w:val="27B1305B"/>
    <w:rsid w:val="27B14544"/>
    <w:rsid w:val="27B4078D"/>
    <w:rsid w:val="27B71198"/>
    <w:rsid w:val="27B80001"/>
    <w:rsid w:val="27B920BC"/>
    <w:rsid w:val="27BA473D"/>
    <w:rsid w:val="27BF413B"/>
    <w:rsid w:val="27C226B6"/>
    <w:rsid w:val="27C26FA6"/>
    <w:rsid w:val="27C3468F"/>
    <w:rsid w:val="27C91C0B"/>
    <w:rsid w:val="27C962BC"/>
    <w:rsid w:val="27D05C0A"/>
    <w:rsid w:val="27DD2CD9"/>
    <w:rsid w:val="27E1158C"/>
    <w:rsid w:val="27E249A0"/>
    <w:rsid w:val="27E26D6C"/>
    <w:rsid w:val="27E444E9"/>
    <w:rsid w:val="27E66F99"/>
    <w:rsid w:val="27F14B31"/>
    <w:rsid w:val="2803730D"/>
    <w:rsid w:val="2805632B"/>
    <w:rsid w:val="281865DB"/>
    <w:rsid w:val="281873E4"/>
    <w:rsid w:val="28253BC7"/>
    <w:rsid w:val="282B64F2"/>
    <w:rsid w:val="28307FE1"/>
    <w:rsid w:val="2837696F"/>
    <w:rsid w:val="28391BC6"/>
    <w:rsid w:val="283A45D7"/>
    <w:rsid w:val="28405AE9"/>
    <w:rsid w:val="284221F1"/>
    <w:rsid w:val="284337E0"/>
    <w:rsid w:val="28476F55"/>
    <w:rsid w:val="28487AD2"/>
    <w:rsid w:val="284A322F"/>
    <w:rsid w:val="284D0822"/>
    <w:rsid w:val="28530769"/>
    <w:rsid w:val="28532814"/>
    <w:rsid w:val="28573B16"/>
    <w:rsid w:val="286612DF"/>
    <w:rsid w:val="286A7363"/>
    <w:rsid w:val="28720A81"/>
    <w:rsid w:val="287A10BC"/>
    <w:rsid w:val="287D2ACB"/>
    <w:rsid w:val="287D5148"/>
    <w:rsid w:val="287E60AA"/>
    <w:rsid w:val="2880007C"/>
    <w:rsid w:val="28821AC4"/>
    <w:rsid w:val="288400C7"/>
    <w:rsid w:val="28845E02"/>
    <w:rsid w:val="289C3206"/>
    <w:rsid w:val="28A02F2A"/>
    <w:rsid w:val="28A071CA"/>
    <w:rsid w:val="28A13332"/>
    <w:rsid w:val="28A84515"/>
    <w:rsid w:val="28AC1E3D"/>
    <w:rsid w:val="28AC7BDC"/>
    <w:rsid w:val="28B14B30"/>
    <w:rsid w:val="28C05D51"/>
    <w:rsid w:val="28C205AE"/>
    <w:rsid w:val="28C40181"/>
    <w:rsid w:val="28C522B4"/>
    <w:rsid w:val="28C62B24"/>
    <w:rsid w:val="28CB1958"/>
    <w:rsid w:val="28D208D1"/>
    <w:rsid w:val="28D84442"/>
    <w:rsid w:val="28D97D78"/>
    <w:rsid w:val="28DA0910"/>
    <w:rsid w:val="28DA3347"/>
    <w:rsid w:val="28DA7F33"/>
    <w:rsid w:val="28E46735"/>
    <w:rsid w:val="28F107DD"/>
    <w:rsid w:val="28F20948"/>
    <w:rsid w:val="28F26ED5"/>
    <w:rsid w:val="28F37071"/>
    <w:rsid w:val="28FB3247"/>
    <w:rsid w:val="28FE234F"/>
    <w:rsid w:val="29002C8B"/>
    <w:rsid w:val="29022572"/>
    <w:rsid w:val="290632B0"/>
    <w:rsid w:val="29086724"/>
    <w:rsid w:val="290A6B41"/>
    <w:rsid w:val="290D2076"/>
    <w:rsid w:val="290F4032"/>
    <w:rsid w:val="29106EC9"/>
    <w:rsid w:val="29111EEA"/>
    <w:rsid w:val="29137916"/>
    <w:rsid w:val="291608FD"/>
    <w:rsid w:val="29167791"/>
    <w:rsid w:val="29177898"/>
    <w:rsid w:val="29181FFF"/>
    <w:rsid w:val="291971C1"/>
    <w:rsid w:val="291B727B"/>
    <w:rsid w:val="291E39B5"/>
    <w:rsid w:val="29285E82"/>
    <w:rsid w:val="292A2078"/>
    <w:rsid w:val="29301D64"/>
    <w:rsid w:val="293779E2"/>
    <w:rsid w:val="293A1323"/>
    <w:rsid w:val="293B2AD3"/>
    <w:rsid w:val="29407255"/>
    <w:rsid w:val="29414BEE"/>
    <w:rsid w:val="29421243"/>
    <w:rsid w:val="294450C9"/>
    <w:rsid w:val="29465AE4"/>
    <w:rsid w:val="294721E7"/>
    <w:rsid w:val="294F38CB"/>
    <w:rsid w:val="29516B01"/>
    <w:rsid w:val="295300C1"/>
    <w:rsid w:val="29536A06"/>
    <w:rsid w:val="295B2CB3"/>
    <w:rsid w:val="295C7749"/>
    <w:rsid w:val="295D5959"/>
    <w:rsid w:val="295F0736"/>
    <w:rsid w:val="296D2C7C"/>
    <w:rsid w:val="29712AF5"/>
    <w:rsid w:val="29732A5F"/>
    <w:rsid w:val="29770B71"/>
    <w:rsid w:val="297B2850"/>
    <w:rsid w:val="297F292E"/>
    <w:rsid w:val="297F64AB"/>
    <w:rsid w:val="29804B4F"/>
    <w:rsid w:val="298368DB"/>
    <w:rsid w:val="298F7E74"/>
    <w:rsid w:val="29952CA4"/>
    <w:rsid w:val="299710CF"/>
    <w:rsid w:val="299A3A9D"/>
    <w:rsid w:val="299C017A"/>
    <w:rsid w:val="29A01A81"/>
    <w:rsid w:val="29A0760C"/>
    <w:rsid w:val="29A1555A"/>
    <w:rsid w:val="29A373D5"/>
    <w:rsid w:val="29A44456"/>
    <w:rsid w:val="29A90AF8"/>
    <w:rsid w:val="29A9381A"/>
    <w:rsid w:val="29AC3081"/>
    <w:rsid w:val="29B07220"/>
    <w:rsid w:val="29B4216C"/>
    <w:rsid w:val="29B7113A"/>
    <w:rsid w:val="29BD17D4"/>
    <w:rsid w:val="29BE4FCD"/>
    <w:rsid w:val="29C1751E"/>
    <w:rsid w:val="29C25A82"/>
    <w:rsid w:val="29C32093"/>
    <w:rsid w:val="29CA3466"/>
    <w:rsid w:val="29CD1137"/>
    <w:rsid w:val="29D32E03"/>
    <w:rsid w:val="29D65233"/>
    <w:rsid w:val="29DC3543"/>
    <w:rsid w:val="29DF613B"/>
    <w:rsid w:val="29DF710A"/>
    <w:rsid w:val="29E05B83"/>
    <w:rsid w:val="29E110E6"/>
    <w:rsid w:val="29E510F0"/>
    <w:rsid w:val="29E706D0"/>
    <w:rsid w:val="29E81F05"/>
    <w:rsid w:val="29EA01A1"/>
    <w:rsid w:val="29F510C9"/>
    <w:rsid w:val="29FE7F01"/>
    <w:rsid w:val="2A066B54"/>
    <w:rsid w:val="2A090C72"/>
    <w:rsid w:val="2A0C2B6C"/>
    <w:rsid w:val="2A0D7C91"/>
    <w:rsid w:val="2A0E6AE3"/>
    <w:rsid w:val="2A0E717C"/>
    <w:rsid w:val="2A15388A"/>
    <w:rsid w:val="2A1773BF"/>
    <w:rsid w:val="2A1943AD"/>
    <w:rsid w:val="2A194FC2"/>
    <w:rsid w:val="2A1C536B"/>
    <w:rsid w:val="2A1E4A7C"/>
    <w:rsid w:val="2A234F89"/>
    <w:rsid w:val="2A2835CE"/>
    <w:rsid w:val="2A2D39AE"/>
    <w:rsid w:val="2A2F4D8C"/>
    <w:rsid w:val="2A32247D"/>
    <w:rsid w:val="2A331B10"/>
    <w:rsid w:val="2A384273"/>
    <w:rsid w:val="2A3D5882"/>
    <w:rsid w:val="2A417E46"/>
    <w:rsid w:val="2A427CBE"/>
    <w:rsid w:val="2A441A61"/>
    <w:rsid w:val="2A453254"/>
    <w:rsid w:val="2A545765"/>
    <w:rsid w:val="2A5B320C"/>
    <w:rsid w:val="2A5C24C1"/>
    <w:rsid w:val="2A602192"/>
    <w:rsid w:val="2A60562E"/>
    <w:rsid w:val="2A666749"/>
    <w:rsid w:val="2A6955F7"/>
    <w:rsid w:val="2A6D164B"/>
    <w:rsid w:val="2A6E28BB"/>
    <w:rsid w:val="2A6E4004"/>
    <w:rsid w:val="2A71716E"/>
    <w:rsid w:val="2A7F0A74"/>
    <w:rsid w:val="2A7F186B"/>
    <w:rsid w:val="2A811602"/>
    <w:rsid w:val="2A840FE9"/>
    <w:rsid w:val="2A8635CE"/>
    <w:rsid w:val="2A89024F"/>
    <w:rsid w:val="2A8918EE"/>
    <w:rsid w:val="2A935648"/>
    <w:rsid w:val="2AA05588"/>
    <w:rsid w:val="2AA17D8A"/>
    <w:rsid w:val="2AA202C8"/>
    <w:rsid w:val="2AB033DF"/>
    <w:rsid w:val="2AB139E8"/>
    <w:rsid w:val="2AB345FC"/>
    <w:rsid w:val="2ABC4FE0"/>
    <w:rsid w:val="2AC35F84"/>
    <w:rsid w:val="2AC56721"/>
    <w:rsid w:val="2AC8443B"/>
    <w:rsid w:val="2AC9723E"/>
    <w:rsid w:val="2ACF3D78"/>
    <w:rsid w:val="2AD21285"/>
    <w:rsid w:val="2AD21843"/>
    <w:rsid w:val="2AD42E39"/>
    <w:rsid w:val="2AD95A4D"/>
    <w:rsid w:val="2AE2369F"/>
    <w:rsid w:val="2AE23711"/>
    <w:rsid w:val="2AE72370"/>
    <w:rsid w:val="2AF01343"/>
    <w:rsid w:val="2AF43CC7"/>
    <w:rsid w:val="2AF86BC1"/>
    <w:rsid w:val="2AFB4AC1"/>
    <w:rsid w:val="2AFD0BCB"/>
    <w:rsid w:val="2AFE49DE"/>
    <w:rsid w:val="2AFE6729"/>
    <w:rsid w:val="2AFF6F5D"/>
    <w:rsid w:val="2B04145B"/>
    <w:rsid w:val="2B1327AC"/>
    <w:rsid w:val="2B157B67"/>
    <w:rsid w:val="2B186EA3"/>
    <w:rsid w:val="2B2637CB"/>
    <w:rsid w:val="2B267967"/>
    <w:rsid w:val="2B2820E0"/>
    <w:rsid w:val="2B2C0367"/>
    <w:rsid w:val="2B3067F7"/>
    <w:rsid w:val="2B3104F0"/>
    <w:rsid w:val="2B3373B9"/>
    <w:rsid w:val="2B391326"/>
    <w:rsid w:val="2B3C323E"/>
    <w:rsid w:val="2B3F1E99"/>
    <w:rsid w:val="2B414756"/>
    <w:rsid w:val="2B47752E"/>
    <w:rsid w:val="2B495CA1"/>
    <w:rsid w:val="2B4C78FC"/>
    <w:rsid w:val="2B4D60B3"/>
    <w:rsid w:val="2B4F01EF"/>
    <w:rsid w:val="2B533112"/>
    <w:rsid w:val="2B544BCC"/>
    <w:rsid w:val="2B5709BD"/>
    <w:rsid w:val="2B5B2515"/>
    <w:rsid w:val="2B5B4B77"/>
    <w:rsid w:val="2B5E75E7"/>
    <w:rsid w:val="2B603AB6"/>
    <w:rsid w:val="2B633F6A"/>
    <w:rsid w:val="2B6A5627"/>
    <w:rsid w:val="2B71257D"/>
    <w:rsid w:val="2B7A6966"/>
    <w:rsid w:val="2B7F178C"/>
    <w:rsid w:val="2B871BDD"/>
    <w:rsid w:val="2B883F86"/>
    <w:rsid w:val="2B8919A3"/>
    <w:rsid w:val="2B8B4212"/>
    <w:rsid w:val="2B907329"/>
    <w:rsid w:val="2B925285"/>
    <w:rsid w:val="2B9603A2"/>
    <w:rsid w:val="2B9662B3"/>
    <w:rsid w:val="2B9C03E9"/>
    <w:rsid w:val="2B9D15A8"/>
    <w:rsid w:val="2BA85400"/>
    <w:rsid w:val="2BB270D4"/>
    <w:rsid w:val="2BB71542"/>
    <w:rsid w:val="2BB77C0C"/>
    <w:rsid w:val="2BB94A45"/>
    <w:rsid w:val="2BBD4319"/>
    <w:rsid w:val="2BBE5145"/>
    <w:rsid w:val="2BC0494A"/>
    <w:rsid w:val="2BC208E4"/>
    <w:rsid w:val="2BC81A6A"/>
    <w:rsid w:val="2BCA0120"/>
    <w:rsid w:val="2BCC50C1"/>
    <w:rsid w:val="2BD268C9"/>
    <w:rsid w:val="2BD31657"/>
    <w:rsid w:val="2BD3305C"/>
    <w:rsid w:val="2BD361F5"/>
    <w:rsid w:val="2BD84CA0"/>
    <w:rsid w:val="2BDA3280"/>
    <w:rsid w:val="2BDF0F2E"/>
    <w:rsid w:val="2BDF1C78"/>
    <w:rsid w:val="2BE66183"/>
    <w:rsid w:val="2BE711C8"/>
    <w:rsid w:val="2BE87E94"/>
    <w:rsid w:val="2BEB4A9A"/>
    <w:rsid w:val="2BED1B3B"/>
    <w:rsid w:val="2BEF4297"/>
    <w:rsid w:val="2BEF524B"/>
    <w:rsid w:val="2BF26C4C"/>
    <w:rsid w:val="2BF44A20"/>
    <w:rsid w:val="2BF647E9"/>
    <w:rsid w:val="2BFA2053"/>
    <w:rsid w:val="2BFF44AA"/>
    <w:rsid w:val="2C04550F"/>
    <w:rsid w:val="2C052FC6"/>
    <w:rsid w:val="2C07305D"/>
    <w:rsid w:val="2C083F0D"/>
    <w:rsid w:val="2C1159FD"/>
    <w:rsid w:val="2C20649B"/>
    <w:rsid w:val="2C2509BE"/>
    <w:rsid w:val="2C264B6E"/>
    <w:rsid w:val="2C2A16B7"/>
    <w:rsid w:val="2C2F7F19"/>
    <w:rsid w:val="2C351D00"/>
    <w:rsid w:val="2C387EA8"/>
    <w:rsid w:val="2C393AC2"/>
    <w:rsid w:val="2C416540"/>
    <w:rsid w:val="2C462B1E"/>
    <w:rsid w:val="2C473D2A"/>
    <w:rsid w:val="2C4D3EC1"/>
    <w:rsid w:val="2C4D5446"/>
    <w:rsid w:val="2C53386B"/>
    <w:rsid w:val="2C54131C"/>
    <w:rsid w:val="2C55630E"/>
    <w:rsid w:val="2C5A2ACB"/>
    <w:rsid w:val="2C5B4124"/>
    <w:rsid w:val="2C602DFC"/>
    <w:rsid w:val="2C6155D6"/>
    <w:rsid w:val="2C6748A4"/>
    <w:rsid w:val="2C69321B"/>
    <w:rsid w:val="2C731D9B"/>
    <w:rsid w:val="2C742EBE"/>
    <w:rsid w:val="2C77796E"/>
    <w:rsid w:val="2C7F502C"/>
    <w:rsid w:val="2C805576"/>
    <w:rsid w:val="2C830940"/>
    <w:rsid w:val="2C844185"/>
    <w:rsid w:val="2C85243D"/>
    <w:rsid w:val="2C860E86"/>
    <w:rsid w:val="2C8827C8"/>
    <w:rsid w:val="2C957313"/>
    <w:rsid w:val="2C981080"/>
    <w:rsid w:val="2C98594E"/>
    <w:rsid w:val="2C99362B"/>
    <w:rsid w:val="2CA4674A"/>
    <w:rsid w:val="2CAB7745"/>
    <w:rsid w:val="2CAF1F6B"/>
    <w:rsid w:val="2CAF4E3F"/>
    <w:rsid w:val="2CB05B8B"/>
    <w:rsid w:val="2CB51EF1"/>
    <w:rsid w:val="2CC00F08"/>
    <w:rsid w:val="2CC174AD"/>
    <w:rsid w:val="2CC5295F"/>
    <w:rsid w:val="2CC623AD"/>
    <w:rsid w:val="2CC64686"/>
    <w:rsid w:val="2CC755BA"/>
    <w:rsid w:val="2CCE17E9"/>
    <w:rsid w:val="2CCE30BE"/>
    <w:rsid w:val="2CD107D5"/>
    <w:rsid w:val="2CD15922"/>
    <w:rsid w:val="2CD23ADD"/>
    <w:rsid w:val="2CD6208E"/>
    <w:rsid w:val="2CD63539"/>
    <w:rsid w:val="2CDA313A"/>
    <w:rsid w:val="2CE07DC1"/>
    <w:rsid w:val="2CE2161B"/>
    <w:rsid w:val="2CE93E56"/>
    <w:rsid w:val="2CEE2269"/>
    <w:rsid w:val="2CF54840"/>
    <w:rsid w:val="2CF83A36"/>
    <w:rsid w:val="2D001263"/>
    <w:rsid w:val="2D0C4380"/>
    <w:rsid w:val="2D0E62B2"/>
    <w:rsid w:val="2D143E5E"/>
    <w:rsid w:val="2D1B0E58"/>
    <w:rsid w:val="2D1B2B24"/>
    <w:rsid w:val="2D1E39D6"/>
    <w:rsid w:val="2D1F098C"/>
    <w:rsid w:val="2D225FD1"/>
    <w:rsid w:val="2D245C38"/>
    <w:rsid w:val="2D28004F"/>
    <w:rsid w:val="2D2A5964"/>
    <w:rsid w:val="2D2C2800"/>
    <w:rsid w:val="2D2D0D32"/>
    <w:rsid w:val="2D2D78E0"/>
    <w:rsid w:val="2D2F3609"/>
    <w:rsid w:val="2D34525F"/>
    <w:rsid w:val="2D3705C5"/>
    <w:rsid w:val="2D3B72CB"/>
    <w:rsid w:val="2D3D7163"/>
    <w:rsid w:val="2D3F2800"/>
    <w:rsid w:val="2D4A21ED"/>
    <w:rsid w:val="2D503C6E"/>
    <w:rsid w:val="2D5269B6"/>
    <w:rsid w:val="2D556EB1"/>
    <w:rsid w:val="2D563409"/>
    <w:rsid w:val="2D570BD7"/>
    <w:rsid w:val="2D5D1934"/>
    <w:rsid w:val="2D5E1572"/>
    <w:rsid w:val="2D5F41B3"/>
    <w:rsid w:val="2D6652E7"/>
    <w:rsid w:val="2D692427"/>
    <w:rsid w:val="2D7A6399"/>
    <w:rsid w:val="2D854725"/>
    <w:rsid w:val="2D854DCC"/>
    <w:rsid w:val="2D8B482D"/>
    <w:rsid w:val="2D8C7C7E"/>
    <w:rsid w:val="2D9057A6"/>
    <w:rsid w:val="2D952F6E"/>
    <w:rsid w:val="2D967446"/>
    <w:rsid w:val="2D9715AC"/>
    <w:rsid w:val="2D995600"/>
    <w:rsid w:val="2DA66732"/>
    <w:rsid w:val="2DAE3793"/>
    <w:rsid w:val="2DAF2C41"/>
    <w:rsid w:val="2DAF2CA4"/>
    <w:rsid w:val="2DB024D2"/>
    <w:rsid w:val="2DB62B4F"/>
    <w:rsid w:val="2DB7323C"/>
    <w:rsid w:val="2DB777D8"/>
    <w:rsid w:val="2DB95903"/>
    <w:rsid w:val="2DBD51E8"/>
    <w:rsid w:val="2DBE1D86"/>
    <w:rsid w:val="2DC0741E"/>
    <w:rsid w:val="2DCE5A0D"/>
    <w:rsid w:val="2DD1084B"/>
    <w:rsid w:val="2DD921A6"/>
    <w:rsid w:val="2DDE2772"/>
    <w:rsid w:val="2DE22877"/>
    <w:rsid w:val="2DE6385E"/>
    <w:rsid w:val="2DE65BE3"/>
    <w:rsid w:val="2DE70561"/>
    <w:rsid w:val="2DEA3207"/>
    <w:rsid w:val="2DEA3BDA"/>
    <w:rsid w:val="2DEE3BFD"/>
    <w:rsid w:val="2DF244D4"/>
    <w:rsid w:val="2DFA1599"/>
    <w:rsid w:val="2DFB3511"/>
    <w:rsid w:val="2DFC203B"/>
    <w:rsid w:val="2E035E56"/>
    <w:rsid w:val="2E0E4D87"/>
    <w:rsid w:val="2E0F7964"/>
    <w:rsid w:val="2E197FF6"/>
    <w:rsid w:val="2E1A6965"/>
    <w:rsid w:val="2E1A6DEE"/>
    <w:rsid w:val="2E2423DF"/>
    <w:rsid w:val="2E260F31"/>
    <w:rsid w:val="2E282B45"/>
    <w:rsid w:val="2E296D8A"/>
    <w:rsid w:val="2E2C1E1F"/>
    <w:rsid w:val="2E31119D"/>
    <w:rsid w:val="2E3125D2"/>
    <w:rsid w:val="2E313440"/>
    <w:rsid w:val="2E313F95"/>
    <w:rsid w:val="2E3731FE"/>
    <w:rsid w:val="2E3A7DB4"/>
    <w:rsid w:val="2E3B14EB"/>
    <w:rsid w:val="2E3B65B0"/>
    <w:rsid w:val="2E3F66D4"/>
    <w:rsid w:val="2E414262"/>
    <w:rsid w:val="2E466BD1"/>
    <w:rsid w:val="2E4B049A"/>
    <w:rsid w:val="2E4C02B4"/>
    <w:rsid w:val="2E4D7FB9"/>
    <w:rsid w:val="2E4F54BE"/>
    <w:rsid w:val="2E4F6B3B"/>
    <w:rsid w:val="2E5348C4"/>
    <w:rsid w:val="2E541CB1"/>
    <w:rsid w:val="2E5750A8"/>
    <w:rsid w:val="2E5B6AEA"/>
    <w:rsid w:val="2E625DD7"/>
    <w:rsid w:val="2E6450EF"/>
    <w:rsid w:val="2E7074D6"/>
    <w:rsid w:val="2E813A33"/>
    <w:rsid w:val="2E8416B9"/>
    <w:rsid w:val="2E8419F2"/>
    <w:rsid w:val="2E84707C"/>
    <w:rsid w:val="2E852124"/>
    <w:rsid w:val="2E860415"/>
    <w:rsid w:val="2E910A06"/>
    <w:rsid w:val="2E923165"/>
    <w:rsid w:val="2E923EF9"/>
    <w:rsid w:val="2E955108"/>
    <w:rsid w:val="2E987167"/>
    <w:rsid w:val="2E9B61C8"/>
    <w:rsid w:val="2E9C6118"/>
    <w:rsid w:val="2EA53562"/>
    <w:rsid w:val="2EA751EF"/>
    <w:rsid w:val="2EA94936"/>
    <w:rsid w:val="2EAB1578"/>
    <w:rsid w:val="2EAD5548"/>
    <w:rsid w:val="2EAD5A27"/>
    <w:rsid w:val="2EB7142C"/>
    <w:rsid w:val="2EB97EE9"/>
    <w:rsid w:val="2EBC384A"/>
    <w:rsid w:val="2EC04E0F"/>
    <w:rsid w:val="2EC079C6"/>
    <w:rsid w:val="2EC338F0"/>
    <w:rsid w:val="2EC553CA"/>
    <w:rsid w:val="2EC62A29"/>
    <w:rsid w:val="2EC73542"/>
    <w:rsid w:val="2ECD316B"/>
    <w:rsid w:val="2ECE78E6"/>
    <w:rsid w:val="2ECF050A"/>
    <w:rsid w:val="2ECF2B66"/>
    <w:rsid w:val="2ED0140C"/>
    <w:rsid w:val="2ED16C67"/>
    <w:rsid w:val="2ED207BB"/>
    <w:rsid w:val="2ED42C06"/>
    <w:rsid w:val="2ED54168"/>
    <w:rsid w:val="2ED8712D"/>
    <w:rsid w:val="2ED874E6"/>
    <w:rsid w:val="2EDA4C76"/>
    <w:rsid w:val="2EE40287"/>
    <w:rsid w:val="2EE724B6"/>
    <w:rsid w:val="2EE77311"/>
    <w:rsid w:val="2EFD54F0"/>
    <w:rsid w:val="2EFE68A2"/>
    <w:rsid w:val="2F0129B6"/>
    <w:rsid w:val="2F037DD2"/>
    <w:rsid w:val="2F077BFB"/>
    <w:rsid w:val="2F0A175F"/>
    <w:rsid w:val="2F106C34"/>
    <w:rsid w:val="2F1543BF"/>
    <w:rsid w:val="2F1630D1"/>
    <w:rsid w:val="2F19409C"/>
    <w:rsid w:val="2F1C1C78"/>
    <w:rsid w:val="2F1E49E7"/>
    <w:rsid w:val="2F2700E4"/>
    <w:rsid w:val="2F3C3883"/>
    <w:rsid w:val="2F3F19BB"/>
    <w:rsid w:val="2F3F50D0"/>
    <w:rsid w:val="2F412113"/>
    <w:rsid w:val="2F5029EF"/>
    <w:rsid w:val="2F582648"/>
    <w:rsid w:val="2F59201D"/>
    <w:rsid w:val="2F5C55F5"/>
    <w:rsid w:val="2F5E5808"/>
    <w:rsid w:val="2F6562FC"/>
    <w:rsid w:val="2F682427"/>
    <w:rsid w:val="2F69017D"/>
    <w:rsid w:val="2F6D3693"/>
    <w:rsid w:val="2F722ECE"/>
    <w:rsid w:val="2F73223B"/>
    <w:rsid w:val="2F732E16"/>
    <w:rsid w:val="2F7340FC"/>
    <w:rsid w:val="2F7A09C8"/>
    <w:rsid w:val="2F7C4600"/>
    <w:rsid w:val="2F7D36C2"/>
    <w:rsid w:val="2F7D38C0"/>
    <w:rsid w:val="2F7F7199"/>
    <w:rsid w:val="2F8072C5"/>
    <w:rsid w:val="2F8127A0"/>
    <w:rsid w:val="2F893630"/>
    <w:rsid w:val="2F8C6EED"/>
    <w:rsid w:val="2F8F46B7"/>
    <w:rsid w:val="2F8F78E8"/>
    <w:rsid w:val="2F940B7F"/>
    <w:rsid w:val="2F9671AC"/>
    <w:rsid w:val="2F98422F"/>
    <w:rsid w:val="2F9B6690"/>
    <w:rsid w:val="2FA727CD"/>
    <w:rsid w:val="2FA85A6F"/>
    <w:rsid w:val="2FAC600E"/>
    <w:rsid w:val="2FAF3173"/>
    <w:rsid w:val="2FAF519C"/>
    <w:rsid w:val="2FB43711"/>
    <w:rsid w:val="2FB46118"/>
    <w:rsid w:val="2FB8767F"/>
    <w:rsid w:val="2FBB775A"/>
    <w:rsid w:val="2FC40812"/>
    <w:rsid w:val="2FCA08AC"/>
    <w:rsid w:val="2FCA3379"/>
    <w:rsid w:val="2FCB2E94"/>
    <w:rsid w:val="2FCF3D90"/>
    <w:rsid w:val="2FD05650"/>
    <w:rsid w:val="2FD23672"/>
    <w:rsid w:val="2FD40BF7"/>
    <w:rsid w:val="2FDF3C2D"/>
    <w:rsid w:val="2FE05AF6"/>
    <w:rsid w:val="2FE1686B"/>
    <w:rsid w:val="2FE5145E"/>
    <w:rsid w:val="2FE55C5D"/>
    <w:rsid w:val="2FE679E8"/>
    <w:rsid w:val="2FE7015B"/>
    <w:rsid w:val="2FE9609A"/>
    <w:rsid w:val="2FEF3752"/>
    <w:rsid w:val="2FF00115"/>
    <w:rsid w:val="2FF707B0"/>
    <w:rsid w:val="2FFA222B"/>
    <w:rsid w:val="2FFB7149"/>
    <w:rsid w:val="2FFD19A1"/>
    <w:rsid w:val="3008625E"/>
    <w:rsid w:val="300C394E"/>
    <w:rsid w:val="30125D21"/>
    <w:rsid w:val="30143443"/>
    <w:rsid w:val="301D759B"/>
    <w:rsid w:val="302055A4"/>
    <w:rsid w:val="30312932"/>
    <w:rsid w:val="303333A1"/>
    <w:rsid w:val="30354FD2"/>
    <w:rsid w:val="30370BB8"/>
    <w:rsid w:val="303C3A3A"/>
    <w:rsid w:val="303E2B66"/>
    <w:rsid w:val="30403B44"/>
    <w:rsid w:val="30423407"/>
    <w:rsid w:val="304321AE"/>
    <w:rsid w:val="304432B3"/>
    <w:rsid w:val="30487D60"/>
    <w:rsid w:val="304E5AD4"/>
    <w:rsid w:val="30517537"/>
    <w:rsid w:val="3053245D"/>
    <w:rsid w:val="30534A7A"/>
    <w:rsid w:val="305B2DC4"/>
    <w:rsid w:val="30664378"/>
    <w:rsid w:val="30666EBC"/>
    <w:rsid w:val="306A2632"/>
    <w:rsid w:val="3070000F"/>
    <w:rsid w:val="30740967"/>
    <w:rsid w:val="30744072"/>
    <w:rsid w:val="30747914"/>
    <w:rsid w:val="307919ED"/>
    <w:rsid w:val="307A18F4"/>
    <w:rsid w:val="307D6A65"/>
    <w:rsid w:val="308446AB"/>
    <w:rsid w:val="30847D92"/>
    <w:rsid w:val="308A628B"/>
    <w:rsid w:val="308A6FBE"/>
    <w:rsid w:val="308C0F63"/>
    <w:rsid w:val="3090613F"/>
    <w:rsid w:val="309778C2"/>
    <w:rsid w:val="30A01C07"/>
    <w:rsid w:val="30A438BD"/>
    <w:rsid w:val="30A71DD8"/>
    <w:rsid w:val="30AB4827"/>
    <w:rsid w:val="30AB790B"/>
    <w:rsid w:val="30AE53CE"/>
    <w:rsid w:val="30B45996"/>
    <w:rsid w:val="30B62C4B"/>
    <w:rsid w:val="30B82CB6"/>
    <w:rsid w:val="30BA2158"/>
    <w:rsid w:val="30BB3242"/>
    <w:rsid w:val="30BE2794"/>
    <w:rsid w:val="30C45650"/>
    <w:rsid w:val="30C93804"/>
    <w:rsid w:val="30CF6ECF"/>
    <w:rsid w:val="30D47B85"/>
    <w:rsid w:val="30D81E74"/>
    <w:rsid w:val="30D90370"/>
    <w:rsid w:val="30DF0572"/>
    <w:rsid w:val="30E0767E"/>
    <w:rsid w:val="30E90C5C"/>
    <w:rsid w:val="30E91F4F"/>
    <w:rsid w:val="30F12FBB"/>
    <w:rsid w:val="30F54363"/>
    <w:rsid w:val="30FD5DD5"/>
    <w:rsid w:val="30FF6018"/>
    <w:rsid w:val="31037738"/>
    <w:rsid w:val="311531EB"/>
    <w:rsid w:val="311569AF"/>
    <w:rsid w:val="31157494"/>
    <w:rsid w:val="31160AF2"/>
    <w:rsid w:val="311813C1"/>
    <w:rsid w:val="31202AE5"/>
    <w:rsid w:val="31252CE0"/>
    <w:rsid w:val="3125619A"/>
    <w:rsid w:val="31273003"/>
    <w:rsid w:val="31292331"/>
    <w:rsid w:val="3129395D"/>
    <w:rsid w:val="312B38BD"/>
    <w:rsid w:val="313A3029"/>
    <w:rsid w:val="313C3132"/>
    <w:rsid w:val="313F0831"/>
    <w:rsid w:val="31497010"/>
    <w:rsid w:val="314B1EAD"/>
    <w:rsid w:val="314D2BFB"/>
    <w:rsid w:val="314E415D"/>
    <w:rsid w:val="314F2710"/>
    <w:rsid w:val="31533677"/>
    <w:rsid w:val="31552E4A"/>
    <w:rsid w:val="31592E24"/>
    <w:rsid w:val="315A624D"/>
    <w:rsid w:val="315B324D"/>
    <w:rsid w:val="3161121D"/>
    <w:rsid w:val="3167302F"/>
    <w:rsid w:val="316C1E80"/>
    <w:rsid w:val="31705CA5"/>
    <w:rsid w:val="317B0A79"/>
    <w:rsid w:val="31850341"/>
    <w:rsid w:val="31854DC3"/>
    <w:rsid w:val="31877F24"/>
    <w:rsid w:val="31880950"/>
    <w:rsid w:val="31894EDA"/>
    <w:rsid w:val="318A2F77"/>
    <w:rsid w:val="319056C2"/>
    <w:rsid w:val="31954279"/>
    <w:rsid w:val="319B34B1"/>
    <w:rsid w:val="31A86989"/>
    <w:rsid w:val="31AA19FC"/>
    <w:rsid w:val="31AB27F1"/>
    <w:rsid w:val="31AE7093"/>
    <w:rsid w:val="31AF495E"/>
    <w:rsid w:val="31B53513"/>
    <w:rsid w:val="31B65ABD"/>
    <w:rsid w:val="31B80A56"/>
    <w:rsid w:val="31BF0703"/>
    <w:rsid w:val="31C011EF"/>
    <w:rsid w:val="31C33B26"/>
    <w:rsid w:val="31C64536"/>
    <w:rsid w:val="31CA0B42"/>
    <w:rsid w:val="31CE1248"/>
    <w:rsid w:val="31D103EC"/>
    <w:rsid w:val="31D21B07"/>
    <w:rsid w:val="31D232B3"/>
    <w:rsid w:val="31D3214B"/>
    <w:rsid w:val="31D56681"/>
    <w:rsid w:val="31D710AD"/>
    <w:rsid w:val="31DC1B5E"/>
    <w:rsid w:val="31DE07B7"/>
    <w:rsid w:val="31DF2174"/>
    <w:rsid w:val="31E023A6"/>
    <w:rsid w:val="31E12E5B"/>
    <w:rsid w:val="31E76BFD"/>
    <w:rsid w:val="31E96C10"/>
    <w:rsid w:val="31F42AB1"/>
    <w:rsid w:val="31F5265F"/>
    <w:rsid w:val="31F80348"/>
    <w:rsid w:val="31F8093B"/>
    <w:rsid w:val="31FB2385"/>
    <w:rsid w:val="31FD19CA"/>
    <w:rsid w:val="31FF36B4"/>
    <w:rsid w:val="320628DE"/>
    <w:rsid w:val="32075547"/>
    <w:rsid w:val="3208039A"/>
    <w:rsid w:val="32082074"/>
    <w:rsid w:val="320A3EF1"/>
    <w:rsid w:val="320E5B53"/>
    <w:rsid w:val="320E61CF"/>
    <w:rsid w:val="320E6C09"/>
    <w:rsid w:val="32104EA5"/>
    <w:rsid w:val="32106D9C"/>
    <w:rsid w:val="321076B2"/>
    <w:rsid w:val="32164504"/>
    <w:rsid w:val="32174966"/>
    <w:rsid w:val="321A3AC3"/>
    <w:rsid w:val="321A3AF6"/>
    <w:rsid w:val="321B44A8"/>
    <w:rsid w:val="321C5496"/>
    <w:rsid w:val="321E1436"/>
    <w:rsid w:val="32221292"/>
    <w:rsid w:val="32244273"/>
    <w:rsid w:val="32256A1E"/>
    <w:rsid w:val="322C5AE0"/>
    <w:rsid w:val="322E5CF7"/>
    <w:rsid w:val="32340E63"/>
    <w:rsid w:val="32384952"/>
    <w:rsid w:val="3238725E"/>
    <w:rsid w:val="323A66A7"/>
    <w:rsid w:val="323B34F8"/>
    <w:rsid w:val="3242158A"/>
    <w:rsid w:val="32431723"/>
    <w:rsid w:val="3243290D"/>
    <w:rsid w:val="32522627"/>
    <w:rsid w:val="32524B64"/>
    <w:rsid w:val="325A25AE"/>
    <w:rsid w:val="325A31C7"/>
    <w:rsid w:val="325B0093"/>
    <w:rsid w:val="325C24A2"/>
    <w:rsid w:val="325E0FCE"/>
    <w:rsid w:val="32670CD4"/>
    <w:rsid w:val="32686BD2"/>
    <w:rsid w:val="326919DF"/>
    <w:rsid w:val="326B51FA"/>
    <w:rsid w:val="327C4D45"/>
    <w:rsid w:val="327F24AD"/>
    <w:rsid w:val="32833C26"/>
    <w:rsid w:val="32853B25"/>
    <w:rsid w:val="32886296"/>
    <w:rsid w:val="328C07D0"/>
    <w:rsid w:val="328E3BCA"/>
    <w:rsid w:val="32961846"/>
    <w:rsid w:val="32987722"/>
    <w:rsid w:val="32A44232"/>
    <w:rsid w:val="32AC3435"/>
    <w:rsid w:val="32AC4BE3"/>
    <w:rsid w:val="32AF1124"/>
    <w:rsid w:val="32B00175"/>
    <w:rsid w:val="32B81459"/>
    <w:rsid w:val="32BA2E87"/>
    <w:rsid w:val="32BA428B"/>
    <w:rsid w:val="32BF04D7"/>
    <w:rsid w:val="32BF3A97"/>
    <w:rsid w:val="32C06B4E"/>
    <w:rsid w:val="32C61D99"/>
    <w:rsid w:val="32C7342D"/>
    <w:rsid w:val="32D06F6A"/>
    <w:rsid w:val="32D62350"/>
    <w:rsid w:val="32E14E7E"/>
    <w:rsid w:val="32E23964"/>
    <w:rsid w:val="32E33C70"/>
    <w:rsid w:val="32ED46D5"/>
    <w:rsid w:val="32EF35B8"/>
    <w:rsid w:val="32F61CEA"/>
    <w:rsid w:val="32FA5586"/>
    <w:rsid w:val="32FC1C52"/>
    <w:rsid w:val="32FD7536"/>
    <w:rsid w:val="3306498B"/>
    <w:rsid w:val="330E467B"/>
    <w:rsid w:val="33156C00"/>
    <w:rsid w:val="33160251"/>
    <w:rsid w:val="331763C9"/>
    <w:rsid w:val="331A7AA2"/>
    <w:rsid w:val="332218B0"/>
    <w:rsid w:val="33232D5B"/>
    <w:rsid w:val="33247A30"/>
    <w:rsid w:val="333D4A9F"/>
    <w:rsid w:val="3343416E"/>
    <w:rsid w:val="334574F7"/>
    <w:rsid w:val="33472756"/>
    <w:rsid w:val="33476E6E"/>
    <w:rsid w:val="33501BEB"/>
    <w:rsid w:val="335059F5"/>
    <w:rsid w:val="33510AD4"/>
    <w:rsid w:val="335611BF"/>
    <w:rsid w:val="335E456B"/>
    <w:rsid w:val="335E53B4"/>
    <w:rsid w:val="33616A50"/>
    <w:rsid w:val="33656A44"/>
    <w:rsid w:val="33677E48"/>
    <w:rsid w:val="33686D6B"/>
    <w:rsid w:val="336D1D0C"/>
    <w:rsid w:val="336D2C87"/>
    <w:rsid w:val="336D3768"/>
    <w:rsid w:val="336E4EE4"/>
    <w:rsid w:val="336F5749"/>
    <w:rsid w:val="33704529"/>
    <w:rsid w:val="337440CD"/>
    <w:rsid w:val="337A6F26"/>
    <w:rsid w:val="337C51BA"/>
    <w:rsid w:val="338030A2"/>
    <w:rsid w:val="33833A91"/>
    <w:rsid w:val="33836A8C"/>
    <w:rsid w:val="338B3931"/>
    <w:rsid w:val="338E2932"/>
    <w:rsid w:val="338E702A"/>
    <w:rsid w:val="33931F4B"/>
    <w:rsid w:val="33934449"/>
    <w:rsid w:val="33935B17"/>
    <w:rsid w:val="33AF67CE"/>
    <w:rsid w:val="33B119DA"/>
    <w:rsid w:val="33B17914"/>
    <w:rsid w:val="33B20D9F"/>
    <w:rsid w:val="33B72CEE"/>
    <w:rsid w:val="33BD790E"/>
    <w:rsid w:val="33BE3181"/>
    <w:rsid w:val="33C36085"/>
    <w:rsid w:val="33CB14B5"/>
    <w:rsid w:val="33D332E7"/>
    <w:rsid w:val="33D478E4"/>
    <w:rsid w:val="33DB0423"/>
    <w:rsid w:val="33DF3CD0"/>
    <w:rsid w:val="33E1134F"/>
    <w:rsid w:val="33E17AC2"/>
    <w:rsid w:val="33E243B6"/>
    <w:rsid w:val="33E478FA"/>
    <w:rsid w:val="33EE1A69"/>
    <w:rsid w:val="33F1117B"/>
    <w:rsid w:val="33F44500"/>
    <w:rsid w:val="33F50581"/>
    <w:rsid w:val="33F829AE"/>
    <w:rsid w:val="340E496A"/>
    <w:rsid w:val="34150D1C"/>
    <w:rsid w:val="34157955"/>
    <w:rsid w:val="342210FD"/>
    <w:rsid w:val="3425740F"/>
    <w:rsid w:val="342946DB"/>
    <w:rsid w:val="342C1F92"/>
    <w:rsid w:val="342D418A"/>
    <w:rsid w:val="34312FA2"/>
    <w:rsid w:val="343238AA"/>
    <w:rsid w:val="343403CC"/>
    <w:rsid w:val="34420A8A"/>
    <w:rsid w:val="34444722"/>
    <w:rsid w:val="344B3B50"/>
    <w:rsid w:val="344C6B29"/>
    <w:rsid w:val="34506799"/>
    <w:rsid w:val="345123C8"/>
    <w:rsid w:val="34516C1F"/>
    <w:rsid w:val="34517A5F"/>
    <w:rsid w:val="34534224"/>
    <w:rsid w:val="345608C8"/>
    <w:rsid w:val="345B67A0"/>
    <w:rsid w:val="345B7EA7"/>
    <w:rsid w:val="34631D09"/>
    <w:rsid w:val="347012AA"/>
    <w:rsid w:val="347208A9"/>
    <w:rsid w:val="347350DF"/>
    <w:rsid w:val="347577B3"/>
    <w:rsid w:val="347D4A34"/>
    <w:rsid w:val="34836118"/>
    <w:rsid w:val="348518A1"/>
    <w:rsid w:val="3488054A"/>
    <w:rsid w:val="3489777A"/>
    <w:rsid w:val="348A40AB"/>
    <w:rsid w:val="348A52A8"/>
    <w:rsid w:val="348C6056"/>
    <w:rsid w:val="348D1EB2"/>
    <w:rsid w:val="34924883"/>
    <w:rsid w:val="34A65837"/>
    <w:rsid w:val="34A73B7B"/>
    <w:rsid w:val="34A805B3"/>
    <w:rsid w:val="34A82237"/>
    <w:rsid w:val="34AB3AE4"/>
    <w:rsid w:val="34AE7973"/>
    <w:rsid w:val="34B11EE4"/>
    <w:rsid w:val="34BB2045"/>
    <w:rsid w:val="34C05D0D"/>
    <w:rsid w:val="34C512A8"/>
    <w:rsid w:val="34C569C4"/>
    <w:rsid w:val="34CD31FA"/>
    <w:rsid w:val="34CD7CCE"/>
    <w:rsid w:val="34D10BAD"/>
    <w:rsid w:val="34DA29CA"/>
    <w:rsid w:val="34E06106"/>
    <w:rsid w:val="34E74F5F"/>
    <w:rsid w:val="34EB2A75"/>
    <w:rsid w:val="34EB575C"/>
    <w:rsid w:val="34EC6182"/>
    <w:rsid w:val="34F8681C"/>
    <w:rsid w:val="34FC0D39"/>
    <w:rsid w:val="34FC1E40"/>
    <w:rsid w:val="34FD59D9"/>
    <w:rsid w:val="35022E9B"/>
    <w:rsid w:val="350536A0"/>
    <w:rsid w:val="350B3AAC"/>
    <w:rsid w:val="350C73E6"/>
    <w:rsid w:val="35105954"/>
    <w:rsid w:val="35133630"/>
    <w:rsid w:val="35160CC1"/>
    <w:rsid w:val="351848BE"/>
    <w:rsid w:val="351A6D1A"/>
    <w:rsid w:val="352A0C3E"/>
    <w:rsid w:val="352B3520"/>
    <w:rsid w:val="35385E7A"/>
    <w:rsid w:val="353A12B8"/>
    <w:rsid w:val="35404E03"/>
    <w:rsid w:val="35407F72"/>
    <w:rsid w:val="35414E94"/>
    <w:rsid w:val="35415754"/>
    <w:rsid w:val="35442A1F"/>
    <w:rsid w:val="35474785"/>
    <w:rsid w:val="355012D7"/>
    <w:rsid w:val="3551015D"/>
    <w:rsid w:val="3552077D"/>
    <w:rsid w:val="3552162B"/>
    <w:rsid w:val="3553587A"/>
    <w:rsid w:val="355D25D9"/>
    <w:rsid w:val="355E46D5"/>
    <w:rsid w:val="3561025D"/>
    <w:rsid w:val="35613971"/>
    <w:rsid w:val="35685BE8"/>
    <w:rsid w:val="357663C9"/>
    <w:rsid w:val="3577310B"/>
    <w:rsid w:val="357C7744"/>
    <w:rsid w:val="357F173E"/>
    <w:rsid w:val="35843B62"/>
    <w:rsid w:val="35847682"/>
    <w:rsid w:val="35857EDB"/>
    <w:rsid w:val="35874D62"/>
    <w:rsid w:val="358A3397"/>
    <w:rsid w:val="358C2B0E"/>
    <w:rsid w:val="35914FEC"/>
    <w:rsid w:val="35952225"/>
    <w:rsid w:val="359B420E"/>
    <w:rsid w:val="359C7A5D"/>
    <w:rsid w:val="35A72FD2"/>
    <w:rsid w:val="35A80029"/>
    <w:rsid w:val="35AA5F85"/>
    <w:rsid w:val="35B34366"/>
    <w:rsid w:val="35B77866"/>
    <w:rsid w:val="35C50082"/>
    <w:rsid w:val="35C55803"/>
    <w:rsid w:val="35C82CDE"/>
    <w:rsid w:val="35C82D5D"/>
    <w:rsid w:val="35C83EF2"/>
    <w:rsid w:val="35C860E1"/>
    <w:rsid w:val="35CE7C5F"/>
    <w:rsid w:val="35D90CA0"/>
    <w:rsid w:val="35DC2C4C"/>
    <w:rsid w:val="35E812FB"/>
    <w:rsid w:val="35E966E7"/>
    <w:rsid w:val="35EE3B5A"/>
    <w:rsid w:val="35F04AAD"/>
    <w:rsid w:val="35F6162D"/>
    <w:rsid w:val="35F64543"/>
    <w:rsid w:val="35FA268F"/>
    <w:rsid w:val="36071284"/>
    <w:rsid w:val="36072D12"/>
    <w:rsid w:val="360C4A1F"/>
    <w:rsid w:val="360D638F"/>
    <w:rsid w:val="361125DA"/>
    <w:rsid w:val="36120783"/>
    <w:rsid w:val="361E6927"/>
    <w:rsid w:val="36226479"/>
    <w:rsid w:val="36232082"/>
    <w:rsid w:val="362641F3"/>
    <w:rsid w:val="362806B9"/>
    <w:rsid w:val="3644213B"/>
    <w:rsid w:val="364A5C4C"/>
    <w:rsid w:val="365B0D7F"/>
    <w:rsid w:val="366110CE"/>
    <w:rsid w:val="36613494"/>
    <w:rsid w:val="36620712"/>
    <w:rsid w:val="366468E1"/>
    <w:rsid w:val="3665585F"/>
    <w:rsid w:val="366B1DE3"/>
    <w:rsid w:val="366F3BD8"/>
    <w:rsid w:val="36720A14"/>
    <w:rsid w:val="3672339D"/>
    <w:rsid w:val="36736940"/>
    <w:rsid w:val="367A61B5"/>
    <w:rsid w:val="368405D6"/>
    <w:rsid w:val="3684591B"/>
    <w:rsid w:val="3685335D"/>
    <w:rsid w:val="36873904"/>
    <w:rsid w:val="36875ADC"/>
    <w:rsid w:val="36876C66"/>
    <w:rsid w:val="369374EF"/>
    <w:rsid w:val="36980B2C"/>
    <w:rsid w:val="369A7BB9"/>
    <w:rsid w:val="369D2737"/>
    <w:rsid w:val="369F6872"/>
    <w:rsid w:val="36A02107"/>
    <w:rsid w:val="36A85EB6"/>
    <w:rsid w:val="36AB0F21"/>
    <w:rsid w:val="36AE0F8E"/>
    <w:rsid w:val="36B04A6E"/>
    <w:rsid w:val="36B169E3"/>
    <w:rsid w:val="36B30F9F"/>
    <w:rsid w:val="36B34327"/>
    <w:rsid w:val="36B433AB"/>
    <w:rsid w:val="36BD550F"/>
    <w:rsid w:val="36C62A3A"/>
    <w:rsid w:val="36CE067D"/>
    <w:rsid w:val="36D03AD0"/>
    <w:rsid w:val="36D33327"/>
    <w:rsid w:val="36D546D3"/>
    <w:rsid w:val="36D6396E"/>
    <w:rsid w:val="36D80676"/>
    <w:rsid w:val="36D8616C"/>
    <w:rsid w:val="36D87A78"/>
    <w:rsid w:val="36DA7164"/>
    <w:rsid w:val="36E42DC8"/>
    <w:rsid w:val="36E925DF"/>
    <w:rsid w:val="36EB70FA"/>
    <w:rsid w:val="36ED7324"/>
    <w:rsid w:val="36EF4E7E"/>
    <w:rsid w:val="36F90883"/>
    <w:rsid w:val="36F97841"/>
    <w:rsid w:val="37046A8A"/>
    <w:rsid w:val="37112648"/>
    <w:rsid w:val="371D1B34"/>
    <w:rsid w:val="371E77C1"/>
    <w:rsid w:val="371E7CE9"/>
    <w:rsid w:val="372C07C3"/>
    <w:rsid w:val="372C0BB0"/>
    <w:rsid w:val="372C775E"/>
    <w:rsid w:val="37376C34"/>
    <w:rsid w:val="3738457C"/>
    <w:rsid w:val="37411F99"/>
    <w:rsid w:val="3747010F"/>
    <w:rsid w:val="37497191"/>
    <w:rsid w:val="374C33C6"/>
    <w:rsid w:val="374F24B8"/>
    <w:rsid w:val="374F55BB"/>
    <w:rsid w:val="37522658"/>
    <w:rsid w:val="3761289F"/>
    <w:rsid w:val="37621997"/>
    <w:rsid w:val="376522E3"/>
    <w:rsid w:val="376851F1"/>
    <w:rsid w:val="376E066D"/>
    <w:rsid w:val="37770CBB"/>
    <w:rsid w:val="377B2235"/>
    <w:rsid w:val="377C20B6"/>
    <w:rsid w:val="378168D6"/>
    <w:rsid w:val="378735B7"/>
    <w:rsid w:val="378C63A5"/>
    <w:rsid w:val="378D21C4"/>
    <w:rsid w:val="37926C47"/>
    <w:rsid w:val="379628E4"/>
    <w:rsid w:val="37986042"/>
    <w:rsid w:val="37993637"/>
    <w:rsid w:val="37995A3D"/>
    <w:rsid w:val="379B3D05"/>
    <w:rsid w:val="37A16BA9"/>
    <w:rsid w:val="37B02CCF"/>
    <w:rsid w:val="37B86056"/>
    <w:rsid w:val="37BF08FA"/>
    <w:rsid w:val="37C7143C"/>
    <w:rsid w:val="37CE0508"/>
    <w:rsid w:val="37CF4935"/>
    <w:rsid w:val="37D032F8"/>
    <w:rsid w:val="37D60438"/>
    <w:rsid w:val="37D87220"/>
    <w:rsid w:val="37DB4B69"/>
    <w:rsid w:val="37DB5329"/>
    <w:rsid w:val="37DF20CE"/>
    <w:rsid w:val="37E0181C"/>
    <w:rsid w:val="37E601FC"/>
    <w:rsid w:val="37E71984"/>
    <w:rsid w:val="37EA5ABF"/>
    <w:rsid w:val="37EB214E"/>
    <w:rsid w:val="37EE5000"/>
    <w:rsid w:val="37F128A5"/>
    <w:rsid w:val="37F1500E"/>
    <w:rsid w:val="37F213EB"/>
    <w:rsid w:val="37F663B8"/>
    <w:rsid w:val="37FC3A1E"/>
    <w:rsid w:val="38003F3A"/>
    <w:rsid w:val="3800738E"/>
    <w:rsid w:val="38021642"/>
    <w:rsid w:val="380262B1"/>
    <w:rsid w:val="380C7DE9"/>
    <w:rsid w:val="380E5A73"/>
    <w:rsid w:val="380E7B87"/>
    <w:rsid w:val="380F30FF"/>
    <w:rsid w:val="38182F74"/>
    <w:rsid w:val="381873F9"/>
    <w:rsid w:val="381E545A"/>
    <w:rsid w:val="382147C2"/>
    <w:rsid w:val="382210D1"/>
    <w:rsid w:val="38234369"/>
    <w:rsid w:val="38235FBE"/>
    <w:rsid w:val="38261A6C"/>
    <w:rsid w:val="382633B8"/>
    <w:rsid w:val="382A5A04"/>
    <w:rsid w:val="382B6B4A"/>
    <w:rsid w:val="382D1459"/>
    <w:rsid w:val="38350745"/>
    <w:rsid w:val="383B3214"/>
    <w:rsid w:val="383E7B12"/>
    <w:rsid w:val="384470B5"/>
    <w:rsid w:val="384F6A08"/>
    <w:rsid w:val="3850191B"/>
    <w:rsid w:val="38542973"/>
    <w:rsid w:val="38546FE7"/>
    <w:rsid w:val="385E033F"/>
    <w:rsid w:val="38630D66"/>
    <w:rsid w:val="3864227B"/>
    <w:rsid w:val="3873362A"/>
    <w:rsid w:val="387F0062"/>
    <w:rsid w:val="38841CBA"/>
    <w:rsid w:val="388557EF"/>
    <w:rsid w:val="38856DA7"/>
    <w:rsid w:val="388F4CCA"/>
    <w:rsid w:val="389765D2"/>
    <w:rsid w:val="38A54185"/>
    <w:rsid w:val="38A57EC5"/>
    <w:rsid w:val="38A91318"/>
    <w:rsid w:val="38AE6757"/>
    <w:rsid w:val="38B17C22"/>
    <w:rsid w:val="38B36BD5"/>
    <w:rsid w:val="38B55ED3"/>
    <w:rsid w:val="38B910AB"/>
    <w:rsid w:val="38BA6A80"/>
    <w:rsid w:val="38BD0478"/>
    <w:rsid w:val="38C01EE0"/>
    <w:rsid w:val="38C4036C"/>
    <w:rsid w:val="38D41E62"/>
    <w:rsid w:val="38D74EF2"/>
    <w:rsid w:val="38E06F5F"/>
    <w:rsid w:val="38E30C0B"/>
    <w:rsid w:val="38EB602B"/>
    <w:rsid w:val="38ED3F7C"/>
    <w:rsid w:val="38F0587E"/>
    <w:rsid w:val="38F13D36"/>
    <w:rsid w:val="38F77027"/>
    <w:rsid w:val="38F86643"/>
    <w:rsid w:val="38FA09AB"/>
    <w:rsid w:val="38FE5EE0"/>
    <w:rsid w:val="38FE6A66"/>
    <w:rsid w:val="390B4780"/>
    <w:rsid w:val="390E3F07"/>
    <w:rsid w:val="391564F3"/>
    <w:rsid w:val="39177F7C"/>
    <w:rsid w:val="391944EE"/>
    <w:rsid w:val="391C453F"/>
    <w:rsid w:val="391E44A2"/>
    <w:rsid w:val="39252A7B"/>
    <w:rsid w:val="39294A87"/>
    <w:rsid w:val="392F3D28"/>
    <w:rsid w:val="392F4CB2"/>
    <w:rsid w:val="39350E16"/>
    <w:rsid w:val="39362B6B"/>
    <w:rsid w:val="39373EE5"/>
    <w:rsid w:val="3938606C"/>
    <w:rsid w:val="393F5F02"/>
    <w:rsid w:val="39421BC1"/>
    <w:rsid w:val="394D4500"/>
    <w:rsid w:val="394E1900"/>
    <w:rsid w:val="394F34A8"/>
    <w:rsid w:val="395140C3"/>
    <w:rsid w:val="395145E6"/>
    <w:rsid w:val="395870FD"/>
    <w:rsid w:val="395902C9"/>
    <w:rsid w:val="39626C1B"/>
    <w:rsid w:val="396C4A5C"/>
    <w:rsid w:val="396C7D26"/>
    <w:rsid w:val="396F07C8"/>
    <w:rsid w:val="39743729"/>
    <w:rsid w:val="397630FA"/>
    <w:rsid w:val="39783AB4"/>
    <w:rsid w:val="397C05A1"/>
    <w:rsid w:val="397D51B1"/>
    <w:rsid w:val="397E43B0"/>
    <w:rsid w:val="3981100B"/>
    <w:rsid w:val="39821E31"/>
    <w:rsid w:val="39825C5A"/>
    <w:rsid w:val="39832238"/>
    <w:rsid w:val="39873A98"/>
    <w:rsid w:val="39881FD8"/>
    <w:rsid w:val="398E458C"/>
    <w:rsid w:val="398F0709"/>
    <w:rsid w:val="39921861"/>
    <w:rsid w:val="39934584"/>
    <w:rsid w:val="39975BF9"/>
    <w:rsid w:val="39994CE9"/>
    <w:rsid w:val="399A7CD4"/>
    <w:rsid w:val="39A30418"/>
    <w:rsid w:val="39A32AA6"/>
    <w:rsid w:val="39A36ABF"/>
    <w:rsid w:val="39A44C2B"/>
    <w:rsid w:val="39A672A3"/>
    <w:rsid w:val="39AA4304"/>
    <w:rsid w:val="39AB4E1E"/>
    <w:rsid w:val="39AF285C"/>
    <w:rsid w:val="39B3420E"/>
    <w:rsid w:val="39BB151A"/>
    <w:rsid w:val="39BC16D7"/>
    <w:rsid w:val="39C00C1C"/>
    <w:rsid w:val="39C00CE7"/>
    <w:rsid w:val="39C00F24"/>
    <w:rsid w:val="39C155B2"/>
    <w:rsid w:val="39C478FB"/>
    <w:rsid w:val="39CF37D5"/>
    <w:rsid w:val="39D274A5"/>
    <w:rsid w:val="39D95E36"/>
    <w:rsid w:val="39D97F62"/>
    <w:rsid w:val="39DB58E2"/>
    <w:rsid w:val="39DF1BA4"/>
    <w:rsid w:val="39E56123"/>
    <w:rsid w:val="39EA0C07"/>
    <w:rsid w:val="39EF558F"/>
    <w:rsid w:val="39F65B66"/>
    <w:rsid w:val="39F90F17"/>
    <w:rsid w:val="39F96F66"/>
    <w:rsid w:val="39FB36DE"/>
    <w:rsid w:val="39FD3236"/>
    <w:rsid w:val="39FE2F2B"/>
    <w:rsid w:val="39FF138F"/>
    <w:rsid w:val="39FF1AF6"/>
    <w:rsid w:val="3A0040F7"/>
    <w:rsid w:val="3A02386C"/>
    <w:rsid w:val="3A0435D1"/>
    <w:rsid w:val="3A0674C3"/>
    <w:rsid w:val="3A0979B3"/>
    <w:rsid w:val="3A117CD3"/>
    <w:rsid w:val="3A1241DA"/>
    <w:rsid w:val="3A126AFA"/>
    <w:rsid w:val="3A137773"/>
    <w:rsid w:val="3A1B5BE1"/>
    <w:rsid w:val="3A1D022E"/>
    <w:rsid w:val="3A1E36FE"/>
    <w:rsid w:val="3A234794"/>
    <w:rsid w:val="3A274045"/>
    <w:rsid w:val="3A317C10"/>
    <w:rsid w:val="3A3673D8"/>
    <w:rsid w:val="3A384A2A"/>
    <w:rsid w:val="3A3A2410"/>
    <w:rsid w:val="3A4127AF"/>
    <w:rsid w:val="3A4710CB"/>
    <w:rsid w:val="3A4A185A"/>
    <w:rsid w:val="3A4B0483"/>
    <w:rsid w:val="3A5073B5"/>
    <w:rsid w:val="3A5904B7"/>
    <w:rsid w:val="3A5D3271"/>
    <w:rsid w:val="3A5D5BA0"/>
    <w:rsid w:val="3A5F4CF4"/>
    <w:rsid w:val="3A6461C3"/>
    <w:rsid w:val="3A680475"/>
    <w:rsid w:val="3A691901"/>
    <w:rsid w:val="3A6B4C79"/>
    <w:rsid w:val="3A6B4CEA"/>
    <w:rsid w:val="3A7656C0"/>
    <w:rsid w:val="3A792A5E"/>
    <w:rsid w:val="3A7B1A49"/>
    <w:rsid w:val="3A80267B"/>
    <w:rsid w:val="3A804B6A"/>
    <w:rsid w:val="3A8154A5"/>
    <w:rsid w:val="3A827F0C"/>
    <w:rsid w:val="3A8A5F7D"/>
    <w:rsid w:val="3A8B3ACE"/>
    <w:rsid w:val="3A8B5E0E"/>
    <w:rsid w:val="3A8D33A8"/>
    <w:rsid w:val="3A9771B4"/>
    <w:rsid w:val="3A997F6E"/>
    <w:rsid w:val="3AAE0A1E"/>
    <w:rsid w:val="3AB2708A"/>
    <w:rsid w:val="3AB30FE9"/>
    <w:rsid w:val="3AB461B3"/>
    <w:rsid w:val="3AB5115F"/>
    <w:rsid w:val="3AB64901"/>
    <w:rsid w:val="3AB87AB5"/>
    <w:rsid w:val="3ABB0039"/>
    <w:rsid w:val="3ABC5B16"/>
    <w:rsid w:val="3ABC606C"/>
    <w:rsid w:val="3ABE55C4"/>
    <w:rsid w:val="3AC46EAD"/>
    <w:rsid w:val="3AC86D03"/>
    <w:rsid w:val="3ACD27A7"/>
    <w:rsid w:val="3AD54540"/>
    <w:rsid w:val="3AD6192A"/>
    <w:rsid w:val="3AD77D46"/>
    <w:rsid w:val="3AE250BE"/>
    <w:rsid w:val="3AE25328"/>
    <w:rsid w:val="3AE35363"/>
    <w:rsid w:val="3AE502CE"/>
    <w:rsid w:val="3AE60D70"/>
    <w:rsid w:val="3AE868FC"/>
    <w:rsid w:val="3AE87A89"/>
    <w:rsid w:val="3AEA2080"/>
    <w:rsid w:val="3AEF001F"/>
    <w:rsid w:val="3AF97EEE"/>
    <w:rsid w:val="3AFA6946"/>
    <w:rsid w:val="3AFC5C88"/>
    <w:rsid w:val="3AFE0946"/>
    <w:rsid w:val="3AFF2242"/>
    <w:rsid w:val="3B026319"/>
    <w:rsid w:val="3B032D0A"/>
    <w:rsid w:val="3B0376D2"/>
    <w:rsid w:val="3B062910"/>
    <w:rsid w:val="3B063ABA"/>
    <w:rsid w:val="3B0653B3"/>
    <w:rsid w:val="3B0C4BE9"/>
    <w:rsid w:val="3B1135F0"/>
    <w:rsid w:val="3B130A8A"/>
    <w:rsid w:val="3B1620B1"/>
    <w:rsid w:val="3B1D75E8"/>
    <w:rsid w:val="3B212FEC"/>
    <w:rsid w:val="3B236D71"/>
    <w:rsid w:val="3B26144F"/>
    <w:rsid w:val="3B282941"/>
    <w:rsid w:val="3B2D1C93"/>
    <w:rsid w:val="3B2E773D"/>
    <w:rsid w:val="3B335E25"/>
    <w:rsid w:val="3B34292A"/>
    <w:rsid w:val="3B44141A"/>
    <w:rsid w:val="3B4B1038"/>
    <w:rsid w:val="3B4B3EFC"/>
    <w:rsid w:val="3B5354DC"/>
    <w:rsid w:val="3B563B0E"/>
    <w:rsid w:val="3B59204C"/>
    <w:rsid w:val="3B5C67B7"/>
    <w:rsid w:val="3B692C46"/>
    <w:rsid w:val="3B6B4513"/>
    <w:rsid w:val="3B6B6F89"/>
    <w:rsid w:val="3B701B62"/>
    <w:rsid w:val="3B794D63"/>
    <w:rsid w:val="3B7B7F44"/>
    <w:rsid w:val="3B856703"/>
    <w:rsid w:val="3B866ECB"/>
    <w:rsid w:val="3B8871BD"/>
    <w:rsid w:val="3B943402"/>
    <w:rsid w:val="3B97486B"/>
    <w:rsid w:val="3BA30048"/>
    <w:rsid w:val="3BA907E0"/>
    <w:rsid w:val="3BAE6F68"/>
    <w:rsid w:val="3BB12FED"/>
    <w:rsid w:val="3BB168BD"/>
    <w:rsid w:val="3BB34313"/>
    <w:rsid w:val="3BB97D9C"/>
    <w:rsid w:val="3BBA7B79"/>
    <w:rsid w:val="3BBB680E"/>
    <w:rsid w:val="3BBD78B5"/>
    <w:rsid w:val="3BC42AFC"/>
    <w:rsid w:val="3BCB6A31"/>
    <w:rsid w:val="3BCD5CE6"/>
    <w:rsid w:val="3BCF2631"/>
    <w:rsid w:val="3BD43C55"/>
    <w:rsid w:val="3BD46AEA"/>
    <w:rsid w:val="3BD71D6D"/>
    <w:rsid w:val="3BD97090"/>
    <w:rsid w:val="3BE23D23"/>
    <w:rsid w:val="3BE253F8"/>
    <w:rsid w:val="3BE2572A"/>
    <w:rsid w:val="3BE56728"/>
    <w:rsid w:val="3BEA0246"/>
    <w:rsid w:val="3BEC2595"/>
    <w:rsid w:val="3BEF694D"/>
    <w:rsid w:val="3BF55EE3"/>
    <w:rsid w:val="3BF61B01"/>
    <w:rsid w:val="3BF72EA2"/>
    <w:rsid w:val="3BF766A2"/>
    <w:rsid w:val="3BF94D1E"/>
    <w:rsid w:val="3BFA7202"/>
    <w:rsid w:val="3BFC5FC7"/>
    <w:rsid w:val="3C0060C8"/>
    <w:rsid w:val="3C007786"/>
    <w:rsid w:val="3C011F50"/>
    <w:rsid w:val="3C01749C"/>
    <w:rsid w:val="3C02247A"/>
    <w:rsid w:val="3C02352A"/>
    <w:rsid w:val="3C0B74AA"/>
    <w:rsid w:val="3C0D61BF"/>
    <w:rsid w:val="3C0F574E"/>
    <w:rsid w:val="3C1531BA"/>
    <w:rsid w:val="3C161FF4"/>
    <w:rsid w:val="3C1B7E2A"/>
    <w:rsid w:val="3C1C3C53"/>
    <w:rsid w:val="3C1F59C8"/>
    <w:rsid w:val="3C246AEF"/>
    <w:rsid w:val="3C264E36"/>
    <w:rsid w:val="3C28294E"/>
    <w:rsid w:val="3C285A30"/>
    <w:rsid w:val="3C2A61F9"/>
    <w:rsid w:val="3C317660"/>
    <w:rsid w:val="3C3850D1"/>
    <w:rsid w:val="3C3978FC"/>
    <w:rsid w:val="3C3A2917"/>
    <w:rsid w:val="3C3F75A2"/>
    <w:rsid w:val="3C413E24"/>
    <w:rsid w:val="3C454509"/>
    <w:rsid w:val="3C4A3231"/>
    <w:rsid w:val="3C4C31A0"/>
    <w:rsid w:val="3C511A7C"/>
    <w:rsid w:val="3C530B2B"/>
    <w:rsid w:val="3C5423C9"/>
    <w:rsid w:val="3C560CA8"/>
    <w:rsid w:val="3C596F86"/>
    <w:rsid w:val="3C6436BA"/>
    <w:rsid w:val="3C660B2E"/>
    <w:rsid w:val="3C6905B4"/>
    <w:rsid w:val="3C6B0319"/>
    <w:rsid w:val="3C6C5D7B"/>
    <w:rsid w:val="3C6D1DA7"/>
    <w:rsid w:val="3C723D88"/>
    <w:rsid w:val="3C7A2C86"/>
    <w:rsid w:val="3C801E86"/>
    <w:rsid w:val="3C803CB7"/>
    <w:rsid w:val="3C8059AB"/>
    <w:rsid w:val="3C812249"/>
    <w:rsid w:val="3C835D2A"/>
    <w:rsid w:val="3C861F9D"/>
    <w:rsid w:val="3C8648AD"/>
    <w:rsid w:val="3C894D76"/>
    <w:rsid w:val="3C8F14C4"/>
    <w:rsid w:val="3C9377D1"/>
    <w:rsid w:val="3CA05B70"/>
    <w:rsid w:val="3CA43FBD"/>
    <w:rsid w:val="3CAD460F"/>
    <w:rsid w:val="3CB027F9"/>
    <w:rsid w:val="3CB90CFC"/>
    <w:rsid w:val="3CBA03D4"/>
    <w:rsid w:val="3CBD0377"/>
    <w:rsid w:val="3CBF26DC"/>
    <w:rsid w:val="3CC14029"/>
    <w:rsid w:val="3CC1766E"/>
    <w:rsid w:val="3CC22663"/>
    <w:rsid w:val="3CC25D7E"/>
    <w:rsid w:val="3CCB2EC5"/>
    <w:rsid w:val="3CCC6137"/>
    <w:rsid w:val="3CD0659B"/>
    <w:rsid w:val="3CD3205D"/>
    <w:rsid w:val="3CD321D0"/>
    <w:rsid w:val="3CD403D8"/>
    <w:rsid w:val="3CD74A53"/>
    <w:rsid w:val="3CDB7456"/>
    <w:rsid w:val="3CDD1104"/>
    <w:rsid w:val="3CE80282"/>
    <w:rsid w:val="3CE82957"/>
    <w:rsid w:val="3CED66A5"/>
    <w:rsid w:val="3CF5377B"/>
    <w:rsid w:val="3CFE548E"/>
    <w:rsid w:val="3D024F29"/>
    <w:rsid w:val="3D0327AF"/>
    <w:rsid w:val="3D0337A6"/>
    <w:rsid w:val="3D0A5AF0"/>
    <w:rsid w:val="3D0D34BB"/>
    <w:rsid w:val="3D0D4246"/>
    <w:rsid w:val="3D19382A"/>
    <w:rsid w:val="3D1B4D52"/>
    <w:rsid w:val="3D1C1373"/>
    <w:rsid w:val="3D1D6431"/>
    <w:rsid w:val="3D212B7A"/>
    <w:rsid w:val="3D29464F"/>
    <w:rsid w:val="3D3651FF"/>
    <w:rsid w:val="3D367C94"/>
    <w:rsid w:val="3D3E6DCD"/>
    <w:rsid w:val="3D4100E1"/>
    <w:rsid w:val="3D440417"/>
    <w:rsid w:val="3D444AC5"/>
    <w:rsid w:val="3D4547D3"/>
    <w:rsid w:val="3D51444E"/>
    <w:rsid w:val="3D56107F"/>
    <w:rsid w:val="3D570093"/>
    <w:rsid w:val="3D5B7E36"/>
    <w:rsid w:val="3D5C53CE"/>
    <w:rsid w:val="3D5E0ACE"/>
    <w:rsid w:val="3D61548E"/>
    <w:rsid w:val="3D6571E5"/>
    <w:rsid w:val="3D67169E"/>
    <w:rsid w:val="3D6D6D3B"/>
    <w:rsid w:val="3D702B26"/>
    <w:rsid w:val="3D773195"/>
    <w:rsid w:val="3D7C386E"/>
    <w:rsid w:val="3D7F7872"/>
    <w:rsid w:val="3D810038"/>
    <w:rsid w:val="3D812AA5"/>
    <w:rsid w:val="3D893A1E"/>
    <w:rsid w:val="3D8A2EC5"/>
    <w:rsid w:val="3D8E25CC"/>
    <w:rsid w:val="3D8E61EC"/>
    <w:rsid w:val="3D8F064E"/>
    <w:rsid w:val="3D9022C2"/>
    <w:rsid w:val="3D91188D"/>
    <w:rsid w:val="3D92156B"/>
    <w:rsid w:val="3D9B7478"/>
    <w:rsid w:val="3D9F6D57"/>
    <w:rsid w:val="3DA15D15"/>
    <w:rsid w:val="3DA700CA"/>
    <w:rsid w:val="3DA86159"/>
    <w:rsid w:val="3DAC0DFA"/>
    <w:rsid w:val="3DAD6113"/>
    <w:rsid w:val="3DB05797"/>
    <w:rsid w:val="3DB25A8B"/>
    <w:rsid w:val="3DB32CE9"/>
    <w:rsid w:val="3DBA3673"/>
    <w:rsid w:val="3DBA42D7"/>
    <w:rsid w:val="3DBB5BB4"/>
    <w:rsid w:val="3DBE33C7"/>
    <w:rsid w:val="3DBE43B7"/>
    <w:rsid w:val="3DC17502"/>
    <w:rsid w:val="3DC52548"/>
    <w:rsid w:val="3DC63FFC"/>
    <w:rsid w:val="3DCB59D7"/>
    <w:rsid w:val="3DCC0010"/>
    <w:rsid w:val="3DCD29CC"/>
    <w:rsid w:val="3DD52E8B"/>
    <w:rsid w:val="3DD63976"/>
    <w:rsid w:val="3DD84692"/>
    <w:rsid w:val="3DDB7077"/>
    <w:rsid w:val="3DDD6080"/>
    <w:rsid w:val="3DE85FA4"/>
    <w:rsid w:val="3DED11B1"/>
    <w:rsid w:val="3DF20325"/>
    <w:rsid w:val="3DF210B4"/>
    <w:rsid w:val="3DF615ED"/>
    <w:rsid w:val="3DFD0559"/>
    <w:rsid w:val="3DFD2D1A"/>
    <w:rsid w:val="3DFE293E"/>
    <w:rsid w:val="3E011F1C"/>
    <w:rsid w:val="3E0F063F"/>
    <w:rsid w:val="3E1043B1"/>
    <w:rsid w:val="3E1045C3"/>
    <w:rsid w:val="3E1B0651"/>
    <w:rsid w:val="3E1C06D3"/>
    <w:rsid w:val="3E1D13C7"/>
    <w:rsid w:val="3E210DF5"/>
    <w:rsid w:val="3E260387"/>
    <w:rsid w:val="3E294CD8"/>
    <w:rsid w:val="3E2A2EAD"/>
    <w:rsid w:val="3E2A4D58"/>
    <w:rsid w:val="3E2B59B0"/>
    <w:rsid w:val="3E2C0BEE"/>
    <w:rsid w:val="3E2D5180"/>
    <w:rsid w:val="3E3552AD"/>
    <w:rsid w:val="3E364F9B"/>
    <w:rsid w:val="3E37248D"/>
    <w:rsid w:val="3E3A1676"/>
    <w:rsid w:val="3E3F3AA3"/>
    <w:rsid w:val="3E4759D9"/>
    <w:rsid w:val="3E5D460C"/>
    <w:rsid w:val="3E5E38A0"/>
    <w:rsid w:val="3E5E5FBC"/>
    <w:rsid w:val="3E675CF2"/>
    <w:rsid w:val="3E6A6CA6"/>
    <w:rsid w:val="3E723496"/>
    <w:rsid w:val="3E725581"/>
    <w:rsid w:val="3E7473B7"/>
    <w:rsid w:val="3E797719"/>
    <w:rsid w:val="3E7C5AC0"/>
    <w:rsid w:val="3E80209B"/>
    <w:rsid w:val="3E840C4A"/>
    <w:rsid w:val="3E8655CB"/>
    <w:rsid w:val="3E866022"/>
    <w:rsid w:val="3E8D611C"/>
    <w:rsid w:val="3E8F7DB8"/>
    <w:rsid w:val="3E901A3F"/>
    <w:rsid w:val="3E913C1D"/>
    <w:rsid w:val="3E93261A"/>
    <w:rsid w:val="3E96543A"/>
    <w:rsid w:val="3E981719"/>
    <w:rsid w:val="3EA30777"/>
    <w:rsid w:val="3EA41314"/>
    <w:rsid w:val="3EA9592C"/>
    <w:rsid w:val="3EB41217"/>
    <w:rsid w:val="3EB66F8D"/>
    <w:rsid w:val="3EB72D39"/>
    <w:rsid w:val="3EB772B7"/>
    <w:rsid w:val="3EB92897"/>
    <w:rsid w:val="3EBB236C"/>
    <w:rsid w:val="3EBB2D78"/>
    <w:rsid w:val="3EBD202E"/>
    <w:rsid w:val="3EBE7702"/>
    <w:rsid w:val="3EC1546C"/>
    <w:rsid w:val="3EC34DA2"/>
    <w:rsid w:val="3EC44926"/>
    <w:rsid w:val="3ECD4A13"/>
    <w:rsid w:val="3ED22F83"/>
    <w:rsid w:val="3ED23EA8"/>
    <w:rsid w:val="3ED442CA"/>
    <w:rsid w:val="3ED4797A"/>
    <w:rsid w:val="3ED76BA2"/>
    <w:rsid w:val="3EDA4B6F"/>
    <w:rsid w:val="3EDD48F3"/>
    <w:rsid w:val="3EE7565A"/>
    <w:rsid w:val="3EEA1B22"/>
    <w:rsid w:val="3EEA2648"/>
    <w:rsid w:val="3EEB2F7F"/>
    <w:rsid w:val="3EEC4AD8"/>
    <w:rsid w:val="3EEF20EB"/>
    <w:rsid w:val="3EF02162"/>
    <w:rsid w:val="3EF0774A"/>
    <w:rsid w:val="3EF250D5"/>
    <w:rsid w:val="3EF32AFC"/>
    <w:rsid w:val="3EF41057"/>
    <w:rsid w:val="3EF47AF5"/>
    <w:rsid w:val="3EF8123B"/>
    <w:rsid w:val="3EFB50F6"/>
    <w:rsid w:val="3EFD544F"/>
    <w:rsid w:val="3F013E54"/>
    <w:rsid w:val="3F036296"/>
    <w:rsid w:val="3F044014"/>
    <w:rsid w:val="3F0A2D0E"/>
    <w:rsid w:val="3F0C0190"/>
    <w:rsid w:val="3F0C4822"/>
    <w:rsid w:val="3F0D5531"/>
    <w:rsid w:val="3F154924"/>
    <w:rsid w:val="3F190C83"/>
    <w:rsid w:val="3F1F0603"/>
    <w:rsid w:val="3F236DFC"/>
    <w:rsid w:val="3F274144"/>
    <w:rsid w:val="3F290412"/>
    <w:rsid w:val="3F2F6E0D"/>
    <w:rsid w:val="3F320A91"/>
    <w:rsid w:val="3F321475"/>
    <w:rsid w:val="3F3270F3"/>
    <w:rsid w:val="3F3B4C9D"/>
    <w:rsid w:val="3F3E5310"/>
    <w:rsid w:val="3F3E6B45"/>
    <w:rsid w:val="3F424B3F"/>
    <w:rsid w:val="3F451DE7"/>
    <w:rsid w:val="3F492E44"/>
    <w:rsid w:val="3F4B64DB"/>
    <w:rsid w:val="3F4C660C"/>
    <w:rsid w:val="3F4D0C61"/>
    <w:rsid w:val="3F504CDC"/>
    <w:rsid w:val="3F531AA8"/>
    <w:rsid w:val="3F554E4D"/>
    <w:rsid w:val="3F59326D"/>
    <w:rsid w:val="3F5F1A4A"/>
    <w:rsid w:val="3F633E0D"/>
    <w:rsid w:val="3F685F7A"/>
    <w:rsid w:val="3F773931"/>
    <w:rsid w:val="3F7A5EA4"/>
    <w:rsid w:val="3F7B0449"/>
    <w:rsid w:val="3F7D2799"/>
    <w:rsid w:val="3F7E4BED"/>
    <w:rsid w:val="3F7E5E5D"/>
    <w:rsid w:val="3F7E6129"/>
    <w:rsid w:val="3F833D73"/>
    <w:rsid w:val="3F8933F3"/>
    <w:rsid w:val="3F896DDC"/>
    <w:rsid w:val="3F8A1D5C"/>
    <w:rsid w:val="3F8B52D4"/>
    <w:rsid w:val="3F8E67ED"/>
    <w:rsid w:val="3F9836B6"/>
    <w:rsid w:val="3F9C2FB1"/>
    <w:rsid w:val="3F9F065F"/>
    <w:rsid w:val="3F9F4AB6"/>
    <w:rsid w:val="3FA647E0"/>
    <w:rsid w:val="3FAA0C0B"/>
    <w:rsid w:val="3FAD3A08"/>
    <w:rsid w:val="3FB0049F"/>
    <w:rsid w:val="3FB423D4"/>
    <w:rsid w:val="3FC03185"/>
    <w:rsid w:val="3FC434B5"/>
    <w:rsid w:val="3FC47925"/>
    <w:rsid w:val="3FC7419B"/>
    <w:rsid w:val="3FC86CE0"/>
    <w:rsid w:val="3FCA6EC7"/>
    <w:rsid w:val="3FD24204"/>
    <w:rsid w:val="3FE30490"/>
    <w:rsid w:val="3FE31134"/>
    <w:rsid w:val="3FE35F40"/>
    <w:rsid w:val="3FE470EA"/>
    <w:rsid w:val="3FEA6A81"/>
    <w:rsid w:val="3FEB7AAB"/>
    <w:rsid w:val="3FED0088"/>
    <w:rsid w:val="3FED551B"/>
    <w:rsid w:val="3FF918CB"/>
    <w:rsid w:val="3FFD14D7"/>
    <w:rsid w:val="400125A8"/>
    <w:rsid w:val="40044E75"/>
    <w:rsid w:val="40073E46"/>
    <w:rsid w:val="4010220F"/>
    <w:rsid w:val="401049F7"/>
    <w:rsid w:val="40105EA8"/>
    <w:rsid w:val="40166A80"/>
    <w:rsid w:val="40196171"/>
    <w:rsid w:val="401A7172"/>
    <w:rsid w:val="401B241C"/>
    <w:rsid w:val="40224766"/>
    <w:rsid w:val="402B6000"/>
    <w:rsid w:val="402E6709"/>
    <w:rsid w:val="40336E12"/>
    <w:rsid w:val="40343190"/>
    <w:rsid w:val="40375570"/>
    <w:rsid w:val="403D1068"/>
    <w:rsid w:val="404F1940"/>
    <w:rsid w:val="40511FA6"/>
    <w:rsid w:val="40515D8A"/>
    <w:rsid w:val="40591A13"/>
    <w:rsid w:val="40595DE2"/>
    <w:rsid w:val="405A76D2"/>
    <w:rsid w:val="405D1BC3"/>
    <w:rsid w:val="40631790"/>
    <w:rsid w:val="406411B9"/>
    <w:rsid w:val="406449D4"/>
    <w:rsid w:val="406A333D"/>
    <w:rsid w:val="406A676C"/>
    <w:rsid w:val="406B0E04"/>
    <w:rsid w:val="406B27ED"/>
    <w:rsid w:val="406C3981"/>
    <w:rsid w:val="40717D58"/>
    <w:rsid w:val="40726A2C"/>
    <w:rsid w:val="40762DA8"/>
    <w:rsid w:val="40784CEC"/>
    <w:rsid w:val="407A2A27"/>
    <w:rsid w:val="407C3F9A"/>
    <w:rsid w:val="40813FA6"/>
    <w:rsid w:val="40830563"/>
    <w:rsid w:val="40911F9A"/>
    <w:rsid w:val="40957650"/>
    <w:rsid w:val="409D7F85"/>
    <w:rsid w:val="409E1ACF"/>
    <w:rsid w:val="40AD7489"/>
    <w:rsid w:val="40AE4DB8"/>
    <w:rsid w:val="40B37371"/>
    <w:rsid w:val="40B53985"/>
    <w:rsid w:val="40BE6E34"/>
    <w:rsid w:val="40BF5BB2"/>
    <w:rsid w:val="40C03DA8"/>
    <w:rsid w:val="40C22417"/>
    <w:rsid w:val="40C34D98"/>
    <w:rsid w:val="40C81C93"/>
    <w:rsid w:val="40C907C9"/>
    <w:rsid w:val="40CE307C"/>
    <w:rsid w:val="40CE4248"/>
    <w:rsid w:val="40D11B86"/>
    <w:rsid w:val="40D33AA9"/>
    <w:rsid w:val="40D412D9"/>
    <w:rsid w:val="40D513FA"/>
    <w:rsid w:val="40DE20E1"/>
    <w:rsid w:val="40E04753"/>
    <w:rsid w:val="40E40D7F"/>
    <w:rsid w:val="40E4252B"/>
    <w:rsid w:val="40E7235D"/>
    <w:rsid w:val="40E97724"/>
    <w:rsid w:val="40EC7E2F"/>
    <w:rsid w:val="40ED39C1"/>
    <w:rsid w:val="40EE4432"/>
    <w:rsid w:val="40EF5F98"/>
    <w:rsid w:val="40F00E1D"/>
    <w:rsid w:val="40F05E2C"/>
    <w:rsid w:val="40F21E96"/>
    <w:rsid w:val="40F26E8B"/>
    <w:rsid w:val="40F27588"/>
    <w:rsid w:val="40F55BF4"/>
    <w:rsid w:val="41020CE1"/>
    <w:rsid w:val="41051A95"/>
    <w:rsid w:val="410C052B"/>
    <w:rsid w:val="4112219A"/>
    <w:rsid w:val="411907B9"/>
    <w:rsid w:val="411E1337"/>
    <w:rsid w:val="411E6BB1"/>
    <w:rsid w:val="41227A89"/>
    <w:rsid w:val="412929FC"/>
    <w:rsid w:val="412D7AE9"/>
    <w:rsid w:val="412F457D"/>
    <w:rsid w:val="41322808"/>
    <w:rsid w:val="413B7549"/>
    <w:rsid w:val="413D11C1"/>
    <w:rsid w:val="41473132"/>
    <w:rsid w:val="41481A2B"/>
    <w:rsid w:val="41495A8E"/>
    <w:rsid w:val="414A260D"/>
    <w:rsid w:val="414B2244"/>
    <w:rsid w:val="41570E4E"/>
    <w:rsid w:val="415A26F6"/>
    <w:rsid w:val="415C18AE"/>
    <w:rsid w:val="415C7CCA"/>
    <w:rsid w:val="416137BD"/>
    <w:rsid w:val="416362E8"/>
    <w:rsid w:val="416452C3"/>
    <w:rsid w:val="41660131"/>
    <w:rsid w:val="41675575"/>
    <w:rsid w:val="4168349A"/>
    <w:rsid w:val="416F1DE6"/>
    <w:rsid w:val="416F26E4"/>
    <w:rsid w:val="417028E3"/>
    <w:rsid w:val="417030E2"/>
    <w:rsid w:val="4171715E"/>
    <w:rsid w:val="41723A85"/>
    <w:rsid w:val="41772C1C"/>
    <w:rsid w:val="417B6B57"/>
    <w:rsid w:val="417D2474"/>
    <w:rsid w:val="417E2CC7"/>
    <w:rsid w:val="4181126C"/>
    <w:rsid w:val="4181149B"/>
    <w:rsid w:val="41825A7C"/>
    <w:rsid w:val="41851598"/>
    <w:rsid w:val="41851739"/>
    <w:rsid w:val="41876C73"/>
    <w:rsid w:val="41964287"/>
    <w:rsid w:val="41A20468"/>
    <w:rsid w:val="41A53085"/>
    <w:rsid w:val="41A63B2E"/>
    <w:rsid w:val="41A9024A"/>
    <w:rsid w:val="41B331A4"/>
    <w:rsid w:val="41B56213"/>
    <w:rsid w:val="41B6213C"/>
    <w:rsid w:val="41B7760A"/>
    <w:rsid w:val="41B97651"/>
    <w:rsid w:val="41BF63E2"/>
    <w:rsid w:val="41C119B9"/>
    <w:rsid w:val="41C2756F"/>
    <w:rsid w:val="41DC4462"/>
    <w:rsid w:val="41DE0785"/>
    <w:rsid w:val="41DF4633"/>
    <w:rsid w:val="41E53BFD"/>
    <w:rsid w:val="41E56D28"/>
    <w:rsid w:val="41E60737"/>
    <w:rsid w:val="41E83CCA"/>
    <w:rsid w:val="41EC4EDA"/>
    <w:rsid w:val="41EF581E"/>
    <w:rsid w:val="41EF711F"/>
    <w:rsid w:val="41F307EE"/>
    <w:rsid w:val="41F347F8"/>
    <w:rsid w:val="41F43C54"/>
    <w:rsid w:val="41F47274"/>
    <w:rsid w:val="41FB2AD4"/>
    <w:rsid w:val="41FC1962"/>
    <w:rsid w:val="41FF4CDA"/>
    <w:rsid w:val="41FF77C0"/>
    <w:rsid w:val="42000C12"/>
    <w:rsid w:val="42077F24"/>
    <w:rsid w:val="42102282"/>
    <w:rsid w:val="4210598E"/>
    <w:rsid w:val="42134060"/>
    <w:rsid w:val="421550B0"/>
    <w:rsid w:val="42192360"/>
    <w:rsid w:val="421D0295"/>
    <w:rsid w:val="4229718A"/>
    <w:rsid w:val="422C7D83"/>
    <w:rsid w:val="422E37AB"/>
    <w:rsid w:val="423227FF"/>
    <w:rsid w:val="423D55DA"/>
    <w:rsid w:val="423F76C2"/>
    <w:rsid w:val="42460D06"/>
    <w:rsid w:val="42487046"/>
    <w:rsid w:val="42537A6B"/>
    <w:rsid w:val="425764E6"/>
    <w:rsid w:val="425A1047"/>
    <w:rsid w:val="425C1819"/>
    <w:rsid w:val="425C6D1D"/>
    <w:rsid w:val="426421DE"/>
    <w:rsid w:val="42677CCF"/>
    <w:rsid w:val="42691DD9"/>
    <w:rsid w:val="42711D0D"/>
    <w:rsid w:val="427136F4"/>
    <w:rsid w:val="427203F9"/>
    <w:rsid w:val="427E4364"/>
    <w:rsid w:val="427F0F53"/>
    <w:rsid w:val="42822E43"/>
    <w:rsid w:val="428656FF"/>
    <w:rsid w:val="428B7B39"/>
    <w:rsid w:val="428C4965"/>
    <w:rsid w:val="428E2EDB"/>
    <w:rsid w:val="4290097E"/>
    <w:rsid w:val="42936D6C"/>
    <w:rsid w:val="429461D7"/>
    <w:rsid w:val="429760F2"/>
    <w:rsid w:val="429B7FE8"/>
    <w:rsid w:val="429C5E54"/>
    <w:rsid w:val="429F65C8"/>
    <w:rsid w:val="42A04E05"/>
    <w:rsid w:val="42A21E31"/>
    <w:rsid w:val="42A30515"/>
    <w:rsid w:val="42A31BBB"/>
    <w:rsid w:val="42A51907"/>
    <w:rsid w:val="42A71D23"/>
    <w:rsid w:val="42AB5432"/>
    <w:rsid w:val="42AD0EC4"/>
    <w:rsid w:val="42AD373B"/>
    <w:rsid w:val="42AD7B7C"/>
    <w:rsid w:val="42B814CF"/>
    <w:rsid w:val="42BA6A43"/>
    <w:rsid w:val="42C50623"/>
    <w:rsid w:val="42C536AC"/>
    <w:rsid w:val="42D114F0"/>
    <w:rsid w:val="42DC08A3"/>
    <w:rsid w:val="42DF597A"/>
    <w:rsid w:val="42E65F46"/>
    <w:rsid w:val="42F33ED6"/>
    <w:rsid w:val="42F659E2"/>
    <w:rsid w:val="42F81153"/>
    <w:rsid w:val="42F96F5F"/>
    <w:rsid w:val="42FE7D39"/>
    <w:rsid w:val="43044CCA"/>
    <w:rsid w:val="4305384A"/>
    <w:rsid w:val="430770A0"/>
    <w:rsid w:val="430916AD"/>
    <w:rsid w:val="4315538B"/>
    <w:rsid w:val="431C6385"/>
    <w:rsid w:val="431F4A6A"/>
    <w:rsid w:val="431F4DFA"/>
    <w:rsid w:val="43201971"/>
    <w:rsid w:val="43242181"/>
    <w:rsid w:val="4325445E"/>
    <w:rsid w:val="432F1AB2"/>
    <w:rsid w:val="4339320A"/>
    <w:rsid w:val="433966EB"/>
    <w:rsid w:val="433E232D"/>
    <w:rsid w:val="43412FC5"/>
    <w:rsid w:val="4343592D"/>
    <w:rsid w:val="434431CA"/>
    <w:rsid w:val="435732EB"/>
    <w:rsid w:val="4357657A"/>
    <w:rsid w:val="435C2B68"/>
    <w:rsid w:val="435C4793"/>
    <w:rsid w:val="43620EF0"/>
    <w:rsid w:val="43680AA7"/>
    <w:rsid w:val="43715D9E"/>
    <w:rsid w:val="43725BF2"/>
    <w:rsid w:val="437623EF"/>
    <w:rsid w:val="437742BE"/>
    <w:rsid w:val="437910A0"/>
    <w:rsid w:val="4379780B"/>
    <w:rsid w:val="438342C7"/>
    <w:rsid w:val="43886CD9"/>
    <w:rsid w:val="439060F9"/>
    <w:rsid w:val="43917185"/>
    <w:rsid w:val="43954B95"/>
    <w:rsid w:val="43963A12"/>
    <w:rsid w:val="43977AA4"/>
    <w:rsid w:val="43980987"/>
    <w:rsid w:val="439A4BF5"/>
    <w:rsid w:val="439E7629"/>
    <w:rsid w:val="43A43932"/>
    <w:rsid w:val="43A67E2A"/>
    <w:rsid w:val="43B10683"/>
    <w:rsid w:val="43B3577D"/>
    <w:rsid w:val="43B54A96"/>
    <w:rsid w:val="43B75FC3"/>
    <w:rsid w:val="43B9528A"/>
    <w:rsid w:val="43CB6D2F"/>
    <w:rsid w:val="43D1064D"/>
    <w:rsid w:val="43D57226"/>
    <w:rsid w:val="43D676A5"/>
    <w:rsid w:val="43D82A2C"/>
    <w:rsid w:val="43DA1735"/>
    <w:rsid w:val="43DD5DA6"/>
    <w:rsid w:val="43E42705"/>
    <w:rsid w:val="43E719E4"/>
    <w:rsid w:val="43EC0B6B"/>
    <w:rsid w:val="43EC6D38"/>
    <w:rsid w:val="43ED13B1"/>
    <w:rsid w:val="43F20DF6"/>
    <w:rsid w:val="43F2224F"/>
    <w:rsid w:val="43F373E4"/>
    <w:rsid w:val="43F50740"/>
    <w:rsid w:val="43FE1F7C"/>
    <w:rsid w:val="440046E4"/>
    <w:rsid w:val="44045C43"/>
    <w:rsid w:val="44072E23"/>
    <w:rsid w:val="44085609"/>
    <w:rsid w:val="44087D6D"/>
    <w:rsid w:val="440919A7"/>
    <w:rsid w:val="440922CA"/>
    <w:rsid w:val="440A4EB4"/>
    <w:rsid w:val="44122E4E"/>
    <w:rsid w:val="44154F83"/>
    <w:rsid w:val="4416154E"/>
    <w:rsid w:val="441E7D82"/>
    <w:rsid w:val="44246899"/>
    <w:rsid w:val="44263E2F"/>
    <w:rsid w:val="442F0115"/>
    <w:rsid w:val="442F7B9C"/>
    <w:rsid w:val="44306CEF"/>
    <w:rsid w:val="44336CA0"/>
    <w:rsid w:val="443529CA"/>
    <w:rsid w:val="443851FF"/>
    <w:rsid w:val="443B5150"/>
    <w:rsid w:val="443C2FA7"/>
    <w:rsid w:val="443C6ED5"/>
    <w:rsid w:val="443F028E"/>
    <w:rsid w:val="44442DFA"/>
    <w:rsid w:val="44452CE2"/>
    <w:rsid w:val="4446627A"/>
    <w:rsid w:val="4447295F"/>
    <w:rsid w:val="44483822"/>
    <w:rsid w:val="44516B9D"/>
    <w:rsid w:val="44606093"/>
    <w:rsid w:val="4462606E"/>
    <w:rsid w:val="446700CA"/>
    <w:rsid w:val="44675930"/>
    <w:rsid w:val="446B7C87"/>
    <w:rsid w:val="44751806"/>
    <w:rsid w:val="447B6D3A"/>
    <w:rsid w:val="447C2403"/>
    <w:rsid w:val="447F1170"/>
    <w:rsid w:val="448217E7"/>
    <w:rsid w:val="44847833"/>
    <w:rsid w:val="448F7D46"/>
    <w:rsid w:val="4496258B"/>
    <w:rsid w:val="449A08F1"/>
    <w:rsid w:val="449B1D13"/>
    <w:rsid w:val="449D2479"/>
    <w:rsid w:val="44A60A17"/>
    <w:rsid w:val="44A62246"/>
    <w:rsid w:val="44A7256D"/>
    <w:rsid w:val="44A773FC"/>
    <w:rsid w:val="44AB5DCE"/>
    <w:rsid w:val="44B179A6"/>
    <w:rsid w:val="44B63061"/>
    <w:rsid w:val="44B722CB"/>
    <w:rsid w:val="44B8540C"/>
    <w:rsid w:val="44B93EDE"/>
    <w:rsid w:val="44BD3FCB"/>
    <w:rsid w:val="44BE405E"/>
    <w:rsid w:val="44C448DF"/>
    <w:rsid w:val="44C80E81"/>
    <w:rsid w:val="44D2416D"/>
    <w:rsid w:val="44D3365C"/>
    <w:rsid w:val="44E4175D"/>
    <w:rsid w:val="44E43A76"/>
    <w:rsid w:val="44EC30A0"/>
    <w:rsid w:val="44EC4FF5"/>
    <w:rsid w:val="44F861D1"/>
    <w:rsid w:val="44F97696"/>
    <w:rsid w:val="44FD39B0"/>
    <w:rsid w:val="45025603"/>
    <w:rsid w:val="4505490A"/>
    <w:rsid w:val="450A6E31"/>
    <w:rsid w:val="45113E80"/>
    <w:rsid w:val="451477D2"/>
    <w:rsid w:val="45150CC6"/>
    <w:rsid w:val="45157C67"/>
    <w:rsid w:val="45165349"/>
    <w:rsid w:val="451F6A98"/>
    <w:rsid w:val="452011FF"/>
    <w:rsid w:val="45210E25"/>
    <w:rsid w:val="45257B5B"/>
    <w:rsid w:val="45267F29"/>
    <w:rsid w:val="4529095C"/>
    <w:rsid w:val="4531760F"/>
    <w:rsid w:val="4532540E"/>
    <w:rsid w:val="45337766"/>
    <w:rsid w:val="45390923"/>
    <w:rsid w:val="453F0065"/>
    <w:rsid w:val="454051FD"/>
    <w:rsid w:val="4544623F"/>
    <w:rsid w:val="454627AA"/>
    <w:rsid w:val="45493E8F"/>
    <w:rsid w:val="454957EF"/>
    <w:rsid w:val="454D395B"/>
    <w:rsid w:val="454E2803"/>
    <w:rsid w:val="454E3965"/>
    <w:rsid w:val="45511CAB"/>
    <w:rsid w:val="45523E8D"/>
    <w:rsid w:val="45573A8A"/>
    <w:rsid w:val="45574F44"/>
    <w:rsid w:val="45597A55"/>
    <w:rsid w:val="455B3BDF"/>
    <w:rsid w:val="455C10F8"/>
    <w:rsid w:val="45616B37"/>
    <w:rsid w:val="45620F5E"/>
    <w:rsid w:val="456C73C8"/>
    <w:rsid w:val="456E6D0F"/>
    <w:rsid w:val="45721966"/>
    <w:rsid w:val="45797BC2"/>
    <w:rsid w:val="457C2678"/>
    <w:rsid w:val="457D1CB6"/>
    <w:rsid w:val="457E5488"/>
    <w:rsid w:val="457E6EA8"/>
    <w:rsid w:val="457E70E7"/>
    <w:rsid w:val="45805439"/>
    <w:rsid w:val="45873268"/>
    <w:rsid w:val="458F6168"/>
    <w:rsid w:val="458F6BD8"/>
    <w:rsid w:val="459247E1"/>
    <w:rsid w:val="45991B86"/>
    <w:rsid w:val="459F0C96"/>
    <w:rsid w:val="459F2F41"/>
    <w:rsid w:val="459F3083"/>
    <w:rsid w:val="45A2132A"/>
    <w:rsid w:val="45A37978"/>
    <w:rsid w:val="45A50C83"/>
    <w:rsid w:val="45A8703D"/>
    <w:rsid w:val="45B24810"/>
    <w:rsid w:val="45BB6AC1"/>
    <w:rsid w:val="45BC243C"/>
    <w:rsid w:val="45BD2892"/>
    <w:rsid w:val="45CB639A"/>
    <w:rsid w:val="45CF11B0"/>
    <w:rsid w:val="45D2413F"/>
    <w:rsid w:val="45D35231"/>
    <w:rsid w:val="45D474FE"/>
    <w:rsid w:val="45D60EB8"/>
    <w:rsid w:val="45DB0057"/>
    <w:rsid w:val="45DB4BDA"/>
    <w:rsid w:val="45DF654E"/>
    <w:rsid w:val="45E0545C"/>
    <w:rsid w:val="45E1089A"/>
    <w:rsid w:val="45E53E78"/>
    <w:rsid w:val="45EC5A43"/>
    <w:rsid w:val="45F014BF"/>
    <w:rsid w:val="45F07961"/>
    <w:rsid w:val="45F15DFA"/>
    <w:rsid w:val="45F32DB3"/>
    <w:rsid w:val="45F34442"/>
    <w:rsid w:val="45F76776"/>
    <w:rsid w:val="45FB2B05"/>
    <w:rsid w:val="45FC6004"/>
    <w:rsid w:val="45FD50C4"/>
    <w:rsid w:val="45FF285E"/>
    <w:rsid w:val="46003FA8"/>
    <w:rsid w:val="46073424"/>
    <w:rsid w:val="46102C0A"/>
    <w:rsid w:val="4614018D"/>
    <w:rsid w:val="46162DFA"/>
    <w:rsid w:val="461B09CB"/>
    <w:rsid w:val="461E0AAE"/>
    <w:rsid w:val="461E7E57"/>
    <w:rsid w:val="4628511D"/>
    <w:rsid w:val="46324D30"/>
    <w:rsid w:val="463631F2"/>
    <w:rsid w:val="46364773"/>
    <w:rsid w:val="46427122"/>
    <w:rsid w:val="464475E0"/>
    <w:rsid w:val="46471541"/>
    <w:rsid w:val="464E3102"/>
    <w:rsid w:val="465176F8"/>
    <w:rsid w:val="465232FB"/>
    <w:rsid w:val="46551FF6"/>
    <w:rsid w:val="465E49AA"/>
    <w:rsid w:val="466A476D"/>
    <w:rsid w:val="4673612E"/>
    <w:rsid w:val="46774943"/>
    <w:rsid w:val="468B1A74"/>
    <w:rsid w:val="468E5E67"/>
    <w:rsid w:val="46903F7A"/>
    <w:rsid w:val="46905F60"/>
    <w:rsid w:val="469B293B"/>
    <w:rsid w:val="469C4184"/>
    <w:rsid w:val="469E2C70"/>
    <w:rsid w:val="46A04473"/>
    <w:rsid w:val="46A11AA8"/>
    <w:rsid w:val="46A207F2"/>
    <w:rsid w:val="46A41E3D"/>
    <w:rsid w:val="46A7029F"/>
    <w:rsid w:val="46A93F4B"/>
    <w:rsid w:val="46AC5436"/>
    <w:rsid w:val="46AF5695"/>
    <w:rsid w:val="46AF7AFE"/>
    <w:rsid w:val="46B34C6D"/>
    <w:rsid w:val="46B509D3"/>
    <w:rsid w:val="46B56152"/>
    <w:rsid w:val="46B5697E"/>
    <w:rsid w:val="46B62716"/>
    <w:rsid w:val="46D43F3B"/>
    <w:rsid w:val="46DA7BEC"/>
    <w:rsid w:val="46DE624A"/>
    <w:rsid w:val="46E41629"/>
    <w:rsid w:val="46EB162D"/>
    <w:rsid w:val="46EB350F"/>
    <w:rsid w:val="46F04A72"/>
    <w:rsid w:val="46F34A5E"/>
    <w:rsid w:val="46F4704E"/>
    <w:rsid w:val="46F717A1"/>
    <w:rsid w:val="46F779F0"/>
    <w:rsid w:val="46F97AB2"/>
    <w:rsid w:val="46FB52A9"/>
    <w:rsid w:val="46FB53E7"/>
    <w:rsid w:val="46FB697B"/>
    <w:rsid w:val="47001458"/>
    <w:rsid w:val="47044DDD"/>
    <w:rsid w:val="470654C0"/>
    <w:rsid w:val="47084F1D"/>
    <w:rsid w:val="470A2BD6"/>
    <w:rsid w:val="470A54AF"/>
    <w:rsid w:val="470B10ED"/>
    <w:rsid w:val="470D234E"/>
    <w:rsid w:val="470E2891"/>
    <w:rsid w:val="470F06EE"/>
    <w:rsid w:val="47142BFF"/>
    <w:rsid w:val="4726082F"/>
    <w:rsid w:val="472D4015"/>
    <w:rsid w:val="473337E4"/>
    <w:rsid w:val="4736702E"/>
    <w:rsid w:val="47394B9F"/>
    <w:rsid w:val="473A285E"/>
    <w:rsid w:val="473E0E8D"/>
    <w:rsid w:val="473E27CE"/>
    <w:rsid w:val="47402CCB"/>
    <w:rsid w:val="4748437D"/>
    <w:rsid w:val="47575FAD"/>
    <w:rsid w:val="475B5068"/>
    <w:rsid w:val="475C1887"/>
    <w:rsid w:val="476A1650"/>
    <w:rsid w:val="476A77F5"/>
    <w:rsid w:val="476C6CA2"/>
    <w:rsid w:val="476E47E7"/>
    <w:rsid w:val="477D40F9"/>
    <w:rsid w:val="477F1E93"/>
    <w:rsid w:val="47873F44"/>
    <w:rsid w:val="478B6FC5"/>
    <w:rsid w:val="478E0D78"/>
    <w:rsid w:val="478F1F75"/>
    <w:rsid w:val="47910A5C"/>
    <w:rsid w:val="479118DA"/>
    <w:rsid w:val="479232D7"/>
    <w:rsid w:val="47944826"/>
    <w:rsid w:val="479A0655"/>
    <w:rsid w:val="479E7329"/>
    <w:rsid w:val="47A01126"/>
    <w:rsid w:val="47A1772A"/>
    <w:rsid w:val="47A50920"/>
    <w:rsid w:val="47A71980"/>
    <w:rsid w:val="47A87315"/>
    <w:rsid w:val="47AD40F9"/>
    <w:rsid w:val="47AF75E0"/>
    <w:rsid w:val="47B31CCF"/>
    <w:rsid w:val="47B46EBC"/>
    <w:rsid w:val="47B65D22"/>
    <w:rsid w:val="47B669C1"/>
    <w:rsid w:val="47C04319"/>
    <w:rsid w:val="47C242B6"/>
    <w:rsid w:val="47C2463B"/>
    <w:rsid w:val="47C46DB6"/>
    <w:rsid w:val="47C515EC"/>
    <w:rsid w:val="47CA4577"/>
    <w:rsid w:val="47CC25C5"/>
    <w:rsid w:val="47CF6B18"/>
    <w:rsid w:val="47CF76AD"/>
    <w:rsid w:val="47D00D1A"/>
    <w:rsid w:val="47D16779"/>
    <w:rsid w:val="47D30C84"/>
    <w:rsid w:val="47D37AB3"/>
    <w:rsid w:val="47D93C28"/>
    <w:rsid w:val="47DD5875"/>
    <w:rsid w:val="47E13F0C"/>
    <w:rsid w:val="47E4122F"/>
    <w:rsid w:val="47E639F3"/>
    <w:rsid w:val="47EC777B"/>
    <w:rsid w:val="47F04F73"/>
    <w:rsid w:val="47F264A9"/>
    <w:rsid w:val="47F424B1"/>
    <w:rsid w:val="47F61875"/>
    <w:rsid w:val="47FC2E58"/>
    <w:rsid w:val="47FD1EC2"/>
    <w:rsid w:val="48011516"/>
    <w:rsid w:val="4801681D"/>
    <w:rsid w:val="480656F4"/>
    <w:rsid w:val="480B26EE"/>
    <w:rsid w:val="4820554D"/>
    <w:rsid w:val="4824101F"/>
    <w:rsid w:val="4825539C"/>
    <w:rsid w:val="4833445C"/>
    <w:rsid w:val="483A0B3F"/>
    <w:rsid w:val="483A0CDC"/>
    <w:rsid w:val="483D268F"/>
    <w:rsid w:val="48416A7A"/>
    <w:rsid w:val="48420B1D"/>
    <w:rsid w:val="48447FB5"/>
    <w:rsid w:val="48466BC3"/>
    <w:rsid w:val="48475E2A"/>
    <w:rsid w:val="484B46B5"/>
    <w:rsid w:val="484C2579"/>
    <w:rsid w:val="484C57BE"/>
    <w:rsid w:val="48534D64"/>
    <w:rsid w:val="48545BAC"/>
    <w:rsid w:val="485850A9"/>
    <w:rsid w:val="4865585D"/>
    <w:rsid w:val="48690146"/>
    <w:rsid w:val="48797DCE"/>
    <w:rsid w:val="487B07D9"/>
    <w:rsid w:val="48814046"/>
    <w:rsid w:val="48836D22"/>
    <w:rsid w:val="48845F28"/>
    <w:rsid w:val="48874728"/>
    <w:rsid w:val="488A50B5"/>
    <w:rsid w:val="488E654F"/>
    <w:rsid w:val="4892704D"/>
    <w:rsid w:val="48955543"/>
    <w:rsid w:val="489B0256"/>
    <w:rsid w:val="489E555C"/>
    <w:rsid w:val="48A01FD9"/>
    <w:rsid w:val="48AA31D1"/>
    <w:rsid w:val="48AD53BD"/>
    <w:rsid w:val="48B20FA1"/>
    <w:rsid w:val="48CE22FF"/>
    <w:rsid w:val="48D074EE"/>
    <w:rsid w:val="48D303B1"/>
    <w:rsid w:val="48DB13B0"/>
    <w:rsid w:val="48E162D0"/>
    <w:rsid w:val="48E92097"/>
    <w:rsid w:val="48E95618"/>
    <w:rsid w:val="48F31933"/>
    <w:rsid w:val="48F5314B"/>
    <w:rsid w:val="48F62AA2"/>
    <w:rsid w:val="48F72334"/>
    <w:rsid w:val="48F74B39"/>
    <w:rsid w:val="48FA2412"/>
    <w:rsid w:val="490205D9"/>
    <w:rsid w:val="49020B5F"/>
    <w:rsid w:val="490352AA"/>
    <w:rsid w:val="49041E76"/>
    <w:rsid w:val="49042AFF"/>
    <w:rsid w:val="490B6464"/>
    <w:rsid w:val="490C6181"/>
    <w:rsid w:val="490D3C2A"/>
    <w:rsid w:val="490D639A"/>
    <w:rsid w:val="49150013"/>
    <w:rsid w:val="49165B54"/>
    <w:rsid w:val="49224280"/>
    <w:rsid w:val="4923273C"/>
    <w:rsid w:val="492628AA"/>
    <w:rsid w:val="49276544"/>
    <w:rsid w:val="49286BC2"/>
    <w:rsid w:val="49311AEF"/>
    <w:rsid w:val="4931493F"/>
    <w:rsid w:val="49331A67"/>
    <w:rsid w:val="49374F4D"/>
    <w:rsid w:val="493F17AC"/>
    <w:rsid w:val="49403D7C"/>
    <w:rsid w:val="49437CC4"/>
    <w:rsid w:val="4949008E"/>
    <w:rsid w:val="494C2983"/>
    <w:rsid w:val="494D7BCD"/>
    <w:rsid w:val="494F4B0C"/>
    <w:rsid w:val="494F5737"/>
    <w:rsid w:val="49524F01"/>
    <w:rsid w:val="49533588"/>
    <w:rsid w:val="495372C5"/>
    <w:rsid w:val="496123FC"/>
    <w:rsid w:val="496C518C"/>
    <w:rsid w:val="496C6327"/>
    <w:rsid w:val="497037F6"/>
    <w:rsid w:val="49706E93"/>
    <w:rsid w:val="4971370F"/>
    <w:rsid w:val="49751CA8"/>
    <w:rsid w:val="49762596"/>
    <w:rsid w:val="497E7668"/>
    <w:rsid w:val="49801AA6"/>
    <w:rsid w:val="49864B0D"/>
    <w:rsid w:val="49903A75"/>
    <w:rsid w:val="4991448B"/>
    <w:rsid w:val="4992676C"/>
    <w:rsid w:val="49981F37"/>
    <w:rsid w:val="499A0E30"/>
    <w:rsid w:val="499B5D08"/>
    <w:rsid w:val="499F156D"/>
    <w:rsid w:val="499F2AE5"/>
    <w:rsid w:val="49A87812"/>
    <w:rsid w:val="49AB28E7"/>
    <w:rsid w:val="49AD32AE"/>
    <w:rsid w:val="49AF2CEA"/>
    <w:rsid w:val="49B3761F"/>
    <w:rsid w:val="49B500EE"/>
    <w:rsid w:val="49B66164"/>
    <w:rsid w:val="49B66BD1"/>
    <w:rsid w:val="49B66D0B"/>
    <w:rsid w:val="49D25528"/>
    <w:rsid w:val="49D45AB6"/>
    <w:rsid w:val="49D93A54"/>
    <w:rsid w:val="49DD0044"/>
    <w:rsid w:val="49DF49E4"/>
    <w:rsid w:val="49E30CFE"/>
    <w:rsid w:val="49EA71D5"/>
    <w:rsid w:val="49EB722B"/>
    <w:rsid w:val="49F36066"/>
    <w:rsid w:val="49F426A6"/>
    <w:rsid w:val="49F7198F"/>
    <w:rsid w:val="4A0371F0"/>
    <w:rsid w:val="4A0A565F"/>
    <w:rsid w:val="4A0B7A5D"/>
    <w:rsid w:val="4A0C3AB2"/>
    <w:rsid w:val="4A1102F7"/>
    <w:rsid w:val="4A132356"/>
    <w:rsid w:val="4A1C58DA"/>
    <w:rsid w:val="4A225C9C"/>
    <w:rsid w:val="4A234180"/>
    <w:rsid w:val="4A2A1D2C"/>
    <w:rsid w:val="4A2A44AB"/>
    <w:rsid w:val="4A2C3EB5"/>
    <w:rsid w:val="4A2E487F"/>
    <w:rsid w:val="4A30297D"/>
    <w:rsid w:val="4A32033B"/>
    <w:rsid w:val="4A356998"/>
    <w:rsid w:val="4A3931DB"/>
    <w:rsid w:val="4A3A0C7B"/>
    <w:rsid w:val="4A3A2723"/>
    <w:rsid w:val="4A4930C4"/>
    <w:rsid w:val="4A4A4CDA"/>
    <w:rsid w:val="4A506D96"/>
    <w:rsid w:val="4A552B82"/>
    <w:rsid w:val="4A623F54"/>
    <w:rsid w:val="4A637197"/>
    <w:rsid w:val="4A693977"/>
    <w:rsid w:val="4A6C1106"/>
    <w:rsid w:val="4A6F3659"/>
    <w:rsid w:val="4A6F7B08"/>
    <w:rsid w:val="4A72430C"/>
    <w:rsid w:val="4A725674"/>
    <w:rsid w:val="4A733227"/>
    <w:rsid w:val="4A756F34"/>
    <w:rsid w:val="4A774207"/>
    <w:rsid w:val="4A7E32F5"/>
    <w:rsid w:val="4A800FC7"/>
    <w:rsid w:val="4A82558F"/>
    <w:rsid w:val="4A840BC0"/>
    <w:rsid w:val="4A8F6EDA"/>
    <w:rsid w:val="4A977423"/>
    <w:rsid w:val="4A993CD8"/>
    <w:rsid w:val="4A9D3F04"/>
    <w:rsid w:val="4A9F2550"/>
    <w:rsid w:val="4A9F517B"/>
    <w:rsid w:val="4AA5030A"/>
    <w:rsid w:val="4AA6390D"/>
    <w:rsid w:val="4AAA2AE7"/>
    <w:rsid w:val="4AAB7C8D"/>
    <w:rsid w:val="4AAD16A2"/>
    <w:rsid w:val="4AAD2433"/>
    <w:rsid w:val="4AD02D9B"/>
    <w:rsid w:val="4AD34942"/>
    <w:rsid w:val="4AD50FF6"/>
    <w:rsid w:val="4ADA2942"/>
    <w:rsid w:val="4ADB0F89"/>
    <w:rsid w:val="4ADC2611"/>
    <w:rsid w:val="4ADE063F"/>
    <w:rsid w:val="4AE0335D"/>
    <w:rsid w:val="4AE94009"/>
    <w:rsid w:val="4AE96FAA"/>
    <w:rsid w:val="4AEC26D2"/>
    <w:rsid w:val="4AF43085"/>
    <w:rsid w:val="4AF8361F"/>
    <w:rsid w:val="4AFB0924"/>
    <w:rsid w:val="4AFB7BC8"/>
    <w:rsid w:val="4B084B9A"/>
    <w:rsid w:val="4B0E2287"/>
    <w:rsid w:val="4B0F6901"/>
    <w:rsid w:val="4B1551F7"/>
    <w:rsid w:val="4B171238"/>
    <w:rsid w:val="4B183D86"/>
    <w:rsid w:val="4B1A49BA"/>
    <w:rsid w:val="4B1C35F7"/>
    <w:rsid w:val="4B1F14DF"/>
    <w:rsid w:val="4B221E4D"/>
    <w:rsid w:val="4B233E29"/>
    <w:rsid w:val="4B24780F"/>
    <w:rsid w:val="4B2B7A3C"/>
    <w:rsid w:val="4B317609"/>
    <w:rsid w:val="4B331E85"/>
    <w:rsid w:val="4B3F2A14"/>
    <w:rsid w:val="4B416323"/>
    <w:rsid w:val="4B4C3882"/>
    <w:rsid w:val="4B4C66C4"/>
    <w:rsid w:val="4B4E077F"/>
    <w:rsid w:val="4B4E13AC"/>
    <w:rsid w:val="4B5405D1"/>
    <w:rsid w:val="4B5B3FC2"/>
    <w:rsid w:val="4B5B6C7E"/>
    <w:rsid w:val="4B5D7215"/>
    <w:rsid w:val="4B67719E"/>
    <w:rsid w:val="4B8513E1"/>
    <w:rsid w:val="4B89768F"/>
    <w:rsid w:val="4B8D3D2F"/>
    <w:rsid w:val="4B8F0F5E"/>
    <w:rsid w:val="4B8F53EC"/>
    <w:rsid w:val="4B9977BC"/>
    <w:rsid w:val="4B9E26D6"/>
    <w:rsid w:val="4BA12C62"/>
    <w:rsid w:val="4BA6503C"/>
    <w:rsid w:val="4BA95D0C"/>
    <w:rsid w:val="4BAB20E2"/>
    <w:rsid w:val="4BAB2531"/>
    <w:rsid w:val="4BAC44C1"/>
    <w:rsid w:val="4BB34108"/>
    <w:rsid w:val="4BB83330"/>
    <w:rsid w:val="4BC0268B"/>
    <w:rsid w:val="4BC16A7B"/>
    <w:rsid w:val="4BC318BB"/>
    <w:rsid w:val="4BC4124B"/>
    <w:rsid w:val="4BC52563"/>
    <w:rsid w:val="4BC7624C"/>
    <w:rsid w:val="4BCA2DA8"/>
    <w:rsid w:val="4BCD26E9"/>
    <w:rsid w:val="4BCF5099"/>
    <w:rsid w:val="4BCF70A9"/>
    <w:rsid w:val="4BD00B1E"/>
    <w:rsid w:val="4BD13CE1"/>
    <w:rsid w:val="4BD178E0"/>
    <w:rsid w:val="4BD833BA"/>
    <w:rsid w:val="4BDA55E6"/>
    <w:rsid w:val="4BDB4C83"/>
    <w:rsid w:val="4BE1572C"/>
    <w:rsid w:val="4BE3080A"/>
    <w:rsid w:val="4BE91C63"/>
    <w:rsid w:val="4BEA38EC"/>
    <w:rsid w:val="4BF54499"/>
    <w:rsid w:val="4BF929E4"/>
    <w:rsid w:val="4C033019"/>
    <w:rsid w:val="4C051FCE"/>
    <w:rsid w:val="4C0B2D98"/>
    <w:rsid w:val="4C103898"/>
    <w:rsid w:val="4C11586F"/>
    <w:rsid w:val="4C135E8C"/>
    <w:rsid w:val="4C1D0426"/>
    <w:rsid w:val="4C1D3446"/>
    <w:rsid w:val="4C1E0515"/>
    <w:rsid w:val="4C204CD3"/>
    <w:rsid w:val="4C270935"/>
    <w:rsid w:val="4C2861B1"/>
    <w:rsid w:val="4C2A4755"/>
    <w:rsid w:val="4C341D0D"/>
    <w:rsid w:val="4C3A63DE"/>
    <w:rsid w:val="4C3B708B"/>
    <w:rsid w:val="4C3E5ACD"/>
    <w:rsid w:val="4C501D6C"/>
    <w:rsid w:val="4C530D48"/>
    <w:rsid w:val="4C56309E"/>
    <w:rsid w:val="4C5666D0"/>
    <w:rsid w:val="4C574539"/>
    <w:rsid w:val="4C595522"/>
    <w:rsid w:val="4C6731CB"/>
    <w:rsid w:val="4C753233"/>
    <w:rsid w:val="4C767E86"/>
    <w:rsid w:val="4C772FAB"/>
    <w:rsid w:val="4C7F5E92"/>
    <w:rsid w:val="4C801F33"/>
    <w:rsid w:val="4C824685"/>
    <w:rsid w:val="4C832492"/>
    <w:rsid w:val="4C893850"/>
    <w:rsid w:val="4C8A6A5B"/>
    <w:rsid w:val="4C8C1D2F"/>
    <w:rsid w:val="4CA67057"/>
    <w:rsid w:val="4CA73E1B"/>
    <w:rsid w:val="4CA80761"/>
    <w:rsid w:val="4CAB3F7A"/>
    <w:rsid w:val="4CB1795D"/>
    <w:rsid w:val="4CB4609E"/>
    <w:rsid w:val="4CB77209"/>
    <w:rsid w:val="4CBE0801"/>
    <w:rsid w:val="4CD54509"/>
    <w:rsid w:val="4CD74605"/>
    <w:rsid w:val="4CDC7D27"/>
    <w:rsid w:val="4CDE555B"/>
    <w:rsid w:val="4CE04B69"/>
    <w:rsid w:val="4CEB0818"/>
    <w:rsid w:val="4CEE5FA5"/>
    <w:rsid w:val="4CEF5BA8"/>
    <w:rsid w:val="4CF278A7"/>
    <w:rsid w:val="4CF74211"/>
    <w:rsid w:val="4CF81F9A"/>
    <w:rsid w:val="4CFB768F"/>
    <w:rsid w:val="4CFC427D"/>
    <w:rsid w:val="4CFE489A"/>
    <w:rsid w:val="4D013D4E"/>
    <w:rsid w:val="4D023167"/>
    <w:rsid w:val="4D024E76"/>
    <w:rsid w:val="4D08023B"/>
    <w:rsid w:val="4D0A3D7E"/>
    <w:rsid w:val="4D0A5F15"/>
    <w:rsid w:val="4D1224DC"/>
    <w:rsid w:val="4D1464C3"/>
    <w:rsid w:val="4D15380D"/>
    <w:rsid w:val="4D1A1283"/>
    <w:rsid w:val="4D1B6E8A"/>
    <w:rsid w:val="4D1C0555"/>
    <w:rsid w:val="4D212044"/>
    <w:rsid w:val="4D240F10"/>
    <w:rsid w:val="4D294D1D"/>
    <w:rsid w:val="4D2B0204"/>
    <w:rsid w:val="4D370163"/>
    <w:rsid w:val="4D3706AE"/>
    <w:rsid w:val="4D382D9F"/>
    <w:rsid w:val="4D3A52A8"/>
    <w:rsid w:val="4D3F0B8F"/>
    <w:rsid w:val="4D3F4FD5"/>
    <w:rsid w:val="4D407846"/>
    <w:rsid w:val="4D412F1A"/>
    <w:rsid w:val="4D457D02"/>
    <w:rsid w:val="4D474E17"/>
    <w:rsid w:val="4D4F6726"/>
    <w:rsid w:val="4D5251C4"/>
    <w:rsid w:val="4D530096"/>
    <w:rsid w:val="4D615825"/>
    <w:rsid w:val="4D6475DB"/>
    <w:rsid w:val="4D6C07AD"/>
    <w:rsid w:val="4D6C6BB0"/>
    <w:rsid w:val="4D7A25AC"/>
    <w:rsid w:val="4D7A53AC"/>
    <w:rsid w:val="4D7C0EF3"/>
    <w:rsid w:val="4D7E76F7"/>
    <w:rsid w:val="4D8600C3"/>
    <w:rsid w:val="4D862019"/>
    <w:rsid w:val="4D887980"/>
    <w:rsid w:val="4D8D065C"/>
    <w:rsid w:val="4D9176B7"/>
    <w:rsid w:val="4D9747D5"/>
    <w:rsid w:val="4DA170AE"/>
    <w:rsid w:val="4DA31294"/>
    <w:rsid w:val="4DA36273"/>
    <w:rsid w:val="4DA410F8"/>
    <w:rsid w:val="4DA76185"/>
    <w:rsid w:val="4DA9476B"/>
    <w:rsid w:val="4DAC1323"/>
    <w:rsid w:val="4DB4792B"/>
    <w:rsid w:val="4DB61B40"/>
    <w:rsid w:val="4DC859C8"/>
    <w:rsid w:val="4DCA58DC"/>
    <w:rsid w:val="4DCC0152"/>
    <w:rsid w:val="4DCC2ADA"/>
    <w:rsid w:val="4DCC6395"/>
    <w:rsid w:val="4DDD2C45"/>
    <w:rsid w:val="4DDF56D2"/>
    <w:rsid w:val="4DF24079"/>
    <w:rsid w:val="4DF67286"/>
    <w:rsid w:val="4DF936AB"/>
    <w:rsid w:val="4DFB4623"/>
    <w:rsid w:val="4E0104A3"/>
    <w:rsid w:val="4E02346C"/>
    <w:rsid w:val="4E0741AC"/>
    <w:rsid w:val="4E143468"/>
    <w:rsid w:val="4E1468FF"/>
    <w:rsid w:val="4E153208"/>
    <w:rsid w:val="4E1717E5"/>
    <w:rsid w:val="4E2351D9"/>
    <w:rsid w:val="4E253A5A"/>
    <w:rsid w:val="4E2812AE"/>
    <w:rsid w:val="4E28773C"/>
    <w:rsid w:val="4E2C416D"/>
    <w:rsid w:val="4E332B7E"/>
    <w:rsid w:val="4E3411F9"/>
    <w:rsid w:val="4E385B72"/>
    <w:rsid w:val="4E395339"/>
    <w:rsid w:val="4E3C3C28"/>
    <w:rsid w:val="4E3C7663"/>
    <w:rsid w:val="4E460D30"/>
    <w:rsid w:val="4E4C2CC6"/>
    <w:rsid w:val="4E5D3AED"/>
    <w:rsid w:val="4E5F6AE3"/>
    <w:rsid w:val="4E6A0BBA"/>
    <w:rsid w:val="4E6C1B6B"/>
    <w:rsid w:val="4E6E29DF"/>
    <w:rsid w:val="4E7145C3"/>
    <w:rsid w:val="4E715BC0"/>
    <w:rsid w:val="4E753357"/>
    <w:rsid w:val="4E7805F9"/>
    <w:rsid w:val="4E7C546B"/>
    <w:rsid w:val="4E7E1984"/>
    <w:rsid w:val="4E7F0FC9"/>
    <w:rsid w:val="4E8125F6"/>
    <w:rsid w:val="4E822440"/>
    <w:rsid w:val="4E846283"/>
    <w:rsid w:val="4E884286"/>
    <w:rsid w:val="4E887194"/>
    <w:rsid w:val="4E916F80"/>
    <w:rsid w:val="4E92193E"/>
    <w:rsid w:val="4E947EF2"/>
    <w:rsid w:val="4E9B43B9"/>
    <w:rsid w:val="4EA2316F"/>
    <w:rsid w:val="4EAF5E98"/>
    <w:rsid w:val="4EB073B2"/>
    <w:rsid w:val="4EB53C33"/>
    <w:rsid w:val="4EB57ADD"/>
    <w:rsid w:val="4EB7276E"/>
    <w:rsid w:val="4EBB675D"/>
    <w:rsid w:val="4EBC4018"/>
    <w:rsid w:val="4EBD28B1"/>
    <w:rsid w:val="4EC5454E"/>
    <w:rsid w:val="4EC87A02"/>
    <w:rsid w:val="4ECB082B"/>
    <w:rsid w:val="4ECD0323"/>
    <w:rsid w:val="4ECE19F7"/>
    <w:rsid w:val="4ECE26DD"/>
    <w:rsid w:val="4ED46069"/>
    <w:rsid w:val="4ED9072E"/>
    <w:rsid w:val="4EDA7EEB"/>
    <w:rsid w:val="4EDD4051"/>
    <w:rsid w:val="4EE11F44"/>
    <w:rsid w:val="4EE21D04"/>
    <w:rsid w:val="4EE66DC4"/>
    <w:rsid w:val="4EE75202"/>
    <w:rsid w:val="4EEB0267"/>
    <w:rsid w:val="4EF05E9A"/>
    <w:rsid w:val="4EF676AB"/>
    <w:rsid w:val="4EF85F92"/>
    <w:rsid w:val="4EF96117"/>
    <w:rsid w:val="4EFF2DCA"/>
    <w:rsid w:val="4F062AD6"/>
    <w:rsid w:val="4F0B040E"/>
    <w:rsid w:val="4F0C33E5"/>
    <w:rsid w:val="4F1C3BC6"/>
    <w:rsid w:val="4F221FC4"/>
    <w:rsid w:val="4F246533"/>
    <w:rsid w:val="4F262F38"/>
    <w:rsid w:val="4F281938"/>
    <w:rsid w:val="4F290CE8"/>
    <w:rsid w:val="4F2C7065"/>
    <w:rsid w:val="4F2F0B31"/>
    <w:rsid w:val="4F2F1ED0"/>
    <w:rsid w:val="4F2F5036"/>
    <w:rsid w:val="4F311189"/>
    <w:rsid w:val="4F316E23"/>
    <w:rsid w:val="4F3A7D55"/>
    <w:rsid w:val="4F406DBC"/>
    <w:rsid w:val="4F4367CB"/>
    <w:rsid w:val="4F4A249D"/>
    <w:rsid w:val="4F5177A1"/>
    <w:rsid w:val="4F5C64D6"/>
    <w:rsid w:val="4F6106BB"/>
    <w:rsid w:val="4F611881"/>
    <w:rsid w:val="4F642623"/>
    <w:rsid w:val="4F657C14"/>
    <w:rsid w:val="4F6A4587"/>
    <w:rsid w:val="4F6D0A8E"/>
    <w:rsid w:val="4F782505"/>
    <w:rsid w:val="4F7B4630"/>
    <w:rsid w:val="4F7C3D5F"/>
    <w:rsid w:val="4F805A97"/>
    <w:rsid w:val="4F8062B8"/>
    <w:rsid w:val="4F807079"/>
    <w:rsid w:val="4F8B6B74"/>
    <w:rsid w:val="4F916B77"/>
    <w:rsid w:val="4F9713E2"/>
    <w:rsid w:val="4FA25402"/>
    <w:rsid w:val="4FA83623"/>
    <w:rsid w:val="4FAB03EC"/>
    <w:rsid w:val="4FAC5E1C"/>
    <w:rsid w:val="4FAD553F"/>
    <w:rsid w:val="4FB166BF"/>
    <w:rsid w:val="4FB600F9"/>
    <w:rsid w:val="4FB81F0B"/>
    <w:rsid w:val="4FB930C3"/>
    <w:rsid w:val="4FB96FE1"/>
    <w:rsid w:val="4FC2009E"/>
    <w:rsid w:val="4FC87C89"/>
    <w:rsid w:val="4FCE3D00"/>
    <w:rsid w:val="4FD15E4B"/>
    <w:rsid w:val="4FD214C8"/>
    <w:rsid w:val="4FD40701"/>
    <w:rsid w:val="4FD6728F"/>
    <w:rsid w:val="4FDB7905"/>
    <w:rsid w:val="4FE43A5B"/>
    <w:rsid w:val="4FE563FE"/>
    <w:rsid w:val="4FEC61C7"/>
    <w:rsid w:val="4FF5064E"/>
    <w:rsid w:val="4FF5731B"/>
    <w:rsid w:val="4FFA6C80"/>
    <w:rsid w:val="4FFC1421"/>
    <w:rsid w:val="50014A2F"/>
    <w:rsid w:val="5003793D"/>
    <w:rsid w:val="50047757"/>
    <w:rsid w:val="500A64F3"/>
    <w:rsid w:val="500B2082"/>
    <w:rsid w:val="500C19D8"/>
    <w:rsid w:val="500E368B"/>
    <w:rsid w:val="50161869"/>
    <w:rsid w:val="50284089"/>
    <w:rsid w:val="502B276C"/>
    <w:rsid w:val="502B7D65"/>
    <w:rsid w:val="502F59C7"/>
    <w:rsid w:val="503957FC"/>
    <w:rsid w:val="503A39E5"/>
    <w:rsid w:val="503C5CF8"/>
    <w:rsid w:val="503E3519"/>
    <w:rsid w:val="50430BCF"/>
    <w:rsid w:val="5048185E"/>
    <w:rsid w:val="50506C44"/>
    <w:rsid w:val="50532AFF"/>
    <w:rsid w:val="5057384C"/>
    <w:rsid w:val="505E14BD"/>
    <w:rsid w:val="505E628B"/>
    <w:rsid w:val="50614881"/>
    <w:rsid w:val="50623AFA"/>
    <w:rsid w:val="50636AD5"/>
    <w:rsid w:val="506377DC"/>
    <w:rsid w:val="506C5E25"/>
    <w:rsid w:val="506C6C09"/>
    <w:rsid w:val="506F1BFD"/>
    <w:rsid w:val="50710CAA"/>
    <w:rsid w:val="50721465"/>
    <w:rsid w:val="50761B15"/>
    <w:rsid w:val="507C288A"/>
    <w:rsid w:val="508261F4"/>
    <w:rsid w:val="50840DB1"/>
    <w:rsid w:val="5088228F"/>
    <w:rsid w:val="508A2470"/>
    <w:rsid w:val="508A7673"/>
    <w:rsid w:val="508D7E21"/>
    <w:rsid w:val="508E3A56"/>
    <w:rsid w:val="50946A0A"/>
    <w:rsid w:val="50951428"/>
    <w:rsid w:val="50966443"/>
    <w:rsid w:val="50966795"/>
    <w:rsid w:val="50B0787E"/>
    <w:rsid w:val="50B37835"/>
    <w:rsid w:val="50B74634"/>
    <w:rsid w:val="50C147AC"/>
    <w:rsid w:val="50C802F2"/>
    <w:rsid w:val="50C9580D"/>
    <w:rsid w:val="50D27367"/>
    <w:rsid w:val="50D86D98"/>
    <w:rsid w:val="50D91D5A"/>
    <w:rsid w:val="50DA7DA0"/>
    <w:rsid w:val="50E133D4"/>
    <w:rsid w:val="50E47E01"/>
    <w:rsid w:val="50ED43C0"/>
    <w:rsid w:val="50ED646D"/>
    <w:rsid w:val="50EE4087"/>
    <w:rsid w:val="50EF0EBD"/>
    <w:rsid w:val="50F4183C"/>
    <w:rsid w:val="50F700F4"/>
    <w:rsid w:val="50FD3E9B"/>
    <w:rsid w:val="50FE544C"/>
    <w:rsid w:val="50FF63DC"/>
    <w:rsid w:val="51022FA1"/>
    <w:rsid w:val="510412FF"/>
    <w:rsid w:val="5105783F"/>
    <w:rsid w:val="51057D66"/>
    <w:rsid w:val="510636F7"/>
    <w:rsid w:val="51076CE4"/>
    <w:rsid w:val="510D4F6B"/>
    <w:rsid w:val="510D5E61"/>
    <w:rsid w:val="511640CD"/>
    <w:rsid w:val="51183E93"/>
    <w:rsid w:val="5127548F"/>
    <w:rsid w:val="512844B0"/>
    <w:rsid w:val="51294BEF"/>
    <w:rsid w:val="512E5BB8"/>
    <w:rsid w:val="512E72CC"/>
    <w:rsid w:val="512E75CE"/>
    <w:rsid w:val="51355870"/>
    <w:rsid w:val="513C18CE"/>
    <w:rsid w:val="513D073B"/>
    <w:rsid w:val="51421825"/>
    <w:rsid w:val="5144250F"/>
    <w:rsid w:val="51444EA8"/>
    <w:rsid w:val="51457C64"/>
    <w:rsid w:val="51490D91"/>
    <w:rsid w:val="514C796A"/>
    <w:rsid w:val="514D5BEE"/>
    <w:rsid w:val="514D7152"/>
    <w:rsid w:val="515077AB"/>
    <w:rsid w:val="51541509"/>
    <w:rsid w:val="51545321"/>
    <w:rsid w:val="515E1C1A"/>
    <w:rsid w:val="51664116"/>
    <w:rsid w:val="516F298B"/>
    <w:rsid w:val="51733006"/>
    <w:rsid w:val="51733F39"/>
    <w:rsid w:val="517535D0"/>
    <w:rsid w:val="51791FED"/>
    <w:rsid w:val="517E4AC6"/>
    <w:rsid w:val="517F3CB6"/>
    <w:rsid w:val="518116AF"/>
    <w:rsid w:val="51876140"/>
    <w:rsid w:val="518E5AC6"/>
    <w:rsid w:val="51926EC2"/>
    <w:rsid w:val="51A07646"/>
    <w:rsid w:val="51A56CA7"/>
    <w:rsid w:val="51AD2442"/>
    <w:rsid w:val="51AD4616"/>
    <w:rsid w:val="51B9159E"/>
    <w:rsid w:val="51BC2FCA"/>
    <w:rsid w:val="51C643C9"/>
    <w:rsid w:val="51C81534"/>
    <w:rsid w:val="51C84653"/>
    <w:rsid w:val="51CE2231"/>
    <w:rsid w:val="51CF31F7"/>
    <w:rsid w:val="51D155AB"/>
    <w:rsid w:val="51DB1BE4"/>
    <w:rsid w:val="51E112A0"/>
    <w:rsid w:val="51E119BA"/>
    <w:rsid w:val="51E26519"/>
    <w:rsid w:val="51E63C6B"/>
    <w:rsid w:val="51E84BCA"/>
    <w:rsid w:val="51F6560C"/>
    <w:rsid w:val="5200677A"/>
    <w:rsid w:val="52063482"/>
    <w:rsid w:val="52076B1F"/>
    <w:rsid w:val="520A11E7"/>
    <w:rsid w:val="520C749F"/>
    <w:rsid w:val="520D6099"/>
    <w:rsid w:val="52145203"/>
    <w:rsid w:val="52176174"/>
    <w:rsid w:val="521B0AD7"/>
    <w:rsid w:val="521B59A9"/>
    <w:rsid w:val="522024C8"/>
    <w:rsid w:val="52215E27"/>
    <w:rsid w:val="52217036"/>
    <w:rsid w:val="52245AB2"/>
    <w:rsid w:val="52274F98"/>
    <w:rsid w:val="5229379E"/>
    <w:rsid w:val="522B386F"/>
    <w:rsid w:val="522B6A57"/>
    <w:rsid w:val="522C7CBE"/>
    <w:rsid w:val="522E1C05"/>
    <w:rsid w:val="52345C97"/>
    <w:rsid w:val="523730DB"/>
    <w:rsid w:val="5239054B"/>
    <w:rsid w:val="52396FA3"/>
    <w:rsid w:val="52436742"/>
    <w:rsid w:val="52442608"/>
    <w:rsid w:val="52462768"/>
    <w:rsid w:val="524A0549"/>
    <w:rsid w:val="525304C5"/>
    <w:rsid w:val="52576468"/>
    <w:rsid w:val="52583116"/>
    <w:rsid w:val="52587DC4"/>
    <w:rsid w:val="52595878"/>
    <w:rsid w:val="525A3F7A"/>
    <w:rsid w:val="525B5B90"/>
    <w:rsid w:val="526332ED"/>
    <w:rsid w:val="526472D6"/>
    <w:rsid w:val="526B583A"/>
    <w:rsid w:val="52722EDE"/>
    <w:rsid w:val="52752869"/>
    <w:rsid w:val="52756922"/>
    <w:rsid w:val="527A653C"/>
    <w:rsid w:val="528406B3"/>
    <w:rsid w:val="528A137C"/>
    <w:rsid w:val="52941AF7"/>
    <w:rsid w:val="529712E2"/>
    <w:rsid w:val="529746A1"/>
    <w:rsid w:val="529939E5"/>
    <w:rsid w:val="529A650F"/>
    <w:rsid w:val="529C1B49"/>
    <w:rsid w:val="529F074D"/>
    <w:rsid w:val="52A81130"/>
    <w:rsid w:val="52A90978"/>
    <w:rsid w:val="52B1630A"/>
    <w:rsid w:val="52B669AF"/>
    <w:rsid w:val="52BA0AF8"/>
    <w:rsid w:val="52BC022A"/>
    <w:rsid w:val="52C13C6B"/>
    <w:rsid w:val="52C36F57"/>
    <w:rsid w:val="52C6322E"/>
    <w:rsid w:val="52C967C5"/>
    <w:rsid w:val="52CA50D0"/>
    <w:rsid w:val="52CC66B4"/>
    <w:rsid w:val="52CF0CD1"/>
    <w:rsid w:val="52DB2C9A"/>
    <w:rsid w:val="52E114B1"/>
    <w:rsid w:val="52E17A0F"/>
    <w:rsid w:val="52E84C7C"/>
    <w:rsid w:val="52EA6C06"/>
    <w:rsid w:val="52EC78BB"/>
    <w:rsid w:val="52F20102"/>
    <w:rsid w:val="52F24DCD"/>
    <w:rsid w:val="52FE6FE5"/>
    <w:rsid w:val="53016DFA"/>
    <w:rsid w:val="53022EE5"/>
    <w:rsid w:val="53030B67"/>
    <w:rsid w:val="53032524"/>
    <w:rsid w:val="5303361B"/>
    <w:rsid w:val="5304427D"/>
    <w:rsid w:val="530A192B"/>
    <w:rsid w:val="530D6D86"/>
    <w:rsid w:val="530E6657"/>
    <w:rsid w:val="53117258"/>
    <w:rsid w:val="53154F4A"/>
    <w:rsid w:val="5318074B"/>
    <w:rsid w:val="53276B1D"/>
    <w:rsid w:val="532F0866"/>
    <w:rsid w:val="533A0CBD"/>
    <w:rsid w:val="533F16FA"/>
    <w:rsid w:val="534125F4"/>
    <w:rsid w:val="53450B98"/>
    <w:rsid w:val="53470DD0"/>
    <w:rsid w:val="534A2207"/>
    <w:rsid w:val="535144D5"/>
    <w:rsid w:val="535376FA"/>
    <w:rsid w:val="5354745D"/>
    <w:rsid w:val="535500FD"/>
    <w:rsid w:val="535D2544"/>
    <w:rsid w:val="535E519C"/>
    <w:rsid w:val="53674F9C"/>
    <w:rsid w:val="53683BE8"/>
    <w:rsid w:val="53686FFA"/>
    <w:rsid w:val="53696FBE"/>
    <w:rsid w:val="5369701E"/>
    <w:rsid w:val="53724261"/>
    <w:rsid w:val="537327FB"/>
    <w:rsid w:val="5375158F"/>
    <w:rsid w:val="53761179"/>
    <w:rsid w:val="5379788F"/>
    <w:rsid w:val="538E4A6F"/>
    <w:rsid w:val="538F5EBA"/>
    <w:rsid w:val="53922401"/>
    <w:rsid w:val="539737B9"/>
    <w:rsid w:val="5398217D"/>
    <w:rsid w:val="539D171F"/>
    <w:rsid w:val="539D7168"/>
    <w:rsid w:val="53A20A39"/>
    <w:rsid w:val="53A91C19"/>
    <w:rsid w:val="53AD0738"/>
    <w:rsid w:val="53B21E93"/>
    <w:rsid w:val="53B906ED"/>
    <w:rsid w:val="53C5127B"/>
    <w:rsid w:val="53C6558A"/>
    <w:rsid w:val="53C670A5"/>
    <w:rsid w:val="53C76E6B"/>
    <w:rsid w:val="53D01B1C"/>
    <w:rsid w:val="53D634E8"/>
    <w:rsid w:val="53D770AF"/>
    <w:rsid w:val="53D94D26"/>
    <w:rsid w:val="53DF09BE"/>
    <w:rsid w:val="53DF1026"/>
    <w:rsid w:val="53DF66B1"/>
    <w:rsid w:val="53E37174"/>
    <w:rsid w:val="53E4576C"/>
    <w:rsid w:val="53E53E89"/>
    <w:rsid w:val="53E7229E"/>
    <w:rsid w:val="53EE4E8C"/>
    <w:rsid w:val="53EF58BB"/>
    <w:rsid w:val="54004ADF"/>
    <w:rsid w:val="540445B7"/>
    <w:rsid w:val="540934D3"/>
    <w:rsid w:val="540E2CD2"/>
    <w:rsid w:val="540E7BB7"/>
    <w:rsid w:val="54106745"/>
    <w:rsid w:val="5412271D"/>
    <w:rsid w:val="541569DF"/>
    <w:rsid w:val="54163B78"/>
    <w:rsid w:val="541918D7"/>
    <w:rsid w:val="54262F31"/>
    <w:rsid w:val="542D3D36"/>
    <w:rsid w:val="54304D21"/>
    <w:rsid w:val="54305409"/>
    <w:rsid w:val="5433265A"/>
    <w:rsid w:val="54372392"/>
    <w:rsid w:val="54390E13"/>
    <w:rsid w:val="543A23F1"/>
    <w:rsid w:val="543A7CB2"/>
    <w:rsid w:val="543B3331"/>
    <w:rsid w:val="543D48A9"/>
    <w:rsid w:val="5442348D"/>
    <w:rsid w:val="54423681"/>
    <w:rsid w:val="54455034"/>
    <w:rsid w:val="544B19D9"/>
    <w:rsid w:val="544B28F5"/>
    <w:rsid w:val="544C1342"/>
    <w:rsid w:val="544E31E1"/>
    <w:rsid w:val="54530B36"/>
    <w:rsid w:val="54553E5C"/>
    <w:rsid w:val="54585253"/>
    <w:rsid w:val="545B1B39"/>
    <w:rsid w:val="545D0832"/>
    <w:rsid w:val="54602BA8"/>
    <w:rsid w:val="54604497"/>
    <w:rsid w:val="546406D1"/>
    <w:rsid w:val="54653174"/>
    <w:rsid w:val="54687265"/>
    <w:rsid w:val="546B3B61"/>
    <w:rsid w:val="546C467E"/>
    <w:rsid w:val="546C7B0D"/>
    <w:rsid w:val="546E1281"/>
    <w:rsid w:val="546E6168"/>
    <w:rsid w:val="54707F66"/>
    <w:rsid w:val="54737806"/>
    <w:rsid w:val="54750108"/>
    <w:rsid w:val="547828F0"/>
    <w:rsid w:val="54784A1E"/>
    <w:rsid w:val="54803854"/>
    <w:rsid w:val="54886B7E"/>
    <w:rsid w:val="54886D62"/>
    <w:rsid w:val="548A2F8F"/>
    <w:rsid w:val="548C3D63"/>
    <w:rsid w:val="548D6A9B"/>
    <w:rsid w:val="54944D5B"/>
    <w:rsid w:val="54945903"/>
    <w:rsid w:val="5495238A"/>
    <w:rsid w:val="54966311"/>
    <w:rsid w:val="549F5A55"/>
    <w:rsid w:val="54A56606"/>
    <w:rsid w:val="54A66BB0"/>
    <w:rsid w:val="54A76120"/>
    <w:rsid w:val="54C455AE"/>
    <w:rsid w:val="54C806EF"/>
    <w:rsid w:val="54CA5D1A"/>
    <w:rsid w:val="54CE19E8"/>
    <w:rsid w:val="54D2639B"/>
    <w:rsid w:val="54D27A21"/>
    <w:rsid w:val="54D542DE"/>
    <w:rsid w:val="54DB1922"/>
    <w:rsid w:val="54DD0C7E"/>
    <w:rsid w:val="54DD7916"/>
    <w:rsid w:val="54DE49F2"/>
    <w:rsid w:val="54E23DEF"/>
    <w:rsid w:val="54E244F1"/>
    <w:rsid w:val="54E36CF8"/>
    <w:rsid w:val="54E54A44"/>
    <w:rsid w:val="54E91027"/>
    <w:rsid w:val="54F00874"/>
    <w:rsid w:val="54F5079F"/>
    <w:rsid w:val="54F735B6"/>
    <w:rsid w:val="54FB58EE"/>
    <w:rsid w:val="54FF7EC1"/>
    <w:rsid w:val="54FF7F15"/>
    <w:rsid w:val="55014F86"/>
    <w:rsid w:val="550810D6"/>
    <w:rsid w:val="550875E3"/>
    <w:rsid w:val="550D5659"/>
    <w:rsid w:val="550D5B7E"/>
    <w:rsid w:val="55180600"/>
    <w:rsid w:val="551F1C27"/>
    <w:rsid w:val="552607C0"/>
    <w:rsid w:val="55271459"/>
    <w:rsid w:val="55280819"/>
    <w:rsid w:val="55356D49"/>
    <w:rsid w:val="55362A17"/>
    <w:rsid w:val="55396C78"/>
    <w:rsid w:val="55456C74"/>
    <w:rsid w:val="55512823"/>
    <w:rsid w:val="55527C0B"/>
    <w:rsid w:val="55587663"/>
    <w:rsid w:val="555A5945"/>
    <w:rsid w:val="555B3281"/>
    <w:rsid w:val="556560F1"/>
    <w:rsid w:val="55685846"/>
    <w:rsid w:val="556B5EF0"/>
    <w:rsid w:val="557307A5"/>
    <w:rsid w:val="55766DAE"/>
    <w:rsid w:val="55854FD2"/>
    <w:rsid w:val="5589104A"/>
    <w:rsid w:val="55895A4A"/>
    <w:rsid w:val="55905D0F"/>
    <w:rsid w:val="559433BB"/>
    <w:rsid w:val="55955C21"/>
    <w:rsid w:val="55965CFB"/>
    <w:rsid w:val="5597673A"/>
    <w:rsid w:val="5599227D"/>
    <w:rsid w:val="55995053"/>
    <w:rsid w:val="559A520B"/>
    <w:rsid w:val="559C4897"/>
    <w:rsid w:val="559F4016"/>
    <w:rsid w:val="55A4569B"/>
    <w:rsid w:val="55AD60F5"/>
    <w:rsid w:val="55B1550E"/>
    <w:rsid w:val="55B33B20"/>
    <w:rsid w:val="55B642F9"/>
    <w:rsid w:val="55BA6F6C"/>
    <w:rsid w:val="55C15F97"/>
    <w:rsid w:val="55C631E1"/>
    <w:rsid w:val="55C72CC4"/>
    <w:rsid w:val="55CA615B"/>
    <w:rsid w:val="55CD380C"/>
    <w:rsid w:val="55D0553F"/>
    <w:rsid w:val="55D7658E"/>
    <w:rsid w:val="55DA08B9"/>
    <w:rsid w:val="55DD644C"/>
    <w:rsid w:val="55E501CC"/>
    <w:rsid w:val="55EA4198"/>
    <w:rsid w:val="55EC09E5"/>
    <w:rsid w:val="55EE0DDA"/>
    <w:rsid w:val="55F467B9"/>
    <w:rsid w:val="55F67121"/>
    <w:rsid w:val="55FB52A9"/>
    <w:rsid w:val="55FC1633"/>
    <w:rsid w:val="560446C0"/>
    <w:rsid w:val="56066C0D"/>
    <w:rsid w:val="560845C0"/>
    <w:rsid w:val="560A0949"/>
    <w:rsid w:val="560C4B9A"/>
    <w:rsid w:val="560D24B0"/>
    <w:rsid w:val="56140C6D"/>
    <w:rsid w:val="56187CB1"/>
    <w:rsid w:val="562238A8"/>
    <w:rsid w:val="562345D7"/>
    <w:rsid w:val="56246EE9"/>
    <w:rsid w:val="562506EC"/>
    <w:rsid w:val="562514D0"/>
    <w:rsid w:val="5626662F"/>
    <w:rsid w:val="562C3B5C"/>
    <w:rsid w:val="56366A0B"/>
    <w:rsid w:val="563B739E"/>
    <w:rsid w:val="563E2934"/>
    <w:rsid w:val="563E7D3A"/>
    <w:rsid w:val="564530FC"/>
    <w:rsid w:val="56463B3E"/>
    <w:rsid w:val="564656DD"/>
    <w:rsid w:val="5647177C"/>
    <w:rsid w:val="564B1476"/>
    <w:rsid w:val="564C6D5A"/>
    <w:rsid w:val="564F369C"/>
    <w:rsid w:val="56510882"/>
    <w:rsid w:val="5655503B"/>
    <w:rsid w:val="565562B0"/>
    <w:rsid w:val="56585FDA"/>
    <w:rsid w:val="56591155"/>
    <w:rsid w:val="56612226"/>
    <w:rsid w:val="56620F95"/>
    <w:rsid w:val="56694BA8"/>
    <w:rsid w:val="566971F7"/>
    <w:rsid w:val="566E4F27"/>
    <w:rsid w:val="566F6694"/>
    <w:rsid w:val="5672512C"/>
    <w:rsid w:val="56731D3F"/>
    <w:rsid w:val="56742F1A"/>
    <w:rsid w:val="567A105A"/>
    <w:rsid w:val="567A36C8"/>
    <w:rsid w:val="567F76E1"/>
    <w:rsid w:val="56803EF7"/>
    <w:rsid w:val="56813B4E"/>
    <w:rsid w:val="568A414A"/>
    <w:rsid w:val="568B24E7"/>
    <w:rsid w:val="568D777E"/>
    <w:rsid w:val="56917A8A"/>
    <w:rsid w:val="56A047ED"/>
    <w:rsid w:val="56A40EBA"/>
    <w:rsid w:val="56A97AD7"/>
    <w:rsid w:val="56AA4C9D"/>
    <w:rsid w:val="56AB6D98"/>
    <w:rsid w:val="56AC1B7C"/>
    <w:rsid w:val="56AD0A2B"/>
    <w:rsid w:val="56AD4CEF"/>
    <w:rsid w:val="56B245D1"/>
    <w:rsid w:val="56BB4DDA"/>
    <w:rsid w:val="56BF14C9"/>
    <w:rsid w:val="56BF5B67"/>
    <w:rsid w:val="56C2396B"/>
    <w:rsid w:val="56C47322"/>
    <w:rsid w:val="56CA3628"/>
    <w:rsid w:val="56D5790A"/>
    <w:rsid w:val="56E45B90"/>
    <w:rsid w:val="56E706CD"/>
    <w:rsid w:val="56E74701"/>
    <w:rsid w:val="56EB6A0B"/>
    <w:rsid w:val="56F16EE0"/>
    <w:rsid w:val="56F7492E"/>
    <w:rsid w:val="56F97420"/>
    <w:rsid w:val="570228A4"/>
    <w:rsid w:val="57050805"/>
    <w:rsid w:val="57057C72"/>
    <w:rsid w:val="57091CE9"/>
    <w:rsid w:val="570A60E7"/>
    <w:rsid w:val="570D1500"/>
    <w:rsid w:val="57140A07"/>
    <w:rsid w:val="5715330C"/>
    <w:rsid w:val="57173324"/>
    <w:rsid w:val="572446A7"/>
    <w:rsid w:val="572A0428"/>
    <w:rsid w:val="572C699B"/>
    <w:rsid w:val="57311E59"/>
    <w:rsid w:val="57327546"/>
    <w:rsid w:val="57387E86"/>
    <w:rsid w:val="573B5C5C"/>
    <w:rsid w:val="573C6500"/>
    <w:rsid w:val="573E322A"/>
    <w:rsid w:val="57405348"/>
    <w:rsid w:val="57406711"/>
    <w:rsid w:val="57441DE5"/>
    <w:rsid w:val="574D12DF"/>
    <w:rsid w:val="57503B49"/>
    <w:rsid w:val="57515DF9"/>
    <w:rsid w:val="57546E98"/>
    <w:rsid w:val="57571841"/>
    <w:rsid w:val="575A2C78"/>
    <w:rsid w:val="575B4BDE"/>
    <w:rsid w:val="57600B1F"/>
    <w:rsid w:val="5760502F"/>
    <w:rsid w:val="57615A11"/>
    <w:rsid w:val="57686F62"/>
    <w:rsid w:val="5771205B"/>
    <w:rsid w:val="57781A5A"/>
    <w:rsid w:val="577F2582"/>
    <w:rsid w:val="57812BE5"/>
    <w:rsid w:val="57867D5C"/>
    <w:rsid w:val="57912DAF"/>
    <w:rsid w:val="57937025"/>
    <w:rsid w:val="57985267"/>
    <w:rsid w:val="57992B3D"/>
    <w:rsid w:val="579B5647"/>
    <w:rsid w:val="579C46A9"/>
    <w:rsid w:val="579F1F1C"/>
    <w:rsid w:val="57A20B97"/>
    <w:rsid w:val="57A34655"/>
    <w:rsid w:val="57A5022E"/>
    <w:rsid w:val="57A61DFC"/>
    <w:rsid w:val="57AC2C70"/>
    <w:rsid w:val="57B170E4"/>
    <w:rsid w:val="57B207C4"/>
    <w:rsid w:val="57B23D96"/>
    <w:rsid w:val="57BB1CE2"/>
    <w:rsid w:val="57BC4F02"/>
    <w:rsid w:val="57C04899"/>
    <w:rsid w:val="57C066BC"/>
    <w:rsid w:val="57CB080A"/>
    <w:rsid w:val="57CD289A"/>
    <w:rsid w:val="57D02D49"/>
    <w:rsid w:val="57D2646D"/>
    <w:rsid w:val="57DD2CF1"/>
    <w:rsid w:val="57E7359E"/>
    <w:rsid w:val="57EB5377"/>
    <w:rsid w:val="57EE0C6B"/>
    <w:rsid w:val="57F0255C"/>
    <w:rsid w:val="57F160AF"/>
    <w:rsid w:val="57F53C5A"/>
    <w:rsid w:val="57F848B7"/>
    <w:rsid w:val="57F97E07"/>
    <w:rsid w:val="57FA2103"/>
    <w:rsid w:val="57FC77A2"/>
    <w:rsid w:val="57FD6C49"/>
    <w:rsid w:val="57FE0AD9"/>
    <w:rsid w:val="58015C82"/>
    <w:rsid w:val="58050E2A"/>
    <w:rsid w:val="580842E9"/>
    <w:rsid w:val="580E04E8"/>
    <w:rsid w:val="580E0F47"/>
    <w:rsid w:val="580F441A"/>
    <w:rsid w:val="58130B63"/>
    <w:rsid w:val="581E4F29"/>
    <w:rsid w:val="581F2175"/>
    <w:rsid w:val="581F3278"/>
    <w:rsid w:val="582365F4"/>
    <w:rsid w:val="58256A8B"/>
    <w:rsid w:val="58271F8E"/>
    <w:rsid w:val="583704BC"/>
    <w:rsid w:val="583A524D"/>
    <w:rsid w:val="583E6BE8"/>
    <w:rsid w:val="583E6D92"/>
    <w:rsid w:val="584346C3"/>
    <w:rsid w:val="584441DB"/>
    <w:rsid w:val="584968DE"/>
    <w:rsid w:val="584A6E7A"/>
    <w:rsid w:val="584D3816"/>
    <w:rsid w:val="585136FD"/>
    <w:rsid w:val="5854574F"/>
    <w:rsid w:val="58583FA2"/>
    <w:rsid w:val="585D0768"/>
    <w:rsid w:val="585F5228"/>
    <w:rsid w:val="58600086"/>
    <w:rsid w:val="58646A7A"/>
    <w:rsid w:val="58681646"/>
    <w:rsid w:val="58702AB0"/>
    <w:rsid w:val="58760CEE"/>
    <w:rsid w:val="58787944"/>
    <w:rsid w:val="587B4215"/>
    <w:rsid w:val="58802C7B"/>
    <w:rsid w:val="588543AB"/>
    <w:rsid w:val="588705C0"/>
    <w:rsid w:val="58894CB8"/>
    <w:rsid w:val="588C2811"/>
    <w:rsid w:val="588C624A"/>
    <w:rsid w:val="588C78AF"/>
    <w:rsid w:val="588D07E5"/>
    <w:rsid w:val="58962590"/>
    <w:rsid w:val="5897586A"/>
    <w:rsid w:val="589E3007"/>
    <w:rsid w:val="58A0071F"/>
    <w:rsid w:val="58AC1CD5"/>
    <w:rsid w:val="58B87CB5"/>
    <w:rsid w:val="58C25264"/>
    <w:rsid w:val="58C516BF"/>
    <w:rsid w:val="58CB1271"/>
    <w:rsid w:val="58CF1C4E"/>
    <w:rsid w:val="58CF7CDF"/>
    <w:rsid w:val="58D571F3"/>
    <w:rsid w:val="58D83F7C"/>
    <w:rsid w:val="58D85E9A"/>
    <w:rsid w:val="58D930C4"/>
    <w:rsid w:val="58DC2EF0"/>
    <w:rsid w:val="58DE7CC1"/>
    <w:rsid w:val="58E079E3"/>
    <w:rsid w:val="58E501F2"/>
    <w:rsid w:val="58E834F7"/>
    <w:rsid w:val="58EC6545"/>
    <w:rsid w:val="59017404"/>
    <w:rsid w:val="59040B33"/>
    <w:rsid w:val="590728FB"/>
    <w:rsid w:val="590767F3"/>
    <w:rsid w:val="59095C04"/>
    <w:rsid w:val="590A6292"/>
    <w:rsid w:val="590B3A26"/>
    <w:rsid w:val="590C717D"/>
    <w:rsid w:val="59162047"/>
    <w:rsid w:val="59164302"/>
    <w:rsid w:val="591B4119"/>
    <w:rsid w:val="59223CB1"/>
    <w:rsid w:val="59251EF8"/>
    <w:rsid w:val="592567F9"/>
    <w:rsid w:val="5927308C"/>
    <w:rsid w:val="592A284D"/>
    <w:rsid w:val="593337F4"/>
    <w:rsid w:val="59350AEB"/>
    <w:rsid w:val="59354A42"/>
    <w:rsid w:val="593E6AB9"/>
    <w:rsid w:val="594271BE"/>
    <w:rsid w:val="5943448C"/>
    <w:rsid w:val="594F14B7"/>
    <w:rsid w:val="594F747E"/>
    <w:rsid w:val="595040F4"/>
    <w:rsid w:val="59546A16"/>
    <w:rsid w:val="595C77B9"/>
    <w:rsid w:val="596450DF"/>
    <w:rsid w:val="59667B95"/>
    <w:rsid w:val="59673A01"/>
    <w:rsid w:val="59685AF7"/>
    <w:rsid w:val="596B33B7"/>
    <w:rsid w:val="596D4C00"/>
    <w:rsid w:val="59705D01"/>
    <w:rsid w:val="5973438E"/>
    <w:rsid w:val="597C2CAC"/>
    <w:rsid w:val="597F01B4"/>
    <w:rsid w:val="59804C20"/>
    <w:rsid w:val="59865A5E"/>
    <w:rsid w:val="598700A5"/>
    <w:rsid w:val="598E7E05"/>
    <w:rsid w:val="59940D72"/>
    <w:rsid w:val="5995276D"/>
    <w:rsid w:val="59971BDF"/>
    <w:rsid w:val="599861F5"/>
    <w:rsid w:val="59A07699"/>
    <w:rsid w:val="59A376F2"/>
    <w:rsid w:val="59A43E29"/>
    <w:rsid w:val="59A55841"/>
    <w:rsid w:val="59B14EC2"/>
    <w:rsid w:val="59B27E0E"/>
    <w:rsid w:val="59B67E04"/>
    <w:rsid w:val="59BA6998"/>
    <w:rsid w:val="59BC36ED"/>
    <w:rsid w:val="59BD1103"/>
    <w:rsid w:val="59C95FC4"/>
    <w:rsid w:val="59CB4C07"/>
    <w:rsid w:val="59CC3994"/>
    <w:rsid w:val="59D17ABA"/>
    <w:rsid w:val="59D6324A"/>
    <w:rsid w:val="59DF6FC9"/>
    <w:rsid w:val="59E05E68"/>
    <w:rsid w:val="59EA68AC"/>
    <w:rsid w:val="59EE6C12"/>
    <w:rsid w:val="59F90C68"/>
    <w:rsid w:val="5A0007FF"/>
    <w:rsid w:val="5A043932"/>
    <w:rsid w:val="5A04661E"/>
    <w:rsid w:val="5A090919"/>
    <w:rsid w:val="5A0C6156"/>
    <w:rsid w:val="5A167C33"/>
    <w:rsid w:val="5A1A081B"/>
    <w:rsid w:val="5A1D5D9E"/>
    <w:rsid w:val="5A1E7E8B"/>
    <w:rsid w:val="5A205EF8"/>
    <w:rsid w:val="5A215A09"/>
    <w:rsid w:val="5A226398"/>
    <w:rsid w:val="5A236086"/>
    <w:rsid w:val="5A253701"/>
    <w:rsid w:val="5A263F60"/>
    <w:rsid w:val="5A2F77E8"/>
    <w:rsid w:val="5A302D62"/>
    <w:rsid w:val="5A3057D0"/>
    <w:rsid w:val="5A3604D7"/>
    <w:rsid w:val="5A3A11D5"/>
    <w:rsid w:val="5A3D405E"/>
    <w:rsid w:val="5A3E24CB"/>
    <w:rsid w:val="5A4423ED"/>
    <w:rsid w:val="5A517EF1"/>
    <w:rsid w:val="5A542D62"/>
    <w:rsid w:val="5A545E83"/>
    <w:rsid w:val="5A581102"/>
    <w:rsid w:val="5A5A0A01"/>
    <w:rsid w:val="5A5A1080"/>
    <w:rsid w:val="5A5A1261"/>
    <w:rsid w:val="5A5C576E"/>
    <w:rsid w:val="5A5D1E59"/>
    <w:rsid w:val="5A5D7165"/>
    <w:rsid w:val="5A602BDC"/>
    <w:rsid w:val="5A61291E"/>
    <w:rsid w:val="5A633AB4"/>
    <w:rsid w:val="5A687904"/>
    <w:rsid w:val="5A6D2ABF"/>
    <w:rsid w:val="5A714A32"/>
    <w:rsid w:val="5A730D19"/>
    <w:rsid w:val="5A760BAA"/>
    <w:rsid w:val="5A7A24B1"/>
    <w:rsid w:val="5A7E7762"/>
    <w:rsid w:val="5A7F3787"/>
    <w:rsid w:val="5A81409A"/>
    <w:rsid w:val="5A867F5E"/>
    <w:rsid w:val="5A9013AB"/>
    <w:rsid w:val="5A9013CD"/>
    <w:rsid w:val="5A911F5D"/>
    <w:rsid w:val="5A931959"/>
    <w:rsid w:val="5A9C77ED"/>
    <w:rsid w:val="5AA16E7F"/>
    <w:rsid w:val="5AA47598"/>
    <w:rsid w:val="5AA559C2"/>
    <w:rsid w:val="5AA63D17"/>
    <w:rsid w:val="5AAB2FE1"/>
    <w:rsid w:val="5AAB470F"/>
    <w:rsid w:val="5AAF03C0"/>
    <w:rsid w:val="5AB0273B"/>
    <w:rsid w:val="5AB03C6C"/>
    <w:rsid w:val="5AB10E2F"/>
    <w:rsid w:val="5AB26006"/>
    <w:rsid w:val="5AB930A3"/>
    <w:rsid w:val="5ABC1F12"/>
    <w:rsid w:val="5AC03E5B"/>
    <w:rsid w:val="5AC06FE9"/>
    <w:rsid w:val="5AC237E5"/>
    <w:rsid w:val="5AC40AE0"/>
    <w:rsid w:val="5AC46C04"/>
    <w:rsid w:val="5AC76767"/>
    <w:rsid w:val="5AC972CC"/>
    <w:rsid w:val="5ACB310E"/>
    <w:rsid w:val="5ACE2218"/>
    <w:rsid w:val="5AD0496A"/>
    <w:rsid w:val="5AD06FAE"/>
    <w:rsid w:val="5AE241A6"/>
    <w:rsid w:val="5AE352FF"/>
    <w:rsid w:val="5AE37F50"/>
    <w:rsid w:val="5AE43FDA"/>
    <w:rsid w:val="5AE578E9"/>
    <w:rsid w:val="5AE653F9"/>
    <w:rsid w:val="5AEE41EB"/>
    <w:rsid w:val="5AEF533B"/>
    <w:rsid w:val="5AF451D0"/>
    <w:rsid w:val="5AF47415"/>
    <w:rsid w:val="5AFD298E"/>
    <w:rsid w:val="5B0361CE"/>
    <w:rsid w:val="5B072FEF"/>
    <w:rsid w:val="5B0E360E"/>
    <w:rsid w:val="5B0F35B1"/>
    <w:rsid w:val="5B152499"/>
    <w:rsid w:val="5B195435"/>
    <w:rsid w:val="5B1D651C"/>
    <w:rsid w:val="5B1E0649"/>
    <w:rsid w:val="5B207BCB"/>
    <w:rsid w:val="5B245722"/>
    <w:rsid w:val="5B2A1A5E"/>
    <w:rsid w:val="5B2A5922"/>
    <w:rsid w:val="5B2B1270"/>
    <w:rsid w:val="5B2E1987"/>
    <w:rsid w:val="5B2E1E35"/>
    <w:rsid w:val="5B3653DB"/>
    <w:rsid w:val="5B3B31C7"/>
    <w:rsid w:val="5B3C1F51"/>
    <w:rsid w:val="5B4276FE"/>
    <w:rsid w:val="5B454949"/>
    <w:rsid w:val="5B4A264D"/>
    <w:rsid w:val="5B4F75EB"/>
    <w:rsid w:val="5B5526CA"/>
    <w:rsid w:val="5B580D65"/>
    <w:rsid w:val="5B5B7D91"/>
    <w:rsid w:val="5B5C49FB"/>
    <w:rsid w:val="5B5E2BB9"/>
    <w:rsid w:val="5B5F6132"/>
    <w:rsid w:val="5B5F6BD6"/>
    <w:rsid w:val="5B623DE7"/>
    <w:rsid w:val="5B65474B"/>
    <w:rsid w:val="5B663E24"/>
    <w:rsid w:val="5B673C79"/>
    <w:rsid w:val="5B6A2393"/>
    <w:rsid w:val="5B6B607A"/>
    <w:rsid w:val="5B6F6F57"/>
    <w:rsid w:val="5B711EBD"/>
    <w:rsid w:val="5B783F05"/>
    <w:rsid w:val="5B7B0F6A"/>
    <w:rsid w:val="5B7D20D1"/>
    <w:rsid w:val="5B7E35B5"/>
    <w:rsid w:val="5B837ABD"/>
    <w:rsid w:val="5B87705A"/>
    <w:rsid w:val="5B8B3C65"/>
    <w:rsid w:val="5B8C0FCB"/>
    <w:rsid w:val="5B8D1598"/>
    <w:rsid w:val="5B8D5084"/>
    <w:rsid w:val="5B9501F8"/>
    <w:rsid w:val="5B990916"/>
    <w:rsid w:val="5B9C33B5"/>
    <w:rsid w:val="5B9E3591"/>
    <w:rsid w:val="5BA05ACE"/>
    <w:rsid w:val="5BA26405"/>
    <w:rsid w:val="5BAC5556"/>
    <w:rsid w:val="5BAE2549"/>
    <w:rsid w:val="5BB03B32"/>
    <w:rsid w:val="5BB329B5"/>
    <w:rsid w:val="5BBA75C1"/>
    <w:rsid w:val="5BBB7FD3"/>
    <w:rsid w:val="5BBF17FE"/>
    <w:rsid w:val="5BBF3D2E"/>
    <w:rsid w:val="5BC0596A"/>
    <w:rsid w:val="5BC57486"/>
    <w:rsid w:val="5BC95B26"/>
    <w:rsid w:val="5BCD2734"/>
    <w:rsid w:val="5BD15023"/>
    <w:rsid w:val="5BD956FC"/>
    <w:rsid w:val="5BDB7736"/>
    <w:rsid w:val="5BDF65EA"/>
    <w:rsid w:val="5BE7321C"/>
    <w:rsid w:val="5BEC6AC8"/>
    <w:rsid w:val="5BED5720"/>
    <w:rsid w:val="5BF37208"/>
    <w:rsid w:val="5BFA10B6"/>
    <w:rsid w:val="5BFC3ABB"/>
    <w:rsid w:val="5BFD3429"/>
    <w:rsid w:val="5BFF5A6F"/>
    <w:rsid w:val="5C00184A"/>
    <w:rsid w:val="5C006C40"/>
    <w:rsid w:val="5C1479F7"/>
    <w:rsid w:val="5C157B7F"/>
    <w:rsid w:val="5C1B2544"/>
    <w:rsid w:val="5C1B3376"/>
    <w:rsid w:val="5C25626C"/>
    <w:rsid w:val="5C264D60"/>
    <w:rsid w:val="5C2A1F4C"/>
    <w:rsid w:val="5C2A5D4C"/>
    <w:rsid w:val="5C2A7B5C"/>
    <w:rsid w:val="5C336AC1"/>
    <w:rsid w:val="5C415CE9"/>
    <w:rsid w:val="5C447DD0"/>
    <w:rsid w:val="5C4B34AB"/>
    <w:rsid w:val="5C4E57AB"/>
    <w:rsid w:val="5C547011"/>
    <w:rsid w:val="5C5B5613"/>
    <w:rsid w:val="5C5B7D64"/>
    <w:rsid w:val="5C5C7C72"/>
    <w:rsid w:val="5C6A55A8"/>
    <w:rsid w:val="5C6A7E2A"/>
    <w:rsid w:val="5C6C2180"/>
    <w:rsid w:val="5C6D0C20"/>
    <w:rsid w:val="5C751253"/>
    <w:rsid w:val="5C773B31"/>
    <w:rsid w:val="5C7E1AA2"/>
    <w:rsid w:val="5C813C74"/>
    <w:rsid w:val="5C8605A8"/>
    <w:rsid w:val="5C874D2B"/>
    <w:rsid w:val="5C897435"/>
    <w:rsid w:val="5C8B009D"/>
    <w:rsid w:val="5C942A53"/>
    <w:rsid w:val="5C9F44E1"/>
    <w:rsid w:val="5CA323D5"/>
    <w:rsid w:val="5CA574EB"/>
    <w:rsid w:val="5CA60CF8"/>
    <w:rsid w:val="5CA85F48"/>
    <w:rsid w:val="5CA9769B"/>
    <w:rsid w:val="5CAB1177"/>
    <w:rsid w:val="5CAD0724"/>
    <w:rsid w:val="5CAE1D5F"/>
    <w:rsid w:val="5CAE691C"/>
    <w:rsid w:val="5CB279A1"/>
    <w:rsid w:val="5CB34F90"/>
    <w:rsid w:val="5CB44E4F"/>
    <w:rsid w:val="5CB52ED4"/>
    <w:rsid w:val="5CB70FAF"/>
    <w:rsid w:val="5CC0185E"/>
    <w:rsid w:val="5CC40151"/>
    <w:rsid w:val="5CC77AE3"/>
    <w:rsid w:val="5CCA3906"/>
    <w:rsid w:val="5CCE5A4D"/>
    <w:rsid w:val="5CCF00A9"/>
    <w:rsid w:val="5CCF5EE6"/>
    <w:rsid w:val="5CD32D7E"/>
    <w:rsid w:val="5CDD3D29"/>
    <w:rsid w:val="5CE80358"/>
    <w:rsid w:val="5CE80C5F"/>
    <w:rsid w:val="5CEB7891"/>
    <w:rsid w:val="5CEE2680"/>
    <w:rsid w:val="5CF85217"/>
    <w:rsid w:val="5CFA465A"/>
    <w:rsid w:val="5CFA75FC"/>
    <w:rsid w:val="5D004940"/>
    <w:rsid w:val="5D0D5E4B"/>
    <w:rsid w:val="5D151918"/>
    <w:rsid w:val="5D1C7431"/>
    <w:rsid w:val="5D1D1E1D"/>
    <w:rsid w:val="5D1D3770"/>
    <w:rsid w:val="5D2023B0"/>
    <w:rsid w:val="5D272BBB"/>
    <w:rsid w:val="5D28584A"/>
    <w:rsid w:val="5D2B0AA0"/>
    <w:rsid w:val="5D321240"/>
    <w:rsid w:val="5D347B15"/>
    <w:rsid w:val="5D356E4A"/>
    <w:rsid w:val="5D395970"/>
    <w:rsid w:val="5D3B0638"/>
    <w:rsid w:val="5D3D4397"/>
    <w:rsid w:val="5D3F0723"/>
    <w:rsid w:val="5D402245"/>
    <w:rsid w:val="5D470EA6"/>
    <w:rsid w:val="5D507AFC"/>
    <w:rsid w:val="5D513059"/>
    <w:rsid w:val="5D536766"/>
    <w:rsid w:val="5D5557BA"/>
    <w:rsid w:val="5D576B52"/>
    <w:rsid w:val="5D593D64"/>
    <w:rsid w:val="5D64520A"/>
    <w:rsid w:val="5D6B3F1C"/>
    <w:rsid w:val="5D6B63AB"/>
    <w:rsid w:val="5D715119"/>
    <w:rsid w:val="5D726460"/>
    <w:rsid w:val="5D7D3199"/>
    <w:rsid w:val="5D8074F0"/>
    <w:rsid w:val="5D83155A"/>
    <w:rsid w:val="5D865EAB"/>
    <w:rsid w:val="5D9132A6"/>
    <w:rsid w:val="5D913514"/>
    <w:rsid w:val="5D9472D2"/>
    <w:rsid w:val="5D950F62"/>
    <w:rsid w:val="5D99059A"/>
    <w:rsid w:val="5D9C7FF6"/>
    <w:rsid w:val="5D9D0AE7"/>
    <w:rsid w:val="5DA24BAF"/>
    <w:rsid w:val="5DAB16CD"/>
    <w:rsid w:val="5DB63677"/>
    <w:rsid w:val="5DBB519B"/>
    <w:rsid w:val="5DBE636E"/>
    <w:rsid w:val="5DC46CA7"/>
    <w:rsid w:val="5DC677E7"/>
    <w:rsid w:val="5DD03299"/>
    <w:rsid w:val="5DD07186"/>
    <w:rsid w:val="5DD46BDF"/>
    <w:rsid w:val="5DD57048"/>
    <w:rsid w:val="5DD66946"/>
    <w:rsid w:val="5DDA1E5B"/>
    <w:rsid w:val="5DDA4C4D"/>
    <w:rsid w:val="5DDE0D54"/>
    <w:rsid w:val="5DE81804"/>
    <w:rsid w:val="5DE81A5E"/>
    <w:rsid w:val="5DEE4B3F"/>
    <w:rsid w:val="5DEE4D52"/>
    <w:rsid w:val="5DEF4C2B"/>
    <w:rsid w:val="5DF40F6E"/>
    <w:rsid w:val="5DF503D9"/>
    <w:rsid w:val="5DF67313"/>
    <w:rsid w:val="5DFA6F89"/>
    <w:rsid w:val="5DFD0082"/>
    <w:rsid w:val="5E0146BB"/>
    <w:rsid w:val="5E03078C"/>
    <w:rsid w:val="5E030FF8"/>
    <w:rsid w:val="5E0823CC"/>
    <w:rsid w:val="5E0B398B"/>
    <w:rsid w:val="5E0B6E3A"/>
    <w:rsid w:val="5E0F7A2A"/>
    <w:rsid w:val="5E153616"/>
    <w:rsid w:val="5E173478"/>
    <w:rsid w:val="5E186816"/>
    <w:rsid w:val="5E187E0E"/>
    <w:rsid w:val="5E1936C1"/>
    <w:rsid w:val="5E1C6781"/>
    <w:rsid w:val="5E1E2EDE"/>
    <w:rsid w:val="5E215F16"/>
    <w:rsid w:val="5E277A5D"/>
    <w:rsid w:val="5E2C2F98"/>
    <w:rsid w:val="5E2E0502"/>
    <w:rsid w:val="5E2F4652"/>
    <w:rsid w:val="5E327D66"/>
    <w:rsid w:val="5E3B1CAA"/>
    <w:rsid w:val="5E3D2BE6"/>
    <w:rsid w:val="5E3F2650"/>
    <w:rsid w:val="5E3F6A69"/>
    <w:rsid w:val="5E442418"/>
    <w:rsid w:val="5E493A1E"/>
    <w:rsid w:val="5E4D3C7A"/>
    <w:rsid w:val="5E4E466F"/>
    <w:rsid w:val="5E4F4C47"/>
    <w:rsid w:val="5E554CB6"/>
    <w:rsid w:val="5E595ED2"/>
    <w:rsid w:val="5E5E5E28"/>
    <w:rsid w:val="5E656D7F"/>
    <w:rsid w:val="5E6761E2"/>
    <w:rsid w:val="5E690212"/>
    <w:rsid w:val="5E695CC0"/>
    <w:rsid w:val="5E6E7DC6"/>
    <w:rsid w:val="5E746F9A"/>
    <w:rsid w:val="5E7517C4"/>
    <w:rsid w:val="5E764908"/>
    <w:rsid w:val="5E774ACD"/>
    <w:rsid w:val="5E7B17D9"/>
    <w:rsid w:val="5E8563F8"/>
    <w:rsid w:val="5E8E17A9"/>
    <w:rsid w:val="5E8F1B4D"/>
    <w:rsid w:val="5E9C67E9"/>
    <w:rsid w:val="5EA13BEB"/>
    <w:rsid w:val="5EA15D45"/>
    <w:rsid w:val="5EA32FDD"/>
    <w:rsid w:val="5EA65851"/>
    <w:rsid w:val="5EA82859"/>
    <w:rsid w:val="5EAA374B"/>
    <w:rsid w:val="5EB53D23"/>
    <w:rsid w:val="5EB61AD6"/>
    <w:rsid w:val="5EBE6568"/>
    <w:rsid w:val="5EC15DBD"/>
    <w:rsid w:val="5EC73B84"/>
    <w:rsid w:val="5EC81C20"/>
    <w:rsid w:val="5ECA146D"/>
    <w:rsid w:val="5ECF5E01"/>
    <w:rsid w:val="5ED04743"/>
    <w:rsid w:val="5ED16015"/>
    <w:rsid w:val="5ED25196"/>
    <w:rsid w:val="5ED831A9"/>
    <w:rsid w:val="5ED83DFB"/>
    <w:rsid w:val="5EDE6C44"/>
    <w:rsid w:val="5EE049B3"/>
    <w:rsid w:val="5EE47AC3"/>
    <w:rsid w:val="5EE5466A"/>
    <w:rsid w:val="5EE74B55"/>
    <w:rsid w:val="5EED66CB"/>
    <w:rsid w:val="5EEF2D7D"/>
    <w:rsid w:val="5EEF36F0"/>
    <w:rsid w:val="5EF2649D"/>
    <w:rsid w:val="5EF347A6"/>
    <w:rsid w:val="5EFD31E0"/>
    <w:rsid w:val="5F003B97"/>
    <w:rsid w:val="5F01065D"/>
    <w:rsid w:val="5F061AE7"/>
    <w:rsid w:val="5F091A8D"/>
    <w:rsid w:val="5F0B3E6C"/>
    <w:rsid w:val="5F0F6525"/>
    <w:rsid w:val="5F182924"/>
    <w:rsid w:val="5F1C03D8"/>
    <w:rsid w:val="5F2423AE"/>
    <w:rsid w:val="5F26082B"/>
    <w:rsid w:val="5F263401"/>
    <w:rsid w:val="5F3574EF"/>
    <w:rsid w:val="5F39401C"/>
    <w:rsid w:val="5F3E1CBD"/>
    <w:rsid w:val="5F422FCC"/>
    <w:rsid w:val="5F4362D0"/>
    <w:rsid w:val="5F450E45"/>
    <w:rsid w:val="5F4558A8"/>
    <w:rsid w:val="5F46673C"/>
    <w:rsid w:val="5F4F6E34"/>
    <w:rsid w:val="5F546D1F"/>
    <w:rsid w:val="5F566561"/>
    <w:rsid w:val="5F580A55"/>
    <w:rsid w:val="5F59354D"/>
    <w:rsid w:val="5F5A77F6"/>
    <w:rsid w:val="5F5E597F"/>
    <w:rsid w:val="5F5F477B"/>
    <w:rsid w:val="5F642D67"/>
    <w:rsid w:val="5F6922EF"/>
    <w:rsid w:val="5F6D577B"/>
    <w:rsid w:val="5F6E3271"/>
    <w:rsid w:val="5F747F43"/>
    <w:rsid w:val="5F75644D"/>
    <w:rsid w:val="5F7D47B6"/>
    <w:rsid w:val="5F8117DA"/>
    <w:rsid w:val="5F8312DA"/>
    <w:rsid w:val="5F867245"/>
    <w:rsid w:val="5F8679F1"/>
    <w:rsid w:val="5F887855"/>
    <w:rsid w:val="5F913D38"/>
    <w:rsid w:val="5F94732B"/>
    <w:rsid w:val="5F950EED"/>
    <w:rsid w:val="5F9F743D"/>
    <w:rsid w:val="5F9F7E7B"/>
    <w:rsid w:val="5FA14245"/>
    <w:rsid w:val="5FA27C7F"/>
    <w:rsid w:val="5FB068C2"/>
    <w:rsid w:val="5FB12466"/>
    <w:rsid w:val="5FB34122"/>
    <w:rsid w:val="5FB3544C"/>
    <w:rsid w:val="5FB4243A"/>
    <w:rsid w:val="5FB62BF4"/>
    <w:rsid w:val="5FB6455A"/>
    <w:rsid w:val="5FB66D4A"/>
    <w:rsid w:val="5FB83D6F"/>
    <w:rsid w:val="5FBF404B"/>
    <w:rsid w:val="5FC013BA"/>
    <w:rsid w:val="5FC653A3"/>
    <w:rsid w:val="5FC84E92"/>
    <w:rsid w:val="5FC8782F"/>
    <w:rsid w:val="5FC92271"/>
    <w:rsid w:val="5FCF1BE3"/>
    <w:rsid w:val="5FD17733"/>
    <w:rsid w:val="5FD425F2"/>
    <w:rsid w:val="5FD756C7"/>
    <w:rsid w:val="5FD9033C"/>
    <w:rsid w:val="5FDD235E"/>
    <w:rsid w:val="5FE065BF"/>
    <w:rsid w:val="5FE729ED"/>
    <w:rsid w:val="5FE9376A"/>
    <w:rsid w:val="5FF60993"/>
    <w:rsid w:val="5FF94604"/>
    <w:rsid w:val="5FF97D17"/>
    <w:rsid w:val="60060649"/>
    <w:rsid w:val="600613A1"/>
    <w:rsid w:val="600638A7"/>
    <w:rsid w:val="6007252C"/>
    <w:rsid w:val="600861FD"/>
    <w:rsid w:val="600A7812"/>
    <w:rsid w:val="600C4132"/>
    <w:rsid w:val="60113954"/>
    <w:rsid w:val="60127250"/>
    <w:rsid w:val="6014382B"/>
    <w:rsid w:val="60173C44"/>
    <w:rsid w:val="60177076"/>
    <w:rsid w:val="601C3BB4"/>
    <w:rsid w:val="601C67E4"/>
    <w:rsid w:val="60262D8B"/>
    <w:rsid w:val="602844DB"/>
    <w:rsid w:val="602B7797"/>
    <w:rsid w:val="603552FD"/>
    <w:rsid w:val="604739FE"/>
    <w:rsid w:val="6049165F"/>
    <w:rsid w:val="604B1650"/>
    <w:rsid w:val="604B2E76"/>
    <w:rsid w:val="604F57EA"/>
    <w:rsid w:val="60527C26"/>
    <w:rsid w:val="60702C58"/>
    <w:rsid w:val="607A7A46"/>
    <w:rsid w:val="607E7EFB"/>
    <w:rsid w:val="607F594A"/>
    <w:rsid w:val="60810636"/>
    <w:rsid w:val="608C0FAB"/>
    <w:rsid w:val="608E191C"/>
    <w:rsid w:val="609C0374"/>
    <w:rsid w:val="609C79BB"/>
    <w:rsid w:val="609E6E99"/>
    <w:rsid w:val="60A6330F"/>
    <w:rsid w:val="60AC330C"/>
    <w:rsid w:val="60AE2168"/>
    <w:rsid w:val="60B079E8"/>
    <w:rsid w:val="60B12951"/>
    <w:rsid w:val="60BB4F84"/>
    <w:rsid w:val="60BD57DD"/>
    <w:rsid w:val="60C30028"/>
    <w:rsid w:val="60C36640"/>
    <w:rsid w:val="60C44F43"/>
    <w:rsid w:val="60C64ED3"/>
    <w:rsid w:val="60C7148B"/>
    <w:rsid w:val="60C71C86"/>
    <w:rsid w:val="60CD3BB2"/>
    <w:rsid w:val="60D41A7B"/>
    <w:rsid w:val="60DA0EF2"/>
    <w:rsid w:val="60DE1CF2"/>
    <w:rsid w:val="60E12209"/>
    <w:rsid w:val="60E63F6F"/>
    <w:rsid w:val="60E7758C"/>
    <w:rsid w:val="60F05E58"/>
    <w:rsid w:val="60F10F85"/>
    <w:rsid w:val="60F404F3"/>
    <w:rsid w:val="60FC21EF"/>
    <w:rsid w:val="60FC2E6B"/>
    <w:rsid w:val="60FE4213"/>
    <w:rsid w:val="61100274"/>
    <w:rsid w:val="61153821"/>
    <w:rsid w:val="61156D6D"/>
    <w:rsid w:val="611C5513"/>
    <w:rsid w:val="612152A9"/>
    <w:rsid w:val="61215D9E"/>
    <w:rsid w:val="612449E2"/>
    <w:rsid w:val="612F20CF"/>
    <w:rsid w:val="61394B85"/>
    <w:rsid w:val="613A757F"/>
    <w:rsid w:val="613B251C"/>
    <w:rsid w:val="614740BC"/>
    <w:rsid w:val="614769B0"/>
    <w:rsid w:val="6148472B"/>
    <w:rsid w:val="614C15A0"/>
    <w:rsid w:val="6155198E"/>
    <w:rsid w:val="61566DFF"/>
    <w:rsid w:val="61587AC9"/>
    <w:rsid w:val="61595D88"/>
    <w:rsid w:val="61604B2E"/>
    <w:rsid w:val="616320E2"/>
    <w:rsid w:val="616730E4"/>
    <w:rsid w:val="616931A7"/>
    <w:rsid w:val="616B43B8"/>
    <w:rsid w:val="616D0802"/>
    <w:rsid w:val="616D3DB7"/>
    <w:rsid w:val="616F032A"/>
    <w:rsid w:val="61725145"/>
    <w:rsid w:val="61732C7E"/>
    <w:rsid w:val="61761829"/>
    <w:rsid w:val="617B1AEE"/>
    <w:rsid w:val="618146B4"/>
    <w:rsid w:val="61876C16"/>
    <w:rsid w:val="618D05AE"/>
    <w:rsid w:val="618F31B9"/>
    <w:rsid w:val="618F4C2C"/>
    <w:rsid w:val="619219BC"/>
    <w:rsid w:val="61923F5C"/>
    <w:rsid w:val="61954539"/>
    <w:rsid w:val="619B651D"/>
    <w:rsid w:val="619E4492"/>
    <w:rsid w:val="61A267BA"/>
    <w:rsid w:val="61A40CC1"/>
    <w:rsid w:val="61AA7502"/>
    <w:rsid w:val="61AD0A03"/>
    <w:rsid w:val="61AE6484"/>
    <w:rsid w:val="61B0305F"/>
    <w:rsid w:val="61B25AE8"/>
    <w:rsid w:val="61B6794F"/>
    <w:rsid w:val="61B8049E"/>
    <w:rsid w:val="61B876E8"/>
    <w:rsid w:val="61BB02C1"/>
    <w:rsid w:val="61BF34D0"/>
    <w:rsid w:val="61C8344B"/>
    <w:rsid w:val="61C84394"/>
    <w:rsid w:val="61CC180F"/>
    <w:rsid w:val="61CE1C02"/>
    <w:rsid w:val="61D569A2"/>
    <w:rsid w:val="61DA2A3A"/>
    <w:rsid w:val="61DA5BF9"/>
    <w:rsid w:val="61DA763C"/>
    <w:rsid w:val="61DD630B"/>
    <w:rsid w:val="61E13C1B"/>
    <w:rsid w:val="61E22077"/>
    <w:rsid w:val="61E324ED"/>
    <w:rsid w:val="61E96C95"/>
    <w:rsid w:val="61F25DA2"/>
    <w:rsid w:val="61F2733F"/>
    <w:rsid w:val="61F37DC4"/>
    <w:rsid w:val="61F478CC"/>
    <w:rsid w:val="61F514E2"/>
    <w:rsid w:val="61F902DB"/>
    <w:rsid w:val="61F90E94"/>
    <w:rsid w:val="61F912F3"/>
    <w:rsid w:val="61F95150"/>
    <w:rsid w:val="61FC5BFF"/>
    <w:rsid w:val="61FF230F"/>
    <w:rsid w:val="62017624"/>
    <w:rsid w:val="62033DA5"/>
    <w:rsid w:val="62044194"/>
    <w:rsid w:val="62064E46"/>
    <w:rsid w:val="6207561A"/>
    <w:rsid w:val="62106B65"/>
    <w:rsid w:val="6213612B"/>
    <w:rsid w:val="62156232"/>
    <w:rsid w:val="621621CC"/>
    <w:rsid w:val="621E666C"/>
    <w:rsid w:val="62225344"/>
    <w:rsid w:val="622601B5"/>
    <w:rsid w:val="622610C3"/>
    <w:rsid w:val="6229527B"/>
    <w:rsid w:val="622C42A4"/>
    <w:rsid w:val="622F2157"/>
    <w:rsid w:val="623A1555"/>
    <w:rsid w:val="623A210A"/>
    <w:rsid w:val="623F11D5"/>
    <w:rsid w:val="62403FF3"/>
    <w:rsid w:val="62435A55"/>
    <w:rsid w:val="624A1AD1"/>
    <w:rsid w:val="624B703B"/>
    <w:rsid w:val="62532260"/>
    <w:rsid w:val="625347F0"/>
    <w:rsid w:val="62551D6E"/>
    <w:rsid w:val="62577901"/>
    <w:rsid w:val="625F680E"/>
    <w:rsid w:val="62664F6F"/>
    <w:rsid w:val="62690A3E"/>
    <w:rsid w:val="626B108F"/>
    <w:rsid w:val="62717506"/>
    <w:rsid w:val="6273294D"/>
    <w:rsid w:val="627D60E0"/>
    <w:rsid w:val="62814786"/>
    <w:rsid w:val="62826229"/>
    <w:rsid w:val="62836A21"/>
    <w:rsid w:val="628509CA"/>
    <w:rsid w:val="62856DC7"/>
    <w:rsid w:val="62857BF3"/>
    <w:rsid w:val="62882842"/>
    <w:rsid w:val="62893748"/>
    <w:rsid w:val="629035BA"/>
    <w:rsid w:val="629047E4"/>
    <w:rsid w:val="6294114F"/>
    <w:rsid w:val="629A3449"/>
    <w:rsid w:val="629B36BB"/>
    <w:rsid w:val="629C4656"/>
    <w:rsid w:val="629F56B4"/>
    <w:rsid w:val="62A16A3F"/>
    <w:rsid w:val="62A34B7D"/>
    <w:rsid w:val="62A40759"/>
    <w:rsid w:val="62AB62B3"/>
    <w:rsid w:val="62B754D2"/>
    <w:rsid w:val="62BC5E04"/>
    <w:rsid w:val="62BE10C8"/>
    <w:rsid w:val="62C26385"/>
    <w:rsid w:val="62C7557A"/>
    <w:rsid w:val="62C91B6D"/>
    <w:rsid w:val="62CE1CBB"/>
    <w:rsid w:val="62D05A5E"/>
    <w:rsid w:val="62D11F05"/>
    <w:rsid w:val="62D87808"/>
    <w:rsid w:val="62E20716"/>
    <w:rsid w:val="62E316AA"/>
    <w:rsid w:val="62E42F26"/>
    <w:rsid w:val="62EE287A"/>
    <w:rsid w:val="62F073FE"/>
    <w:rsid w:val="62F21B80"/>
    <w:rsid w:val="62F46FA1"/>
    <w:rsid w:val="62F7554A"/>
    <w:rsid w:val="62FD256F"/>
    <w:rsid w:val="62FF6251"/>
    <w:rsid w:val="63076E9E"/>
    <w:rsid w:val="630B5E89"/>
    <w:rsid w:val="630E29B0"/>
    <w:rsid w:val="6311587B"/>
    <w:rsid w:val="631704EC"/>
    <w:rsid w:val="63182D4E"/>
    <w:rsid w:val="63191CA6"/>
    <w:rsid w:val="631A4E34"/>
    <w:rsid w:val="631E6247"/>
    <w:rsid w:val="63200DCE"/>
    <w:rsid w:val="63252034"/>
    <w:rsid w:val="6327033A"/>
    <w:rsid w:val="6328290B"/>
    <w:rsid w:val="633336B9"/>
    <w:rsid w:val="633547DF"/>
    <w:rsid w:val="63356770"/>
    <w:rsid w:val="633863FC"/>
    <w:rsid w:val="633E6396"/>
    <w:rsid w:val="634A336C"/>
    <w:rsid w:val="634A6531"/>
    <w:rsid w:val="63503960"/>
    <w:rsid w:val="63514103"/>
    <w:rsid w:val="63516420"/>
    <w:rsid w:val="63544132"/>
    <w:rsid w:val="635500A1"/>
    <w:rsid w:val="63605C48"/>
    <w:rsid w:val="63671AE4"/>
    <w:rsid w:val="636952B9"/>
    <w:rsid w:val="6373110F"/>
    <w:rsid w:val="637B4787"/>
    <w:rsid w:val="637B5AB4"/>
    <w:rsid w:val="637F1E16"/>
    <w:rsid w:val="63821689"/>
    <w:rsid w:val="638519C1"/>
    <w:rsid w:val="638A3ADE"/>
    <w:rsid w:val="638B363F"/>
    <w:rsid w:val="638D3F5D"/>
    <w:rsid w:val="639212E9"/>
    <w:rsid w:val="63943846"/>
    <w:rsid w:val="63A024F3"/>
    <w:rsid w:val="63A05470"/>
    <w:rsid w:val="63A42BE1"/>
    <w:rsid w:val="63A952D2"/>
    <w:rsid w:val="63AF5F57"/>
    <w:rsid w:val="63B00A58"/>
    <w:rsid w:val="63B6516B"/>
    <w:rsid w:val="63BE019C"/>
    <w:rsid w:val="63BE7BA1"/>
    <w:rsid w:val="63BF5704"/>
    <w:rsid w:val="63C2385A"/>
    <w:rsid w:val="63C4212E"/>
    <w:rsid w:val="63C577BA"/>
    <w:rsid w:val="63CB1101"/>
    <w:rsid w:val="63CC5055"/>
    <w:rsid w:val="63D45FC3"/>
    <w:rsid w:val="63DA078A"/>
    <w:rsid w:val="63E25BF0"/>
    <w:rsid w:val="63E51C84"/>
    <w:rsid w:val="63E756F6"/>
    <w:rsid w:val="63F666D6"/>
    <w:rsid w:val="63FB4C19"/>
    <w:rsid w:val="63FF7766"/>
    <w:rsid w:val="64027A28"/>
    <w:rsid w:val="64081D6E"/>
    <w:rsid w:val="640A68B9"/>
    <w:rsid w:val="640B094A"/>
    <w:rsid w:val="640B2BF5"/>
    <w:rsid w:val="640B4A1B"/>
    <w:rsid w:val="64126543"/>
    <w:rsid w:val="64132893"/>
    <w:rsid w:val="64160B78"/>
    <w:rsid w:val="64190009"/>
    <w:rsid w:val="64193136"/>
    <w:rsid w:val="641B59C5"/>
    <w:rsid w:val="641E253A"/>
    <w:rsid w:val="641F3B99"/>
    <w:rsid w:val="642A75A7"/>
    <w:rsid w:val="642F444B"/>
    <w:rsid w:val="64304196"/>
    <w:rsid w:val="6435075D"/>
    <w:rsid w:val="6436148D"/>
    <w:rsid w:val="64372E56"/>
    <w:rsid w:val="643A3318"/>
    <w:rsid w:val="643F4CF5"/>
    <w:rsid w:val="64431A3E"/>
    <w:rsid w:val="64440E57"/>
    <w:rsid w:val="644B40EC"/>
    <w:rsid w:val="644D66E0"/>
    <w:rsid w:val="644E335A"/>
    <w:rsid w:val="645629B4"/>
    <w:rsid w:val="645D2192"/>
    <w:rsid w:val="646F223B"/>
    <w:rsid w:val="64722C17"/>
    <w:rsid w:val="6474290B"/>
    <w:rsid w:val="647540AD"/>
    <w:rsid w:val="647E7BB9"/>
    <w:rsid w:val="647F6902"/>
    <w:rsid w:val="648C14F2"/>
    <w:rsid w:val="648C55DE"/>
    <w:rsid w:val="64925DC6"/>
    <w:rsid w:val="64944D7F"/>
    <w:rsid w:val="64961557"/>
    <w:rsid w:val="64A34B3D"/>
    <w:rsid w:val="64A46DA7"/>
    <w:rsid w:val="64A761FD"/>
    <w:rsid w:val="64A77FAA"/>
    <w:rsid w:val="64AA414E"/>
    <w:rsid w:val="64AA7E4B"/>
    <w:rsid w:val="64AA7F3E"/>
    <w:rsid w:val="64AE0921"/>
    <w:rsid w:val="64B475B7"/>
    <w:rsid w:val="64B6773F"/>
    <w:rsid w:val="64BC6D4D"/>
    <w:rsid w:val="64BE7488"/>
    <w:rsid w:val="64C34CB9"/>
    <w:rsid w:val="64C361A9"/>
    <w:rsid w:val="64C55275"/>
    <w:rsid w:val="64C670AD"/>
    <w:rsid w:val="64C723CC"/>
    <w:rsid w:val="64CB23BC"/>
    <w:rsid w:val="64CD4140"/>
    <w:rsid w:val="64CE290C"/>
    <w:rsid w:val="64D07099"/>
    <w:rsid w:val="64D075C0"/>
    <w:rsid w:val="64D354CF"/>
    <w:rsid w:val="64DE0B00"/>
    <w:rsid w:val="64E43D76"/>
    <w:rsid w:val="64E54CEF"/>
    <w:rsid w:val="64EB3586"/>
    <w:rsid w:val="64EF5612"/>
    <w:rsid w:val="64F07E7A"/>
    <w:rsid w:val="64F23EB8"/>
    <w:rsid w:val="64F40AE1"/>
    <w:rsid w:val="64FD556E"/>
    <w:rsid w:val="64FD7A46"/>
    <w:rsid w:val="64FE5F36"/>
    <w:rsid w:val="65003845"/>
    <w:rsid w:val="65017C52"/>
    <w:rsid w:val="650228F0"/>
    <w:rsid w:val="65041826"/>
    <w:rsid w:val="650528DB"/>
    <w:rsid w:val="65063D8D"/>
    <w:rsid w:val="65067B68"/>
    <w:rsid w:val="650A5C79"/>
    <w:rsid w:val="650C4102"/>
    <w:rsid w:val="650E4121"/>
    <w:rsid w:val="650F77F3"/>
    <w:rsid w:val="651104B3"/>
    <w:rsid w:val="65143425"/>
    <w:rsid w:val="65156E23"/>
    <w:rsid w:val="65166FE4"/>
    <w:rsid w:val="65194957"/>
    <w:rsid w:val="6519665B"/>
    <w:rsid w:val="6521089E"/>
    <w:rsid w:val="65223EDF"/>
    <w:rsid w:val="652332FE"/>
    <w:rsid w:val="65251CF1"/>
    <w:rsid w:val="65292CFC"/>
    <w:rsid w:val="65296DAA"/>
    <w:rsid w:val="652B4E82"/>
    <w:rsid w:val="652B7355"/>
    <w:rsid w:val="652E4426"/>
    <w:rsid w:val="6533302C"/>
    <w:rsid w:val="65343D27"/>
    <w:rsid w:val="653B174C"/>
    <w:rsid w:val="653B7C04"/>
    <w:rsid w:val="653F775B"/>
    <w:rsid w:val="65435E15"/>
    <w:rsid w:val="654652F5"/>
    <w:rsid w:val="654852B9"/>
    <w:rsid w:val="654D2A6E"/>
    <w:rsid w:val="655009C3"/>
    <w:rsid w:val="655140F9"/>
    <w:rsid w:val="65566784"/>
    <w:rsid w:val="65571967"/>
    <w:rsid w:val="655D13BA"/>
    <w:rsid w:val="656047BE"/>
    <w:rsid w:val="656433B7"/>
    <w:rsid w:val="6568492E"/>
    <w:rsid w:val="656F1B92"/>
    <w:rsid w:val="656F428E"/>
    <w:rsid w:val="6572765C"/>
    <w:rsid w:val="657472F9"/>
    <w:rsid w:val="657656B2"/>
    <w:rsid w:val="65783F65"/>
    <w:rsid w:val="657A7CC8"/>
    <w:rsid w:val="657D19D8"/>
    <w:rsid w:val="658072D7"/>
    <w:rsid w:val="65811741"/>
    <w:rsid w:val="65836EB8"/>
    <w:rsid w:val="65871F3B"/>
    <w:rsid w:val="65875C07"/>
    <w:rsid w:val="658C43CE"/>
    <w:rsid w:val="658E27D9"/>
    <w:rsid w:val="6590673C"/>
    <w:rsid w:val="65932F99"/>
    <w:rsid w:val="6596271A"/>
    <w:rsid w:val="65987CFB"/>
    <w:rsid w:val="659E1EF2"/>
    <w:rsid w:val="659F4F5F"/>
    <w:rsid w:val="65AD3844"/>
    <w:rsid w:val="65AE47A5"/>
    <w:rsid w:val="65B14694"/>
    <w:rsid w:val="65B46BD4"/>
    <w:rsid w:val="65B5105F"/>
    <w:rsid w:val="65B948F5"/>
    <w:rsid w:val="65C01C2B"/>
    <w:rsid w:val="65C21D1F"/>
    <w:rsid w:val="65C66E83"/>
    <w:rsid w:val="65C92256"/>
    <w:rsid w:val="65CA4A1D"/>
    <w:rsid w:val="65D67B63"/>
    <w:rsid w:val="65DA10C1"/>
    <w:rsid w:val="65DE5211"/>
    <w:rsid w:val="65DF2304"/>
    <w:rsid w:val="65E3395E"/>
    <w:rsid w:val="65E36E68"/>
    <w:rsid w:val="65E73D0F"/>
    <w:rsid w:val="65E750D0"/>
    <w:rsid w:val="65E76B82"/>
    <w:rsid w:val="65E9173F"/>
    <w:rsid w:val="65EF6D3B"/>
    <w:rsid w:val="65F01BBA"/>
    <w:rsid w:val="65F555D7"/>
    <w:rsid w:val="65F86C57"/>
    <w:rsid w:val="65FC532F"/>
    <w:rsid w:val="66007ED6"/>
    <w:rsid w:val="6603617F"/>
    <w:rsid w:val="66053D34"/>
    <w:rsid w:val="66064422"/>
    <w:rsid w:val="660E6D68"/>
    <w:rsid w:val="660F72A9"/>
    <w:rsid w:val="66124A48"/>
    <w:rsid w:val="6614055F"/>
    <w:rsid w:val="661B5A3A"/>
    <w:rsid w:val="661F371A"/>
    <w:rsid w:val="6620568C"/>
    <w:rsid w:val="66275869"/>
    <w:rsid w:val="662A07D8"/>
    <w:rsid w:val="663862FC"/>
    <w:rsid w:val="663C28A3"/>
    <w:rsid w:val="663C3023"/>
    <w:rsid w:val="663C4D31"/>
    <w:rsid w:val="663C5F62"/>
    <w:rsid w:val="66414465"/>
    <w:rsid w:val="66462B59"/>
    <w:rsid w:val="66474ABE"/>
    <w:rsid w:val="664C3E2A"/>
    <w:rsid w:val="664F287C"/>
    <w:rsid w:val="664F3CCC"/>
    <w:rsid w:val="66505FB4"/>
    <w:rsid w:val="66512220"/>
    <w:rsid w:val="6654630F"/>
    <w:rsid w:val="6657617C"/>
    <w:rsid w:val="665A75C9"/>
    <w:rsid w:val="66604DB5"/>
    <w:rsid w:val="66694D3B"/>
    <w:rsid w:val="66695292"/>
    <w:rsid w:val="666A47FF"/>
    <w:rsid w:val="666D468D"/>
    <w:rsid w:val="666E21C1"/>
    <w:rsid w:val="666E4E56"/>
    <w:rsid w:val="66742255"/>
    <w:rsid w:val="667A1216"/>
    <w:rsid w:val="667F78A0"/>
    <w:rsid w:val="668921C5"/>
    <w:rsid w:val="668A23A3"/>
    <w:rsid w:val="668A3F0A"/>
    <w:rsid w:val="668E69C8"/>
    <w:rsid w:val="669D54A4"/>
    <w:rsid w:val="669F062D"/>
    <w:rsid w:val="66A04DA0"/>
    <w:rsid w:val="66A758D6"/>
    <w:rsid w:val="66B13127"/>
    <w:rsid w:val="66B739FC"/>
    <w:rsid w:val="66B809BB"/>
    <w:rsid w:val="66BC2EE4"/>
    <w:rsid w:val="66BE542D"/>
    <w:rsid w:val="66BF2CA6"/>
    <w:rsid w:val="66C40AC4"/>
    <w:rsid w:val="66C55110"/>
    <w:rsid w:val="66C63C68"/>
    <w:rsid w:val="66C96260"/>
    <w:rsid w:val="66CA17D6"/>
    <w:rsid w:val="66CC0C98"/>
    <w:rsid w:val="66D14D3C"/>
    <w:rsid w:val="66D6220B"/>
    <w:rsid w:val="66D66517"/>
    <w:rsid w:val="66DD0B7A"/>
    <w:rsid w:val="66E23F83"/>
    <w:rsid w:val="66E55592"/>
    <w:rsid w:val="66E70968"/>
    <w:rsid w:val="66EC4174"/>
    <w:rsid w:val="66F62AC3"/>
    <w:rsid w:val="66F722A2"/>
    <w:rsid w:val="66FC3928"/>
    <w:rsid w:val="66FF33BE"/>
    <w:rsid w:val="67067B83"/>
    <w:rsid w:val="670C58F8"/>
    <w:rsid w:val="670D1C8E"/>
    <w:rsid w:val="67137195"/>
    <w:rsid w:val="6715695A"/>
    <w:rsid w:val="671A75A3"/>
    <w:rsid w:val="671D0ACB"/>
    <w:rsid w:val="671E730A"/>
    <w:rsid w:val="67204A8C"/>
    <w:rsid w:val="67213337"/>
    <w:rsid w:val="6725442A"/>
    <w:rsid w:val="67281E77"/>
    <w:rsid w:val="6729773E"/>
    <w:rsid w:val="672A5CBC"/>
    <w:rsid w:val="672B46D3"/>
    <w:rsid w:val="67391B0E"/>
    <w:rsid w:val="673C3A9A"/>
    <w:rsid w:val="673D240C"/>
    <w:rsid w:val="67436A0A"/>
    <w:rsid w:val="67450A89"/>
    <w:rsid w:val="674C38D0"/>
    <w:rsid w:val="674D6C11"/>
    <w:rsid w:val="675435DB"/>
    <w:rsid w:val="67557881"/>
    <w:rsid w:val="675666D9"/>
    <w:rsid w:val="675F4C8C"/>
    <w:rsid w:val="67640D80"/>
    <w:rsid w:val="67646071"/>
    <w:rsid w:val="67666325"/>
    <w:rsid w:val="676A61D1"/>
    <w:rsid w:val="676D34A4"/>
    <w:rsid w:val="67701756"/>
    <w:rsid w:val="67710912"/>
    <w:rsid w:val="67711A70"/>
    <w:rsid w:val="6771419D"/>
    <w:rsid w:val="677166AA"/>
    <w:rsid w:val="67737427"/>
    <w:rsid w:val="67796320"/>
    <w:rsid w:val="67796D0E"/>
    <w:rsid w:val="677C27AE"/>
    <w:rsid w:val="67846E4A"/>
    <w:rsid w:val="678D33CE"/>
    <w:rsid w:val="678E39FE"/>
    <w:rsid w:val="67900E59"/>
    <w:rsid w:val="679305DA"/>
    <w:rsid w:val="67932A39"/>
    <w:rsid w:val="67937D98"/>
    <w:rsid w:val="67966F14"/>
    <w:rsid w:val="679E142D"/>
    <w:rsid w:val="67A371CC"/>
    <w:rsid w:val="67A96AD6"/>
    <w:rsid w:val="67B61F1A"/>
    <w:rsid w:val="67B649ED"/>
    <w:rsid w:val="67BD731D"/>
    <w:rsid w:val="67C03D8F"/>
    <w:rsid w:val="67C11496"/>
    <w:rsid w:val="67C32123"/>
    <w:rsid w:val="67CD1CBB"/>
    <w:rsid w:val="67CE425A"/>
    <w:rsid w:val="67D11D61"/>
    <w:rsid w:val="67D458FB"/>
    <w:rsid w:val="67DB4E48"/>
    <w:rsid w:val="67DC07A9"/>
    <w:rsid w:val="67DE5D0C"/>
    <w:rsid w:val="67DE7934"/>
    <w:rsid w:val="67E74651"/>
    <w:rsid w:val="67EA3441"/>
    <w:rsid w:val="67EB221B"/>
    <w:rsid w:val="67EE7C8D"/>
    <w:rsid w:val="67F407ED"/>
    <w:rsid w:val="67FD47D7"/>
    <w:rsid w:val="67FE5DDA"/>
    <w:rsid w:val="67FF071A"/>
    <w:rsid w:val="68013768"/>
    <w:rsid w:val="6802249B"/>
    <w:rsid w:val="68056E21"/>
    <w:rsid w:val="6806687D"/>
    <w:rsid w:val="680C3C38"/>
    <w:rsid w:val="680E4AE4"/>
    <w:rsid w:val="68101669"/>
    <w:rsid w:val="6810267B"/>
    <w:rsid w:val="68172399"/>
    <w:rsid w:val="68194464"/>
    <w:rsid w:val="681B1A62"/>
    <w:rsid w:val="68271251"/>
    <w:rsid w:val="68281896"/>
    <w:rsid w:val="682C3823"/>
    <w:rsid w:val="682E594B"/>
    <w:rsid w:val="683575B9"/>
    <w:rsid w:val="683E3252"/>
    <w:rsid w:val="68400751"/>
    <w:rsid w:val="68455833"/>
    <w:rsid w:val="6848060F"/>
    <w:rsid w:val="684A5A9F"/>
    <w:rsid w:val="684D34E9"/>
    <w:rsid w:val="684E074E"/>
    <w:rsid w:val="684E1EA1"/>
    <w:rsid w:val="68517318"/>
    <w:rsid w:val="685362CB"/>
    <w:rsid w:val="685475FD"/>
    <w:rsid w:val="68567229"/>
    <w:rsid w:val="68612B33"/>
    <w:rsid w:val="68692CC3"/>
    <w:rsid w:val="686D4BAA"/>
    <w:rsid w:val="686F226B"/>
    <w:rsid w:val="687321EA"/>
    <w:rsid w:val="687B3DE6"/>
    <w:rsid w:val="68843AB9"/>
    <w:rsid w:val="68862C5C"/>
    <w:rsid w:val="688C5A4F"/>
    <w:rsid w:val="688C73B0"/>
    <w:rsid w:val="688C7A1B"/>
    <w:rsid w:val="688E35FF"/>
    <w:rsid w:val="68976010"/>
    <w:rsid w:val="68993036"/>
    <w:rsid w:val="689B28BD"/>
    <w:rsid w:val="689D1B55"/>
    <w:rsid w:val="68A00A92"/>
    <w:rsid w:val="68A36939"/>
    <w:rsid w:val="68A64B70"/>
    <w:rsid w:val="68A85E41"/>
    <w:rsid w:val="68AC36CB"/>
    <w:rsid w:val="68AE7F2C"/>
    <w:rsid w:val="68B328F2"/>
    <w:rsid w:val="68BC13A9"/>
    <w:rsid w:val="68C223AD"/>
    <w:rsid w:val="68C23785"/>
    <w:rsid w:val="68C416C6"/>
    <w:rsid w:val="68C5307D"/>
    <w:rsid w:val="68C62AB7"/>
    <w:rsid w:val="68CA6310"/>
    <w:rsid w:val="68CB18E5"/>
    <w:rsid w:val="68D76EA6"/>
    <w:rsid w:val="68DC3F14"/>
    <w:rsid w:val="68DE6DAC"/>
    <w:rsid w:val="68DF0D2B"/>
    <w:rsid w:val="68DF284B"/>
    <w:rsid w:val="68E03B1B"/>
    <w:rsid w:val="68E27600"/>
    <w:rsid w:val="68E4146B"/>
    <w:rsid w:val="68E5221E"/>
    <w:rsid w:val="68F22C33"/>
    <w:rsid w:val="68F266C8"/>
    <w:rsid w:val="68FA1B7F"/>
    <w:rsid w:val="68FB0655"/>
    <w:rsid w:val="68FB7D3F"/>
    <w:rsid w:val="68FE38B7"/>
    <w:rsid w:val="68FF766C"/>
    <w:rsid w:val="690116C2"/>
    <w:rsid w:val="690403B7"/>
    <w:rsid w:val="6904362B"/>
    <w:rsid w:val="6909306C"/>
    <w:rsid w:val="690B3B20"/>
    <w:rsid w:val="690D0183"/>
    <w:rsid w:val="69100093"/>
    <w:rsid w:val="69100A0E"/>
    <w:rsid w:val="69116A51"/>
    <w:rsid w:val="69184E29"/>
    <w:rsid w:val="691F5370"/>
    <w:rsid w:val="69202510"/>
    <w:rsid w:val="69217418"/>
    <w:rsid w:val="69231179"/>
    <w:rsid w:val="692F2DBD"/>
    <w:rsid w:val="6931371A"/>
    <w:rsid w:val="693A2DE2"/>
    <w:rsid w:val="693D214B"/>
    <w:rsid w:val="693D3216"/>
    <w:rsid w:val="69400733"/>
    <w:rsid w:val="69412FDC"/>
    <w:rsid w:val="694C5DFD"/>
    <w:rsid w:val="695609CC"/>
    <w:rsid w:val="69564083"/>
    <w:rsid w:val="69566AFB"/>
    <w:rsid w:val="69572D2B"/>
    <w:rsid w:val="695C05CD"/>
    <w:rsid w:val="695C53D2"/>
    <w:rsid w:val="69612A3E"/>
    <w:rsid w:val="69612DA7"/>
    <w:rsid w:val="696A42E9"/>
    <w:rsid w:val="696F5EFE"/>
    <w:rsid w:val="69716858"/>
    <w:rsid w:val="69726269"/>
    <w:rsid w:val="697479E7"/>
    <w:rsid w:val="6976487A"/>
    <w:rsid w:val="697B6784"/>
    <w:rsid w:val="697F198B"/>
    <w:rsid w:val="6981664A"/>
    <w:rsid w:val="69831317"/>
    <w:rsid w:val="698429A5"/>
    <w:rsid w:val="698B58BF"/>
    <w:rsid w:val="69933736"/>
    <w:rsid w:val="699508EC"/>
    <w:rsid w:val="69953836"/>
    <w:rsid w:val="699643E7"/>
    <w:rsid w:val="69993D5A"/>
    <w:rsid w:val="699A4BFB"/>
    <w:rsid w:val="69A0750E"/>
    <w:rsid w:val="69A61BD9"/>
    <w:rsid w:val="69A83487"/>
    <w:rsid w:val="69B21FF0"/>
    <w:rsid w:val="69B71841"/>
    <w:rsid w:val="69B920F5"/>
    <w:rsid w:val="69BA1964"/>
    <w:rsid w:val="69C11F71"/>
    <w:rsid w:val="69C26233"/>
    <w:rsid w:val="69C704B1"/>
    <w:rsid w:val="69D05D97"/>
    <w:rsid w:val="69D255AD"/>
    <w:rsid w:val="69D64412"/>
    <w:rsid w:val="69E52A4D"/>
    <w:rsid w:val="69E720C3"/>
    <w:rsid w:val="69E74D72"/>
    <w:rsid w:val="69F064E7"/>
    <w:rsid w:val="69F9736F"/>
    <w:rsid w:val="69FD2A4A"/>
    <w:rsid w:val="69FF7366"/>
    <w:rsid w:val="6A066C98"/>
    <w:rsid w:val="6A080F81"/>
    <w:rsid w:val="6A084C60"/>
    <w:rsid w:val="6A0D387A"/>
    <w:rsid w:val="6A0F0BC6"/>
    <w:rsid w:val="6A0F1EB7"/>
    <w:rsid w:val="6A193B8D"/>
    <w:rsid w:val="6A1E1F54"/>
    <w:rsid w:val="6A2261BF"/>
    <w:rsid w:val="6A274C32"/>
    <w:rsid w:val="6A2D0FC8"/>
    <w:rsid w:val="6A2D13E7"/>
    <w:rsid w:val="6A2E2848"/>
    <w:rsid w:val="6A333AAA"/>
    <w:rsid w:val="6A334C31"/>
    <w:rsid w:val="6A347950"/>
    <w:rsid w:val="6A352345"/>
    <w:rsid w:val="6A3A3201"/>
    <w:rsid w:val="6A3C599F"/>
    <w:rsid w:val="6A3F1AA3"/>
    <w:rsid w:val="6A404FAA"/>
    <w:rsid w:val="6A432361"/>
    <w:rsid w:val="6A440DA2"/>
    <w:rsid w:val="6A45370F"/>
    <w:rsid w:val="6A49264C"/>
    <w:rsid w:val="6A4947AF"/>
    <w:rsid w:val="6A50156C"/>
    <w:rsid w:val="6A54267D"/>
    <w:rsid w:val="6A5758D4"/>
    <w:rsid w:val="6A60395C"/>
    <w:rsid w:val="6A6A2AB0"/>
    <w:rsid w:val="6A6B5A6E"/>
    <w:rsid w:val="6A6B76EF"/>
    <w:rsid w:val="6A6D7781"/>
    <w:rsid w:val="6A700EA3"/>
    <w:rsid w:val="6A710DAE"/>
    <w:rsid w:val="6A8A4990"/>
    <w:rsid w:val="6A8A6660"/>
    <w:rsid w:val="6A8D1484"/>
    <w:rsid w:val="6A8E2947"/>
    <w:rsid w:val="6A90043B"/>
    <w:rsid w:val="6A903710"/>
    <w:rsid w:val="6A9126F7"/>
    <w:rsid w:val="6A91651E"/>
    <w:rsid w:val="6A950B2F"/>
    <w:rsid w:val="6AA021ED"/>
    <w:rsid w:val="6AA357B6"/>
    <w:rsid w:val="6AA40D18"/>
    <w:rsid w:val="6AAE2BBF"/>
    <w:rsid w:val="6AAE68FB"/>
    <w:rsid w:val="6AB225E9"/>
    <w:rsid w:val="6AB60178"/>
    <w:rsid w:val="6AB90307"/>
    <w:rsid w:val="6ABA73C9"/>
    <w:rsid w:val="6ABF7F3E"/>
    <w:rsid w:val="6AC00C98"/>
    <w:rsid w:val="6AC05058"/>
    <w:rsid w:val="6AC57EC3"/>
    <w:rsid w:val="6AC7624E"/>
    <w:rsid w:val="6AC76CDC"/>
    <w:rsid w:val="6AC90FBE"/>
    <w:rsid w:val="6ACA5BBB"/>
    <w:rsid w:val="6ACB358D"/>
    <w:rsid w:val="6ACF46F6"/>
    <w:rsid w:val="6AD124AB"/>
    <w:rsid w:val="6AD2771E"/>
    <w:rsid w:val="6AD314F5"/>
    <w:rsid w:val="6AD54008"/>
    <w:rsid w:val="6ADF6438"/>
    <w:rsid w:val="6AE4367E"/>
    <w:rsid w:val="6AE80F76"/>
    <w:rsid w:val="6AED09C5"/>
    <w:rsid w:val="6AF35A5F"/>
    <w:rsid w:val="6AF500A3"/>
    <w:rsid w:val="6AF6666C"/>
    <w:rsid w:val="6AFF4892"/>
    <w:rsid w:val="6B074943"/>
    <w:rsid w:val="6B077BE8"/>
    <w:rsid w:val="6B0E1F57"/>
    <w:rsid w:val="6B154887"/>
    <w:rsid w:val="6B246E1B"/>
    <w:rsid w:val="6B2660B6"/>
    <w:rsid w:val="6B2821FD"/>
    <w:rsid w:val="6B2A52CE"/>
    <w:rsid w:val="6B2C13C9"/>
    <w:rsid w:val="6B2E1212"/>
    <w:rsid w:val="6B3119C4"/>
    <w:rsid w:val="6B313E19"/>
    <w:rsid w:val="6B3358B5"/>
    <w:rsid w:val="6B3552C5"/>
    <w:rsid w:val="6B393C41"/>
    <w:rsid w:val="6B3C27EF"/>
    <w:rsid w:val="6B3C2DBF"/>
    <w:rsid w:val="6B3E1E8A"/>
    <w:rsid w:val="6B3E38BF"/>
    <w:rsid w:val="6B405754"/>
    <w:rsid w:val="6B434FD1"/>
    <w:rsid w:val="6B44709F"/>
    <w:rsid w:val="6B463235"/>
    <w:rsid w:val="6B48504B"/>
    <w:rsid w:val="6B4C18C1"/>
    <w:rsid w:val="6B4C1E8E"/>
    <w:rsid w:val="6B4E4075"/>
    <w:rsid w:val="6B4E437A"/>
    <w:rsid w:val="6B58002F"/>
    <w:rsid w:val="6B5E024E"/>
    <w:rsid w:val="6B6268C0"/>
    <w:rsid w:val="6B63099D"/>
    <w:rsid w:val="6B640BB8"/>
    <w:rsid w:val="6B6703D5"/>
    <w:rsid w:val="6B68049A"/>
    <w:rsid w:val="6B6805D8"/>
    <w:rsid w:val="6B6A66BE"/>
    <w:rsid w:val="6B702E12"/>
    <w:rsid w:val="6B7268A2"/>
    <w:rsid w:val="6B7319CF"/>
    <w:rsid w:val="6B740B28"/>
    <w:rsid w:val="6B7567D3"/>
    <w:rsid w:val="6B8456B5"/>
    <w:rsid w:val="6B864B53"/>
    <w:rsid w:val="6B876457"/>
    <w:rsid w:val="6B9032BD"/>
    <w:rsid w:val="6B903379"/>
    <w:rsid w:val="6B95512C"/>
    <w:rsid w:val="6B9B03E9"/>
    <w:rsid w:val="6BA74543"/>
    <w:rsid w:val="6BAD1041"/>
    <w:rsid w:val="6BB35C03"/>
    <w:rsid w:val="6BB37313"/>
    <w:rsid w:val="6BC30230"/>
    <w:rsid w:val="6BD32971"/>
    <w:rsid w:val="6BD67DD0"/>
    <w:rsid w:val="6BE1178B"/>
    <w:rsid w:val="6BEA59DA"/>
    <w:rsid w:val="6BED79F1"/>
    <w:rsid w:val="6BEE0BC3"/>
    <w:rsid w:val="6BF12281"/>
    <w:rsid w:val="6BF36426"/>
    <w:rsid w:val="6BF46352"/>
    <w:rsid w:val="6BF65588"/>
    <w:rsid w:val="6BFB2753"/>
    <w:rsid w:val="6BFD1695"/>
    <w:rsid w:val="6C023DE0"/>
    <w:rsid w:val="6C0621FF"/>
    <w:rsid w:val="6C0808FE"/>
    <w:rsid w:val="6C134E1C"/>
    <w:rsid w:val="6C16025D"/>
    <w:rsid w:val="6C19420F"/>
    <w:rsid w:val="6C1D040B"/>
    <w:rsid w:val="6C1D608E"/>
    <w:rsid w:val="6C2168A5"/>
    <w:rsid w:val="6C217CAD"/>
    <w:rsid w:val="6C237C41"/>
    <w:rsid w:val="6C246650"/>
    <w:rsid w:val="6C265813"/>
    <w:rsid w:val="6C27078B"/>
    <w:rsid w:val="6C2C2497"/>
    <w:rsid w:val="6C2E3030"/>
    <w:rsid w:val="6C312885"/>
    <w:rsid w:val="6C344493"/>
    <w:rsid w:val="6C3A665D"/>
    <w:rsid w:val="6C3F30A1"/>
    <w:rsid w:val="6C462983"/>
    <w:rsid w:val="6C482491"/>
    <w:rsid w:val="6C5662F5"/>
    <w:rsid w:val="6C5776DF"/>
    <w:rsid w:val="6C59778F"/>
    <w:rsid w:val="6C5B4EA9"/>
    <w:rsid w:val="6C5E32A2"/>
    <w:rsid w:val="6C5F2A92"/>
    <w:rsid w:val="6C615051"/>
    <w:rsid w:val="6C677808"/>
    <w:rsid w:val="6C713C2F"/>
    <w:rsid w:val="6C7844A3"/>
    <w:rsid w:val="6C79301B"/>
    <w:rsid w:val="6C7A4568"/>
    <w:rsid w:val="6C813CFE"/>
    <w:rsid w:val="6C8225F6"/>
    <w:rsid w:val="6C844E30"/>
    <w:rsid w:val="6C8569EA"/>
    <w:rsid w:val="6C910C4F"/>
    <w:rsid w:val="6C9A0554"/>
    <w:rsid w:val="6CB25625"/>
    <w:rsid w:val="6CB27E43"/>
    <w:rsid w:val="6CB30454"/>
    <w:rsid w:val="6CB935E2"/>
    <w:rsid w:val="6CC51644"/>
    <w:rsid w:val="6CC70A53"/>
    <w:rsid w:val="6CC77623"/>
    <w:rsid w:val="6CC82FA8"/>
    <w:rsid w:val="6CCE49E6"/>
    <w:rsid w:val="6CCF1493"/>
    <w:rsid w:val="6CE41131"/>
    <w:rsid w:val="6CED3CA7"/>
    <w:rsid w:val="6CF807A9"/>
    <w:rsid w:val="6CF95DCA"/>
    <w:rsid w:val="6CFE482D"/>
    <w:rsid w:val="6D0304F1"/>
    <w:rsid w:val="6D0523E3"/>
    <w:rsid w:val="6D120FFE"/>
    <w:rsid w:val="6D140790"/>
    <w:rsid w:val="6D1545FD"/>
    <w:rsid w:val="6D246358"/>
    <w:rsid w:val="6D292422"/>
    <w:rsid w:val="6D2F7884"/>
    <w:rsid w:val="6D303DD8"/>
    <w:rsid w:val="6D343534"/>
    <w:rsid w:val="6D346C21"/>
    <w:rsid w:val="6D392A1A"/>
    <w:rsid w:val="6D40028F"/>
    <w:rsid w:val="6D401657"/>
    <w:rsid w:val="6D496EAD"/>
    <w:rsid w:val="6D4A03DA"/>
    <w:rsid w:val="6D4E6CD4"/>
    <w:rsid w:val="6D5B148F"/>
    <w:rsid w:val="6D5B3924"/>
    <w:rsid w:val="6D5C0087"/>
    <w:rsid w:val="6D5E12D0"/>
    <w:rsid w:val="6D5E71CD"/>
    <w:rsid w:val="6D6513A7"/>
    <w:rsid w:val="6D65143B"/>
    <w:rsid w:val="6D67455C"/>
    <w:rsid w:val="6D6B381F"/>
    <w:rsid w:val="6D6B6E5F"/>
    <w:rsid w:val="6D753460"/>
    <w:rsid w:val="6D770698"/>
    <w:rsid w:val="6D797DFB"/>
    <w:rsid w:val="6D7D4B4F"/>
    <w:rsid w:val="6D7E5F02"/>
    <w:rsid w:val="6D7F057C"/>
    <w:rsid w:val="6D806B92"/>
    <w:rsid w:val="6D834BAB"/>
    <w:rsid w:val="6D8B04D8"/>
    <w:rsid w:val="6D8D520F"/>
    <w:rsid w:val="6D93407E"/>
    <w:rsid w:val="6D973E89"/>
    <w:rsid w:val="6D994B67"/>
    <w:rsid w:val="6D9E09D6"/>
    <w:rsid w:val="6D9E7300"/>
    <w:rsid w:val="6DA155D8"/>
    <w:rsid w:val="6DA8020C"/>
    <w:rsid w:val="6DA82ED8"/>
    <w:rsid w:val="6DAA2EAB"/>
    <w:rsid w:val="6DAA375A"/>
    <w:rsid w:val="6DAF121E"/>
    <w:rsid w:val="6DB048E9"/>
    <w:rsid w:val="6DB51807"/>
    <w:rsid w:val="6DB66D15"/>
    <w:rsid w:val="6DB948A7"/>
    <w:rsid w:val="6DBC5E8B"/>
    <w:rsid w:val="6DC7738D"/>
    <w:rsid w:val="6DCA47B8"/>
    <w:rsid w:val="6DCC58ED"/>
    <w:rsid w:val="6DD47039"/>
    <w:rsid w:val="6DDA32A3"/>
    <w:rsid w:val="6DE918A7"/>
    <w:rsid w:val="6DEA73AE"/>
    <w:rsid w:val="6DEC53F3"/>
    <w:rsid w:val="6DF005D0"/>
    <w:rsid w:val="6DF07740"/>
    <w:rsid w:val="6DF31001"/>
    <w:rsid w:val="6DF45798"/>
    <w:rsid w:val="6DF4747E"/>
    <w:rsid w:val="6DF7041E"/>
    <w:rsid w:val="6DF95CE7"/>
    <w:rsid w:val="6DFD40E9"/>
    <w:rsid w:val="6DFD61AD"/>
    <w:rsid w:val="6E204279"/>
    <w:rsid w:val="6E260E91"/>
    <w:rsid w:val="6E2B6678"/>
    <w:rsid w:val="6E2E7463"/>
    <w:rsid w:val="6E2F1112"/>
    <w:rsid w:val="6E302E88"/>
    <w:rsid w:val="6E305DD4"/>
    <w:rsid w:val="6E3156A3"/>
    <w:rsid w:val="6E320DEC"/>
    <w:rsid w:val="6E352EE9"/>
    <w:rsid w:val="6E363A38"/>
    <w:rsid w:val="6E3F3597"/>
    <w:rsid w:val="6E406CC8"/>
    <w:rsid w:val="6E420793"/>
    <w:rsid w:val="6E44031D"/>
    <w:rsid w:val="6E45218A"/>
    <w:rsid w:val="6E47723E"/>
    <w:rsid w:val="6E4C1934"/>
    <w:rsid w:val="6E4D1D10"/>
    <w:rsid w:val="6E536153"/>
    <w:rsid w:val="6E5435EE"/>
    <w:rsid w:val="6E546890"/>
    <w:rsid w:val="6E553877"/>
    <w:rsid w:val="6E59020F"/>
    <w:rsid w:val="6E637F72"/>
    <w:rsid w:val="6E6B7B0E"/>
    <w:rsid w:val="6E7F25E0"/>
    <w:rsid w:val="6E80482A"/>
    <w:rsid w:val="6E844D47"/>
    <w:rsid w:val="6E844E34"/>
    <w:rsid w:val="6E875889"/>
    <w:rsid w:val="6E8D63EF"/>
    <w:rsid w:val="6E8D715A"/>
    <w:rsid w:val="6E9141E6"/>
    <w:rsid w:val="6E99460C"/>
    <w:rsid w:val="6E9969D2"/>
    <w:rsid w:val="6E9A1568"/>
    <w:rsid w:val="6E9A2DBD"/>
    <w:rsid w:val="6E9F239E"/>
    <w:rsid w:val="6EA0417B"/>
    <w:rsid w:val="6EA06878"/>
    <w:rsid w:val="6EAB443E"/>
    <w:rsid w:val="6EAD09CD"/>
    <w:rsid w:val="6EB97D76"/>
    <w:rsid w:val="6EBA31F4"/>
    <w:rsid w:val="6EBB3EC6"/>
    <w:rsid w:val="6EBB574F"/>
    <w:rsid w:val="6EBE53B1"/>
    <w:rsid w:val="6EBF47A1"/>
    <w:rsid w:val="6EC00663"/>
    <w:rsid w:val="6EC170AE"/>
    <w:rsid w:val="6EC33F2A"/>
    <w:rsid w:val="6EC70570"/>
    <w:rsid w:val="6ED53ED7"/>
    <w:rsid w:val="6EDB037B"/>
    <w:rsid w:val="6EDD7BF3"/>
    <w:rsid w:val="6EE334D5"/>
    <w:rsid w:val="6EE5455E"/>
    <w:rsid w:val="6EE75D90"/>
    <w:rsid w:val="6EEB6B19"/>
    <w:rsid w:val="6EEE3756"/>
    <w:rsid w:val="6EF6365D"/>
    <w:rsid w:val="6EF72C2B"/>
    <w:rsid w:val="6EF90060"/>
    <w:rsid w:val="6EFA7B7B"/>
    <w:rsid w:val="6EFD0673"/>
    <w:rsid w:val="6F117047"/>
    <w:rsid w:val="6F1521D7"/>
    <w:rsid w:val="6F17601E"/>
    <w:rsid w:val="6F1B249F"/>
    <w:rsid w:val="6F273116"/>
    <w:rsid w:val="6F3F7DA2"/>
    <w:rsid w:val="6F4661C1"/>
    <w:rsid w:val="6F4E5BE2"/>
    <w:rsid w:val="6F4F0562"/>
    <w:rsid w:val="6F501605"/>
    <w:rsid w:val="6F572E76"/>
    <w:rsid w:val="6F5E3F06"/>
    <w:rsid w:val="6F5F40A6"/>
    <w:rsid w:val="6F611F8D"/>
    <w:rsid w:val="6F6271FB"/>
    <w:rsid w:val="6F643410"/>
    <w:rsid w:val="6F651C00"/>
    <w:rsid w:val="6F676FB0"/>
    <w:rsid w:val="6F697E0B"/>
    <w:rsid w:val="6F6E3A08"/>
    <w:rsid w:val="6F6F5F8D"/>
    <w:rsid w:val="6F7755CB"/>
    <w:rsid w:val="6F7A0088"/>
    <w:rsid w:val="6F7B5663"/>
    <w:rsid w:val="6F814DAA"/>
    <w:rsid w:val="6F8547A1"/>
    <w:rsid w:val="6F8D202A"/>
    <w:rsid w:val="6F946BD7"/>
    <w:rsid w:val="6F9802BF"/>
    <w:rsid w:val="6F9A0A2F"/>
    <w:rsid w:val="6FA0485D"/>
    <w:rsid w:val="6FA12EF8"/>
    <w:rsid w:val="6FA2139E"/>
    <w:rsid w:val="6FA272F9"/>
    <w:rsid w:val="6FA43987"/>
    <w:rsid w:val="6FA9066B"/>
    <w:rsid w:val="6FA91746"/>
    <w:rsid w:val="6FAA5008"/>
    <w:rsid w:val="6FAE3F72"/>
    <w:rsid w:val="6FB4194E"/>
    <w:rsid w:val="6FB851AB"/>
    <w:rsid w:val="6FB853B5"/>
    <w:rsid w:val="6FBB4F9D"/>
    <w:rsid w:val="6FBB7CF3"/>
    <w:rsid w:val="6FC07B42"/>
    <w:rsid w:val="6FC73E24"/>
    <w:rsid w:val="6FC74166"/>
    <w:rsid w:val="6FC74F24"/>
    <w:rsid w:val="6FC84EB7"/>
    <w:rsid w:val="6FD651E8"/>
    <w:rsid w:val="6FD96F42"/>
    <w:rsid w:val="6FDA2EC6"/>
    <w:rsid w:val="6FDD540A"/>
    <w:rsid w:val="6FDE34AC"/>
    <w:rsid w:val="6FE33EA5"/>
    <w:rsid w:val="6FE368F7"/>
    <w:rsid w:val="6FEB1333"/>
    <w:rsid w:val="6FEC43FB"/>
    <w:rsid w:val="6FEC4A02"/>
    <w:rsid w:val="6FEE00B9"/>
    <w:rsid w:val="6FF85D7A"/>
    <w:rsid w:val="6FF94F0C"/>
    <w:rsid w:val="70022165"/>
    <w:rsid w:val="70052A03"/>
    <w:rsid w:val="70053060"/>
    <w:rsid w:val="700539E5"/>
    <w:rsid w:val="70061B71"/>
    <w:rsid w:val="70061D97"/>
    <w:rsid w:val="7006431D"/>
    <w:rsid w:val="70065389"/>
    <w:rsid w:val="7008022D"/>
    <w:rsid w:val="700E71AF"/>
    <w:rsid w:val="70142AF7"/>
    <w:rsid w:val="7015358B"/>
    <w:rsid w:val="70191235"/>
    <w:rsid w:val="701B235B"/>
    <w:rsid w:val="702575FF"/>
    <w:rsid w:val="70297780"/>
    <w:rsid w:val="702B2E50"/>
    <w:rsid w:val="702E37AD"/>
    <w:rsid w:val="70310061"/>
    <w:rsid w:val="70317B57"/>
    <w:rsid w:val="70322473"/>
    <w:rsid w:val="70372666"/>
    <w:rsid w:val="703C4143"/>
    <w:rsid w:val="70401B76"/>
    <w:rsid w:val="704A4B01"/>
    <w:rsid w:val="704E172A"/>
    <w:rsid w:val="705054E5"/>
    <w:rsid w:val="70514759"/>
    <w:rsid w:val="705231E0"/>
    <w:rsid w:val="70590CFE"/>
    <w:rsid w:val="70591D7D"/>
    <w:rsid w:val="705B114C"/>
    <w:rsid w:val="7060335C"/>
    <w:rsid w:val="706339EC"/>
    <w:rsid w:val="70687AED"/>
    <w:rsid w:val="706B1E3D"/>
    <w:rsid w:val="706D1F1F"/>
    <w:rsid w:val="70704724"/>
    <w:rsid w:val="70726194"/>
    <w:rsid w:val="707966C6"/>
    <w:rsid w:val="707C0EF2"/>
    <w:rsid w:val="707D3C55"/>
    <w:rsid w:val="707E0B7C"/>
    <w:rsid w:val="707F7788"/>
    <w:rsid w:val="70806694"/>
    <w:rsid w:val="70861333"/>
    <w:rsid w:val="709D2181"/>
    <w:rsid w:val="709D6DEA"/>
    <w:rsid w:val="709F1E88"/>
    <w:rsid w:val="70A02FEF"/>
    <w:rsid w:val="70A53CB7"/>
    <w:rsid w:val="70A738E3"/>
    <w:rsid w:val="70B6242A"/>
    <w:rsid w:val="70B62959"/>
    <w:rsid w:val="70BD326A"/>
    <w:rsid w:val="70BD5165"/>
    <w:rsid w:val="70BF230F"/>
    <w:rsid w:val="70C33E9D"/>
    <w:rsid w:val="70CA354E"/>
    <w:rsid w:val="70CC38F4"/>
    <w:rsid w:val="70D40183"/>
    <w:rsid w:val="70D46510"/>
    <w:rsid w:val="70D52A96"/>
    <w:rsid w:val="70D6353E"/>
    <w:rsid w:val="70D87DB4"/>
    <w:rsid w:val="70DD0793"/>
    <w:rsid w:val="70DD07DA"/>
    <w:rsid w:val="70E21FD1"/>
    <w:rsid w:val="70E23846"/>
    <w:rsid w:val="70E36C1E"/>
    <w:rsid w:val="70E935B6"/>
    <w:rsid w:val="70EA613E"/>
    <w:rsid w:val="70F46AA0"/>
    <w:rsid w:val="70F91601"/>
    <w:rsid w:val="70FE6A47"/>
    <w:rsid w:val="71031443"/>
    <w:rsid w:val="710C59BC"/>
    <w:rsid w:val="71100FA9"/>
    <w:rsid w:val="71123330"/>
    <w:rsid w:val="7117468A"/>
    <w:rsid w:val="711810BA"/>
    <w:rsid w:val="711F7A02"/>
    <w:rsid w:val="71214A20"/>
    <w:rsid w:val="71231A37"/>
    <w:rsid w:val="712A3138"/>
    <w:rsid w:val="712B381B"/>
    <w:rsid w:val="712C32A6"/>
    <w:rsid w:val="71307E38"/>
    <w:rsid w:val="71355343"/>
    <w:rsid w:val="713D17DB"/>
    <w:rsid w:val="713F459E"/>
    <w:rsid w:val="71467806"/>
    <w:rsid w:val="714F706C"/>
    <w:rsid w:val="71554E52"/>
    <w:rsid w:val="71565E9A"/>
    <w:rsid w:val="715851BC"/>
    <w:rsid w:val="715D2E9A"/>
    <w:rsid w:val="71642849"/>
    <w:rsid w:val="716B71BC"/>
    <w:rsid w:val="716C5427"/>
    <w:rsid w:val="716C7C0E"/>
    <w:rsid w:val="716D0D59"/>
    <w:rsid w:val="716D1ED2"/>
    <w:rsid w:val="716D7F10"/>
    <w:rsid w:val="716F6B2B"/>
    <w:rsid w:val="717370A5"/>
    <w:rsid w:val="717411B0"/>
    <w:rsid w:val="71753518"/>
    <w:rsid w:val="717C6FE6"/>
    <w:rsid w:val="717E7E9D"/>
    <w:rsid w:val="71800FCF"/>
    <w:rsid w:val="71825623"/>
    <w:rsid w:val="718934E9"/>
    <w:rsid w:val="718B16D9"/>
    <w:rsid w:val="718C23D5"/>
    <w:rsid w:val="718F7BB9"/>
    <w:rsid w:val="7195588A"/>
    <w:rsid w:val="7197399B"/>
    <w:rsid w:val="719859D1"/>
    <w:rsid w:val="719A6969"/>
    <w:rsid w:val="719E79B9"/>
    <w:rsid w:val="719F19DF"/>
    <w:rsid w:val="71A355EB"/>
    <w:rsid w:val="71AD44B5"/>
    <w:rsid w:val="71B2298C"/>
    <w:rsid w:val="71B31729"/>
    <w:rsid w:val="71BA4157"/>
    <w:rsid w:val="71BC20FE"/>
    <w:rsid w:val="71C0200F"/>
    <w:rsid w:val="71C22DA2"/>
    <w:rsid w:val="71C73751"/>
    <w:rsid w:val="71CE1159"/>
    <w:rsid w:val="71D41978"/>
    <w:rsid w:val="71DA76B0"/>
    <w:rsid w:val="71DE5B37"/>
    <w:rsid w:val="71E71060"/>
    <w:rsid w:val="71EF3637"/>
    <w:rsid w:val="71F73C36"/>
    <w:rsid w:val="71F8721F"/>
    <w:rsid w:val="71FB1848"/>
    <w:rsid w:val="71FE17BB"/>
    <w:rsid w:val="720121A4"/>
    <w:rsid w:val="72086578"/>
    <w:rsid w:val="720D2869"/>
    <w:rsid w:val="721B673A"/>
    <w:rsid w:val="721F4A90"/>
    <w:rsid w:val="72302C33"/>
    <w:rsid w:val="72307D98"/>
    <w:rsid w:val="72347BA6"/>
    <w:rsid w:val="72350F0F"/>
    <w:rsid w:val="7236301D"/>
    <w:rsid w:val="723C0387"/>
    <w:rsid w:val="723D1E0F"/>
    <w:rsid w:val="723E3A0D"/>
    <w:rsid w:val="723E61D8"/>
    <w:rsid w:val="723F7FFC"/>
    <w:rsid w:val="7244396D"/>
    <w:rsid w:val="72472A35"/>
    <w:rsid w:val="72483667"/>
    <w:rsid w:val="724858C1"/>
    <w:rsid w:val="724E14F8"/>
    <w:rsid w:val="724E7ED9"/>
    <w:rsid w:val="725368EE"/>
    <w:rsid w:val="72593070"/>
    <w:rsid w:val="725A0757"/>
    <w:rsid w:val="725A316B"/>
    <w:rsid w:val="725B1186"/>
    <w:rsid w:val="72601813"/>
    <w:rsid w:val="726135D9"/>
    <w:rsid w:val="7263689D"/>
    <w:rsid w:val="72651EFF"/>
    <w:rsid w:val="72686871"/>
    <w:rsid w:val="726A7E3D"/>
    <w:rsid w:val="727702EF"/>
    <w:rsid w:val="72776890"/>
    <w:rsid w:val="727F235F"/>
    <w:rsid w:val="728225B4"/>
    <w:rsid w:val="72836F49"/>
    <w:rsid w:val="728D5645"/>
    <w:rsid w:val="728E29BA"/>
    <w:rsid w:val="72903CB1"/>
    <w:rsid w:val="729A7F27"/>
    <w:rsid w:val="72A14296"/>
    <w:rsid w:val="72A579B9"/>
    <w:rsid w:val="72AA45E4"/>
    <w:rsid w:val="72AF393A"/>
    <w:rsid w:val="72B0079C"/>
    <w:rsid w:val="72B2485B"/>
    <w:rsid w:val="72B573C3"/>
    <w:rsid w:val="72B91580"/>
    <w:rsid w:val="72B95638"/>
    <w:rsid w:val="72C439AF"/>
    <w:rsid w:val="72CA2C88"/>
    <w:rsid w:val="72CF00B7"/>
    <w:rsid w:val="72D80081"/>
    <w:rsid w:val="72D81F6A"/>
    <w:rsid w:val="72D95AA1"/>
    <w:rsid w:val="72DA3B8D"/>
    <w:rsid w:val="72DE7C9A"/>
    <w:rsid w:val="72E5037C"/>
    <w:rsid w:val="72EB2046"/>
    <w:rsid w:val="72F35889"/>
    <w:rsid w:val="72F80A54"/>
    <w:rsid w:val="72F82049"/>
    <w:rsid w:val="72F87945"/>
    <w:rsid w:val="730158CA"/>
    <w:rsid w:val="730237C9"/>
    <w:rsid w:val="73070D9E"/>
    <w:rsid w:val="730B42E2"/>
    <w:rsid w:val="730B6F3D"/>
    <w:rsid w:val="730C7C3B"/>
    <w:rsid w:val="730F59C1"/>
    <w:rsid w:val="7312667A"/>
    <w:rsid w:val="73162BED"/>
    <w:rsid w:val="73174E6C"/>
    <w:rsid w:val="73201F7E"/>
    <w:rsid w:val="73261668"/>
    <w:rsid w:val="73267C21"/>
    <w:rsid w:val="73287C10"/>
    <w:rsid w:val="732C4520"/>
    <w:rsid w:val="732D21F5"/>
    <w:rsid w:val="732D2518"/>
    <w:rsid w:val="732F6E79"/>
    <w:rsid w:val="733221B0"/>
    <w:rsid w:val="733444C8"/>
    <w:rsid w:val="7336559C"/>
    <w:rsid w:val="733E49D8"/>
    <w:rsid w:val="733F7FA0"/>
    <w:rsid w:val="73423C24"/>
    <w:rsid w:val="734312C6"/>
    <w:rsid w:val="73450408"/>
    <w:rsid w:val="73495EC3"/>
    <w:rsid w:val="734B03F6"/>
    <w:rsid w:val="734B5FDE"/>
    <w:rsid w:val="734E3DFF"/>
    <w:rsid w:val="73507237"/>
    <w:rsid w:val="73517242"/>
    <w:rsid w:val="735539FC"/>
    <w:rsid w:val="735A0ED4"/>
    <w:rsid w:val="735A3CC9"/>
    <w:rsid w:val="735D4D2A"/>
    <w:rsid w:val="735F2D35"/>
    <w:rsid w:val="73667CE6"/>
    <w:rsid w:val="7367606B"/>
    <w:rsid w:val="736A7600"/>
    <w:rsid w:val="736D3AF3"/>
    <w:rsid w:val="736E4748"/>
    <w:rsid w:val="73794082"/>
    <w:rsid w:val="7379750B"/>
    <w:rsid w:val="738112CA"/>
    <w:rsid w:val="7382034F"/>
    <w:rsid w:val="73840E33"/>
    <w:rsid w:val="73843420"/>
    <w:rsid w:val="7388363E"/>
    <w:rsid w:val="738F4A6F"/>
    <w:rsid w:val="7392380F"/>
    <w:rsid w:val="73941639"/>
    <w:rsid w:val="739564D0"/>
    <w:rsid w:val="73984DB4"/>
    <w:rsid w:val="739E0238"/>
    <w:rsid w:val="739E631C"/>
    <w:rsid w:val="739F6100"/>
    <w:rsid w:val="73A21291"/>
    <w:rsid w:val="73A32C34"/>
    <w:rsid w:val="73B272E1"/>
    <w:rsid w:val="73B34762"/>
    <w:rsid w:val="73B567E2"/>
    <w:rsid w:val="73BB22D0"/>
    <w:rsid w:val="73BD5B8D"/>
    <w:rsid w:val="73BE0082"/>
    <w:rsid w:val="73C765EF"/>
    <w:rsid w:val="73CD33DB"/>
    <w:rsid w:val="73D1487C"/>
    <w:rsid w:val="73D23DA7"/>
    <w:rsid w:val="73D32E7C"/>
    <w:rsid w:val="73D426D4"/>
    <w:rsid w:val="73D44865"/>
    <w:rsid w:val="73D61CED"/>
    <w:rsid w:val="73DB5D87"/>
    <w:rsid w:val="73DD6676"/>
    <w:rsid w:val="73DF2AEA"/>
    <w:rsid w:val="73E67FAF"/>
    <w:rsid w:val="73E96C68"/>
    <w:rsid w:val="73EB1BA0"/>
    <w:rsid w:val="73F12D43"/>
    <w:rsid w:val="73F53C79"/>
    <w:rsid w:val="73F7654F"/>
    <w:rsid w:val="73FA68A0"/>
    <w:rsid w:val="73FC69BA"/>
    <w:rsid w:val="73FF4DF7"/>
    <w:rsid w:val="740171C7"/>
    <w:rsid w:val="7406151D"/>
    <w:rsid w:val="7406708C"/>
    <w:rsid w:val="740D2D20"/>
    <w:rsid w:val="740F6D54"/>
    <w:rsid w:val="74135C6E"/>
    <w:rsid w:val="741973CD"/>
    <w:rsid w:val="741B1BEA"/>
    <w:rsid w:val="741C41A4"/>
    <w:rsid w:val="741E392E"/>
    <w:rsid w:val="741F1A79"/>
    <w:rsid w:val="74233414"/>
    <w:rsid w:val="742424A8"/>
    <w:rsid w:val="74267120"/>
    <w:rsid w:val="74267C64"/>
    <w:rsid w:val="742A6AD4"/>
    <w:rsid w:val="742E7FB0"/>
    <w:rsid w:val="74306FC0"/>
    <w:rsid w:val="74330F6A"/>
    <w:rsid w:val="74350373"/>
    <w:rsid w:val="743B15F1"/>
    <w:rsid w:val="743D4E3B"/>
    <w:rsid w:val="743F13C0"/>
    <w:rsid w:val="744361FC"/>
    <w:rsid w:val="74485080"/>
    <w:rsid w:val="744A2B74"/>
    <w:rsid w:val="744C12EA"/>
    <w:rsid w:val="744E39A9"/>
    <w:rsid w:val="74502D22"/>
    <w:rsid w:val="74522676"/>
    <w:rsid w:val="74531EE8"/>
    <w:rsid w:val="74532FD9"/>
    <w:rsid w:val="74567DC1"/>
    <w:rsid w:val="74571F34"/>
    <w:rsid w:val="74592C96"/>
    <w:rsid w:val="74597084"/>
    <w:rsid w:val="745A6D6C"/>
    <w:rsid w:val="745B4D5D"/>
    <w:rsid w:val="745F152D"/>
    <w:rsid w:val="74647336"/>
    <w:rsid w:val="74656ABF"/>
    <w:rsid w:val="7468286C"/>
    <w:rsid w:val="746E1573"/>
    <w:rsid w:val="74702FEB"/>
    <w:rsid w:val="74734D25"/>
    <w:rsid w:val="74805EB2"/>
    <w:rsid w:val="74833980"/>
    <w:rsid w:val="74840067"/>
    <w:rsid w:val="74872ADD"/>
    <w:rsid w:val="748734F5"/>
    <w:rsid w:val="748822B5"/>
    <w:rsid w:val="748A125E"/>
    <w:rsid w:val="748F5D31"/>
    <w:rsid w:val="74A13A42"/>
    <w:rsid w:val="74A7645D"/>
    <w:rsid w:val="74AE11DF"/>
    <w:rsid w:val="74B30026"/>
    <w:rsid w:val="74B325F8"/>
    <w:rsid w:val="74B343A9"/>
    <w:rsid w:val="74B6719C"/>
    <w:rsid w:val="74BD7824"/>
    <w:rsid w:val="74BF2FE9"/>
    <w:rsid w:val="74C3678F"/>
    <w:rsid w:val="74C76ECC"/>
    <w:rsid w:val="74D470A7"/>
    <w:rsid w:val="74DA14DE"/>
    <w:rsid w:val="74DC263A"/>
    <w:rsid w:val="74E14F18"/>
    <w:rsid w:val="74E27EE8"/>
    <w:rsid w:val="74E73CD5"/>
    <w:rsid w:val="74EA0233"/>
    <w:rsid w:val="74F7175B"/>
    <w:rsid w:val="74F73D1D"/>
    <w:rsid w:val="74F91D5A"/>
    <w:rsid w:val="74FB18BD"/>
    <w:rsid w:val="750459F9"/>
    <w:rsid w:val="75062EE3"/>
    <w:rsid w:val="750A6C7D"/>
    <w:rsid w:val="750F5C64"/>
    <w:rsid w:val="750F6231"/>
    <w:rsid w:val="75103D34"/>
    <w:rsid w:val="7510680D"/>
    <w:rsid w:val="7514631E"/>
    <w:rsid w:val="751A4D9F"/>
    <w:rsid w:val="751B10F8"/>
    <w:rsid w:val="751B668B"/>
    <w:rsid w:val="751D6141"/>
    <w:rsid w:val="751E3F46"/>
    <w:rsid w:val="75251E11"/>
    <w:rsid w:val="7526042F"/>
    <w:rsid w:val="75266866"/>
    <w:rsid w:val="75297CBB"/>
    <w:rsid w:val="75332E3F"/>
    <w:rsid w:val="7536137A"/>
    <w:rsid w:val="754D1277"/>
    <w:rsid w:val="754E187E"/>
    <w:rsid w:val="75531C89"/>
    <w:rsid w:val="755B43EC"/>
    <w:rsid w:val="755C2928"/>
    <w:rsid w:val="756008B4"/>
    <w:rsid w:val="75663812"/>
    <w:rsid w:val="756B461D"/>
    <w:rsid w:val="75743F38"/>
    <w:rsid w:val="7574679A"/>
    <w:rsid w:val="75767250"/>
    <w:rsid w:val="757D211D"/>
    <w:rsid w:val="757E4F9E"/>
    <w:rsid w:val="758023CC"/>
    <w:rsid w:val="75811531"/>
    <w:rsid w:val="7584608F"/>
    <w:rsid w:val="75857D95"/>
    <w:rsid w:val="75890EE9"/>
    <w:rsid w:val="758D3004"/>
    <w:rsid w:val="758D6989"/>
    <w:rsid w:val="758E27A4"/>
    <w:rsid w:val="758F2B04"/>
    <w:rsid w:val="75983107"/>
    <w:rsid w:val="759B3EDC"/>
    <w:rsid w:val="759F77D0"/>
    <w:rsid w:val="75A02F32"/>
    <w:rsid w:val="75A157C0"/>
    <w:rsid w:val="75A54A99"/>
    <w:rsid w:val="75A70E10"/>
    <w:rsid w:val="75A75F2B"/>
    <w:rsid w:val="75A8603B"/>
    <w:rsid w:val="75AA6A0D"/>
    <w:rsid w:val="75AF0207"/>
    <w:rsid w:val="75B16B31"/>
    <w:rsid w:val="75B5336B"/>
    <w:rsid w:val="75BD3D14"/>
    <w:rsid w:val="75BF715D"/>
    <w:rsid w:val="75C00FDB"/>
    <w:rsid w:val="75C40AF0"/>
    <w:rsid w:val="75C65678"/>
    <w:rsid w:val="75CE06DA"/>
    <w:rsid w:val="75D33DF0"/>
    <w:rsid w:val="75DB588C"/>
    <w:rsid w:val="75DE7B31"/>
    <w:rsid w:val="75E0458E"/>
    <w:rsid w:val="75E247FA"/>
    <w:rsid w:val="75E359E4"/>
    <w:rsid w:val="75E63F4C"/>
    <w:rsid w:val="75E75FFA"/>
    <w:rsid w:val="75EC51DC"/>
    <w:rsid w:val="75F31A8A"/>
    <w:rsid w:val="76021CE9"/>
    <w:rsid w:val="760748B5"/>
    <w:rsid w:val="760C078B"/>
    <w:rsid w:val="76136047"/>
    <w:rsid w:val="76164A04"/>
    <w:rsid w:val="76175D6A"/>
    <w:rsid w:val="7619007C"/>
    <w:rsid w:val="761F4C4F"/>
    <w:rsid w:val="76214721"/>
    <w:rsid w:val="76251C4D"/>
    <w:rsid w:val="76290B7A"/>
    <w:rsid w:val="762C2CF9"/>
    <w:rsid w:val="762E0153"/>
    <w:rsid w:val="76303F62"/>
    <w:rsid w:val="76317D06"/>
    <w:rsid w:val="76353F16"/>
    <w:rsid w:val="76366687"/>
    <w:rsid w:val="76451B49"/>
    <w:rsid w:val="76465AFC"/>
    <w:rsid w:val="7648667B"/>
    <w:rsid w:val="76506C54"/>
    <w:rsid w:val="76517468"/>
    <w:rsid w:val="76524E89"/>
    <w:rsid w:val="76531F42"/>
    <w:rsid w:val="76561576"/>
    <w:rsid w:val="76576DC3"/>
    <w:rsid w:val="765868DA"/>
    <w:rsid w:val="765A13CE"/>
    <w:rsid w:val="765A2EFC"/>
    <w:rsid w:val="765E67A2"/>
    <w:rsid w:val="76625224"/>
    <w:rsid w:val="766C56DB"/>
    <w:rsid w:val="766C71FF"/>
    <w:rsid w:val="766E24E3"/>
    <w:rsid w:val="76736289"/>
    <w:rsid w:val="767B0361"/>
    <w:rsid w:val="767D141A"/>
    <w:rsid w:val="767E147B"/>
    <w:rsid w:val="76810735"/>
    <w:rsid w:val="768912A9"/>
    <w:rsid w:val="768C41F1"/>
    <w:rsid w:val="76942611"/>
    <w:rsid w:val="76963E5C"/>
    <w:rsid w:val="769A2525"/>
    <w:rsid w:val="76A95A49"/>
    <w:rsid w:val="76A96A0C"/>
    <w:rsid w:val="76AB059D"/>
    <w:rsid w:val="76B21486"/>
    <w:rsid w:val="76B45B3A"/>
    <w:rsid w:val="76BA7AAC"/>
    <w:rsid w:val="76BE6D3F"/>
    <w:rsid w:val="76C110D7"/>
    <w:rsid w:val="76C75527"/>
    <w:rsid w:val="76C923BB"/>
    <w:rsid w:val="76CC1F5E"/>
    <w:rsid w:val="76CD0D25"/>
    <w:rsid w:val="76CD7515"/>
    <w:rsid w:val="76D42D72"/>
    <w:rsid w:val="76D663CC"/>
    <w:rsid w:val="76D74F04"/>
    <w:rsid w:val="76DA0780"/>
    <w:rsid w:val="76DA0D98"/>
    <w:rsid w:val="76DF69E5"/>
    <w:rsid w:val="76E4113B"/>
    <w:rsid w:val="77030DD4"/>
    <w:rsid w:val="7703546A"/>
    <w:rsid w:val="77044864"/>
    <w:rsid w:val="77053A8A"/>
    <w:rsid w:val="770B48E6"/>
    <w:rsid w:val="770C2D88"/>
    <w:rsid w:val="770D5D38"/>
    <w:rsid w:val="77103F22"/>
    <w:rsid w:val="77121547"/>
    <w:rsid w:val="7715767E"/>
    <w:rsid w:val="771A5140"/>
    <w:rsid w:val="771F7D92"/>
    <w:rsid w:val="772B2778"/>
    <w:rsid w:val="772D38B2"/>
    <w:rsid w:val="772F7551"/>
    <w:rsid w:val="773473EA"/>
    <w:rsid w:val="77371C7D"/>
    <w:rsid w:val="7741636E"/>
    <w:rsid w:val="7748770B"/>
    <w:rsid w:val="7749645B"/>
    <w:rsid w:val="774A3DB2"/>
    <w:rsid w:val="774B62BA"/>
    <w:rsid w:val="774D206C"/>
    <w:rsid w:val="77500030"/>
    <w:rsid w:val="77506533"/>
    <w:rsid w:val="77517451"/>
    <w:rsid w:val="77517F88"/>
    <w:rsid w:val="775333D4"/>
    <w:rsid w:val="77544DEF"/>
    <w:rsid w:val="77572998"/>
    <w:rsid w:val="775C437C"/>
    <w:rsid w:val="7761473B"/>
    <w:rsid w:val="776251AB"/>
    <w:rsid w:val="776253DC"/>
    <w:rsid w:val="77627918"/>
    <w:rsid w:val="77631458"/>
    <w:rsid w:val="77671C23"/>
    <w:rsid w:val="776D00AD"/>
    <w:rsid w:val="777122CB"/>
    <w:rsid w:val="77733B64"/>
    <w:rsid w:val="77752C11"/>
    <w:rsid w:val="778458E0"/>
    <w:rsid w:val="77864C13"/>
    <w:rsid w:val="7789128B"/>
    <w:rsid w:val="77897DC3"/>
    <w:rsid w:val="778B00CC"/>
    <w:rsid w:val="778E42DD"/>
    <w:rsid w:val="77933A30"/>
    <w:rsid w:val="779572A9"/>
    <w:rsid w:val="77961F8D"/>
    <w:rsid w:val="77996D93"/>
    <w:rsid w:val="779C0571"/>
    <w:rsid w:val="779D4014"/>
    <w:rsid w:val="77A47389"/>
    <w:rsid w:val="77A47447"/>
    <w:rsid w:val="77AC4C13"/>
    <w:rsid w:val="77B7162E"/>
    <w:rsid w:val="77B85801"/>
    <w:rsid w:val="77BF1B5B"/>
    <w:rsid w:val="77C579BF"/>
    <w:rsid w:val="77C77D04"/>
    <w:rsid w:val="77C9059B"/>
    <w:rsid w:val="77C95ECD"/>
    <w:rsid w:val="77C96295"/>
    <w:rsid w:val="77CF7F24"/>
    <w:rsid w:val="77D05158"/>
    <w:rsid w:val="77D82660"/>
    <w:rsid w:val="77D92540"/>
    <w:rsid w:val="77DE66C8"/>
    <w:rsid w:val="77E16F4E"/>
    <w:rsid w:val="77E56F4B"/>
    <w:rsid w:val="77EC42B7"/>
    <w:rsid w:val="77EC44CA"/>
    <w:rsid w:val="77EC5146"/>
    <w:rsid w:val="77EF4FD4"/>
    <w:rsid w:val="77F23ED6"/>
    <w:rsid w:val="77F25BE5"/>
    <w:rsid w:val="77F4148A"/>
    <w:rsid w:val="77F768FF"/>
    <w:rsid w:val="77FA6377"/>
    <w:rsid w:val="77FB638D"/>
    <w:rsid w:val="780224F7"/>
    <w:rsid w:val="7805236C"/>
    <w:rsid w:val="78060284"/>
    <w:rsid w:val="780870D3"/>
    <w:rsid w:val="78143A47"/>
    <w:rsid w:val="78171D45"/>
    <w:rsid w:val="7817543C"/>
    <w:rsid w:val="781C213F"/>
    <w:rsid w:val="781D0F9C"/>
    <w:rsid w:val="781F180F"/>
    <w:rsid w:val="782409AF"/>
    <w:rsid w:val="78240A3E"/>
    <w:rsid w:val="782512D7"/>
    <w:rsid w:val="78273C88"/>
    <w:rsid w:val="78283814"/>
    <w:rsid w:val="78293454"/>
    <w:rsid w:val="78336373"/>
    <w:rsid w:val="7834372E"/>
    <w:rsid w:val="78385776"/>
    <w:rsid w:val="783B18EC"/>
    <w:rsid w:val="783B64D5"/>
    <w:rsid w:val="783E4A5E"/>
    <w:rsid w:val="78412216"/>
    <w:rsid w:val="78434FF7"/>
    <w:rsid w:val="78461F8F"/>
    <w:rsid w:val="78471488"/>
    <w:rsid w:val="7848004A"/>
    <w:rsid w:val="784913BE"/>
    <w:rsid w:val="78507D59"/>
    <w:rsid w:val="78556A71"/>
    <w:rsid w:val="785813CE"/>
    <w:rsid w:val="78611FD1"/>
    <w:rsid w:val="78676F11"/>
    <w:rsid w:val="786775D8"/>
    <w:rsid w:val="786E1EA7"/>
    <w:rsid w:val="786E72C5"/>
    <w:rsid w:val="7877530F"/>
    <w:rsid w:val="787758FC"/>
    <w:rsid w:val="787810DA"/>
    <w:rsid w:val="787F1393"/>
    <w:rsid w:val="78833BC8"/>
    <w:rsid w:val="788B24CA"/>
    <w:rsid w:val="788F052A"/>
    <w:rsid w:val="788F7D17"/>
    <w:rsid w:val="7893375E"/>
    <w:rsid w:val="7893775F"/>
    <w:rsid w:val="7899481F"/>
    <w:rsid w:val="78A2356B"/>
    <w:rsid w:val="78A6631B"/>
    <w:rsid w:val="78B56181"/>
    <w:rsid w:val="78B67702"/>
    <w:rsid w:val="78B7213A"/>
    <w:rsid w:val="78B75207"/>
    <w:rsid w:val="78BF0BF6"/>
    <w:rsid w:val="78C04C49"/>
    <w:rsid w:val="78C240D7"/>
    <w:rsid w:val="78C33345"/>
    <w:rsid w:val="78C34DC5"/>
    <w:rsid w:val="78C51466"/>
    <w:rsid w:val="78C54A86"/>
    <w:rsid w:val="78C802FB"/>
    <w:rsid w:val="78C82ABC"/>
    <w:rsid w:val="78C9082A"/>
    <w:rsid w:val="78CE4A6A"/>
    <w:rsid w:val="78D32109"/>
    <w:rsid w:val="78D5045A"/>
    <w:rsid w:val="78E46FAF"/>
    <w:rsid w:val="78E5732B"/>
    <w:rsid w:val="78E8686B"/>
    <w:rsid w:val="78EC0B8E"/>
    <w:rsid w:val="78F756A1"/>
    <w:rsid w:val="790166E1"/>
    <w:rsid w:val="790667EB"/>
    <w:rsid w:val="79077FDE"/>
    <w:rsid w:val="790A5F1B"/>
    <w:rsid w:val="790C0DB1"/>
    <w:rsid w:val="790D4EA4"/>
    <w:rsid w:val="79160884"/>
    <w:rsid w:val="7916705E"/>
    <w:rsid w:val="79182B61"/>
    <w:rsid w:val="791F420A"/>
    <w:rsid w:val="79255A25"/>
    <w:rsid w:val="792C672D"/>
    <w:rsid w:val="79393F8C"/>
    <w:rsid w:val="79456BBB"/>
    <w:rsid w:val="79457D6A"/>
    <w:rsid w:val="79480F4B"/>
    <w:rsid w:val="794B449A"/>
    <w:rsid w:val="794C1636"/>
    <w:rsid w:val="794D5917"/>
    <w:rsid w:val="79503E2D"/>
    <w:rsid w:val="79527E1E"/>
    <w:rsid w:val="7953412C"/>
    <w:rsid w:val="795363C8"/>
    <w:rsid w:val="79547E61"/>
    <w:rsid w:val="795864B8"/>
    <w:rsid w:val="795A43BF"/>
    <w:rsid w:val="795C301A"/>
    <w:rsid w:val="79606ECB"/>
    <w:rsid w:val="79616162"/>
    <w:rsid w:val="79635C6A"/>
    <w:rsid w:val="796954F3"/>
    <w:rsid w:val="796D0D13"/>
    <w:rsid w:val="796F7DA4"/>
    <w:rsid w:val="79702A1D"/>
    <w:rsid w:val="79711E30"/>
    <w:rsid w:val="79730F86"/>
    <w:rsid w:val="79741931"/>
    <w:rsid w:val="797C2A26"/>
    <w:rsid w:val="798032F0"/>
    <w:rsid w:val="79814E18"/>
    <w:rsid w:val="798514AA"/>
    <w:rsid w:val="7986114B"/>
    <w:rsid w:val="79877E2F"/>
    <w:rsid w:val="798A2005"/>
    <w:rsid w:val="798A3171"/>
    <w:rsid w:val="798E092B"/>
    <w:rsid w:val="798E7861"/>
    <w:rsid w:val="79902534"/>
    <w:rsid w:val="799128A5"/>
    <w:rsid w:val="799309EC"/>
    <w:rsid w:val="79935BD4"/>
    <w:rsid w:val="79A04DE0"/>
    <w:rsid w:val="79A62FED"/>
    <w:rsid w:val="79B27C25"/>
    <w:rsid w:val="79C0620F"/>
    <w:rsid w:val="79C24855"/>
    <w:rsid w:val="79C86565"/>
    <w:rsid w:val="79CB51A0"/>
    <w:rsid w:val="79CE0E21"/>
    <w:rsid w:val="79D42752"/>
    <w:rsid w:val="79D47E5E"/>
    <w:rsid w:val="79DA7BFB"/>
    <w:rsid w:val="79DB3DE3"/>
    <w:rsid w:val="79EC3DFE"/>
    <w:rsid w:val="79F03BF6"/>
    <w:rsid w:val="79F043F2"/>
    <w:rsid w:val="79F15F67"/>
    <w:rsid w:val="79F16CC1"/>
    <w:rsid w:val="79F54346"/>
    <w:rsid w:val="79F7400A"/>
    <w:rsid w:val="79F841D5"/>
    <w:rsid w:val="79F854AE"/>
    <w:rsid w:val="79FD32CC"/>
    <w:rsid w:val="7A030DF4"/>
    <w:rsid w:val="7A0A142A"/>
    <w:rsid w:val="7A0D0EDD"/>
    <w:rsid w:val="7A0D3BD8"/>
    <w:rsid w:val="7A0F7FC4"/>
    <w:rsid w:val="7A1602C0"/>
    <w:rsid w:val="7A174BF8"/>
    <w:rsid w:val="7A1A062E"/>
    <w:rsid w:val="7A1B1931"/>
    <w:rsid w:val="7A1D19E0"/>
    <w:rsid w:val="7A202327"/>
    <w:rsid w:val="7A2A2126"/>
    <w:rsid w:val="7A367234"/>
    <w:rsid w:val="7A391A49"/>
    <w:rsid w:val="7A3F7389"/>
    <w:rsid w:val="7A4A1B26"/>
    <w:rsid w:val="7A4F0E1D"/>
    <w:rsid w:val="7A561007"/>
    <w:rsid w:val="7A5610D8"/>
    <w:rsid w:val="7A5C253B"/>
    <w:rsid w:val="7A7501F3"/>
    <w:rsid w:val="7A7F4E5D"/>
    <w:rsid w:val="7A824EA2"/>
    <w:rsid w:val="7A82611C"/>
    <w:rsid w:val="7A912F51"/>
    <w:rsid w:val="7A935FEA"/>
    <w:rsid w:val="7A9864F7"/>
    <w:rsid w:val="7A99671A"/>
    <w:rsid w:val="7AA268B5"/>
    <w:rsid w:val="7AA30520"/>
    <w:rsid w:val="7AA77A82"/>
    <w:rsid w:val="7AAE547C"/>
    <w:rsid w:val="7AAF680C"/>
    <w:rsid w:val="7AB540E5"/>
    <w:rsid w:val="7ABA1DB9"/>
    <w:rsid w:val="7ABD4FCD"/>
    <w:rsid w:val="7ABF4E40"/>
    <w:rsid w:val="7AC42435"/>
    <w:rsid w:val="7AC65E47"/>
    <w:rsid w:val="7ACC27EA"/>
    <w:rsid w:val="7AD03E4C"/>
    <w:rsid w:val="7AD1286B"/>
    <w:rsid w:val="7AD765F0"/>
    <w:rsid w:val="7ADB0432"/>
    <w:rsid w:val="7ADD0873"/>
    <w:rsid w:val="7ADF6D96"/>
    <w:rsid w:val="7AE343F9"/>
    <w:rsid w:val="7AF43C1F"/>
    <w:rsid w:val="7AFA0118"/>
    <w:rsid w:val="7AFD1C32"/>
    <w:rsid w:val="7B035829"/>
    <w:rsid w:val="7B053153"/>
    <w:rsid w:val="7B0A55A8"/>
    <w:rsid w:val="7B0C035A"/>
    <w:rsid w:val="7B10040D"/>
    <w:rsid w:val="7B1158DC"/>
    <w:rsid w:val="7B11710A"/>
    <w:rsid w:val="7B187DFC"/>
    <w:rsid w:val="7B1A553C"/>
    <w:rsid w:val="7B1B6B8F"/>
    <w:rsid w:val="7B217168"/>
    <w:rsid w:val="7B261684"/>
    <w:rsid w:val="7B274F0B"/>
    <w:rsid w:val="7B281FDA"/>
    <w:rsid w:val="7B2A7F1F"/>
    <w:rsid w:val="7B3C5676"/>
    <w:rsid w:val="7B451A97"/>
    <w:rsid w:val="7B4F0350"/>
    <w:rsid w:val="7B504325"/>
    <w:rsid w:val="7B527963"/>
    <w:rsid w:val="7B53100C"/>
    <w:rsid w:val="7B5547EA"/>
    <w:rsid w:val="7B5606BC"/>
    <w:rsid w:val="7B571B30"/>
    <w:rsid w:val="7B591081"/>
    <w:rsid w:val="7B591508"/>
    <w:rsid w:val="7B5D7110"/>
    <w:rsid w:val="7B5F032A"/>
    <w:rsid w:val="7B6F3621"/>
    <w:rsid w:val="7B757FB0"/>
    <w:rsid w:val="7B7A7953"/>
    <w:rsid w:val="7B7F5D3E"/>
    <w:rsid w:val="7B882B93"/>
    <w:rsid w:val="7B885715"/>
    <w:rsid w:val="7B8A770D"/>
    <w:rsid w:val="7B8E732A"/>
    <w:rsid w:val="7B8F06ED"/>
    <w:rsid w:val="7B9038B6"/>
    <w:rsid w:val="7B914DCC"/>
    <w:rsid w:val="7B9226B4"/>
    <w:rsid w:val="7B931F8A"/>
    <w:rsid w:val="7B936D56"/>
    <w:rsid w:val="7B946A54"/>
    <w:rsid w:val="7B970BFE"/>
    <w:rsid w:val="7B973653"/>
    <w:rsid w:val="7B9743F9"/>
    <w:rsid w:val="7BA750BB"/>
    <w:rsid w:val="7BAF4502"/>
    <w:rsid w:val="7BB60F57"/>
    <w:rsid w:val="7BBA3671"/>
    <w:rsid w:val="7BC6505F"/>
    <w:rsid w:val="7BC82EBA"/>
    <w:rsid w:val="7BCB1949"/>
    <w:rsid w:val="7BCC408F"/>
    <w:rsid w:val="7BD44CA7"/>
    <w:rsid w:val="7BD7424C"/>
    <w:rsid w:val="7BDE1EBF"/>
    <w:rsid w:val="7BE02696"/>
    <w:rsid w:val="7BE6486B"/>
    <w:rsid w:val="7BEB7FC1"/>
    <w:rsid w:val="7BF01A12"/>
    <w:rsid w:val="7BF12B63"/>
    <w:rsid w:val="7BF552BA"/>
    <w:rsid w:val="7BF7162D"/>
    <w:rsid w:val="7BF8153D"/>
    <w:rsid w:val="7BFB5920"/>
    <w:rsid w:val="7C004342"/>
    <w:rsid w:val="7C0355FE"/>
    <w:rsid w:val="7C053C9F"/>
    <w:rsid w:val="7C06244F"/>
    <w:rsid w:val="7C0C0DCF"/>
    <w:rsid w:val="7C133720"/>
    <w:rsid w:val="7C16380F"/>
    <w:rsid w:val="7C1A1465"/>
    <w:rsid w:val="7C2077C0"/>
    <w:rsid w:val="7C25136B"/>
    <w:rsid w:val="7C2E0004"/>
    <w:rsid w:val="7C2F115C"/>
    <w:rsid w:val="7C2F55E2"/>
    <w:rsid w:val="7C372D22"/>
    <w:rsid w:val="7C373029"/>
    <w:rsid w:val="7C391D45"/>
    <w:rsid w:val="7C39602C"/>
    <w:rsid w:val="7C3B278B"/>
    <w:rsid w:val="7C4258A4"/>
    <w:rsid w:val="7C477A01"/>
    <w:rsid w:val="7C4B7EEE"/>
    <w:rsid w:val="7C4E46B2"/>
    <w:rsid w:val="7C5A551C"/>
    <w:rsid w:val="7C5D63BE"/>
    <w:rsid w:val="7C606B57"/>
    <w:rsid w:val="7C63151A"/>
    <w:rsid w:val="7C684B62"/>
    <w:rsid w:val="7C69522A"/>
    <w:rsid w:val="7C6A52F8"/>
    <w:rsid w:val="7C6E055B"/>
    <w:rsid w:val="7C7100F2"/>
    <w:rsid w:val="7C734B4C"/>
    <w:rsid w:val="7C771791"/>
    <w:rsid w:val="7C780C42"/>
    <w:rsid w:val="7C7B335C"/>
    <w:rsid w:val="7C7D3D5F"/>
    <w:rsid w:val="7C7F3FDF"/>
    <w:rsid w:val="7C821EE8"/>
    <w:rsid w:val="7C862BA2"/>
    <w:rsid w:val="7C8E2507"/>
    <w:rsid w:val="7C8F5623"/>
    <w:rsid w:val="7C942504"/>
    <w:rsid w:val="7C9520BD"/>
    <w:rsid w:val="7C980E25"/>
    <w:rsid w:val="7C993700"/>
    <w:rsid w:val="7C9A2480"/>
    <w:rsid w:val="7CA27AB0"/>
    <w:rsid w:val="7CA95CE8"/>
    <w:rsid w:val="7CAC09DC"/>
    <w:rsid w:val="7CB52078"/>
    <w:rsid w:val="7CB737FC"/>
    <w:rsid w:val="7CB92B85"/>
    <w:rsid w:val="7CBA1E6F"/>
    <w:rsid w:val="7CBA2D77"/>
    <w:rsid w:val="7CC45B25"/>
    <w:rsid w:val="7CCD7550"/>
    <w:rsid w:val="7CD07F28"/>
    <w:rsid w:val="7CD251B9"/>
    <w:rsid w:val="7CD8737D"/>
    <w:rsid w:val="7CDC32D0"/>
    <w:rsid w:val="7CE0165D"/>
    <w:rsid w:val="7CE11A7C"/>
    <w:rsid w:val="7CF11814"/>
    <w:rsid w:val="7CF317D9"/>
    <w:rsid w:val="7CF64C2E"/>
    <w:rsid w:val="7CFD2DDF"/>
    <w:rsid w:val="7CFE4C35"/>
    <w:rsid w:val="7D011E70"/>
    <w:rsid w:val="7D052537"/>
    <w:rsid w:val="7D05599A"/>
    <w:rsid w:val="7D096070"/>
    <w:rsid w:val="7D113B75"/>
    <w:rsid w:val="7D145DD3"/>
    <w:rsid w:val="7D154463"/>
    <w:rsid w:val="7D163EDF"/>
    <w:rsid w:val="7D1E6024"/>
    <w:rsid w:val="7D214046"/>
    <w:rsid w:val="7D2B1B08"/>
    <w:rsid w:val="7D333A05"/>
    <w:rsid w:val="7D345F5B"/>
    <w:rsid w:val="7D422D51"/>
    <w:rsid w:val="7D467210"/>
    <w:rsid w:val="7D4F2881"/>
    <w:rsid w:val="7D562F89"/>
    <w:rsid w:val="7D6154BC"/>
    <w:rsid w:val="7D616B38"/>
    <w:rsid w:val="7D634B34"/>
    <w:rsid w:val="7D705EB7"/>
    <w:rsid w:val="7D712D4F"/>
    <w:rsid w:val="7D7320E0"/>
    <w:rsid w:val="7D7769AC"/>
    <w:rsid w:val="7D780FF9"/>
    <w:rsid w:val="7D792F5F"/>
    <w:rsid w:val="7D7E7BED"/>
    <w:rsid w:val="7D8457A5"/>
    <w:rsid w:val="7D882DFE"/>
    <w:rsid w:val="7D8914E0"/>
    <w:rsid w:val="7D8D2293"/>
    <w:rsid w:val="7D8F2D7E"/>
    <w:rsid w:val="7D910163"/>
    <w:rsid w:val="7D9F267A"/>
    <w:rsid w:val="7DA239B1"/>
    <w:rsid w:val="7DA90675"/>
    <w:rsid w:val="7DAE58FE"/>
    <w:rsid w:val="7DB02EE1"/>
    <w:rsid w:val="7DB345BC"/>
    <w:rsid w:val="7DB96CC4"/>
    <w:rsid w:val="7DBC7BC2"/>
    <w:rsid w:val="7DBE3479"/>
    <w:rsid w:val="7DBE62EE"/>
    <w:rsid w:val="7DC46E98"/>
    <w:rsid w:val="7DC562BA"/>
    <w:rsid w:val="7DC97088"/>
    <w:rsid w:val="7DCC2624"/>
    <w:rsid w:val="7DD325E1"/>
    <w:rsid w:val="7DD71D25"/>
    <w:rsid w:val="7DDB1E7D"/>
    <w:rsid w:val="7DDB550F"/>
    <w:rsid w:val="7DDB5F42"/>
    <w:rsid w:val="7DDC713C"/>
    <w:rsid w:val="7DDD2B7C"/>
    <w:rsid w:val="7DE35DD9"/>
    <w:rsid w:val="7DE63EF0"/>
    <w:rsid w:val="7DEA37E0"/>
    <w:rsid w:val="7DEB0076"/>
    <w:rsid w:val="7DF062E4"/>
    <w:rsid w:val="7DF13526"/>
    <w:rsid w:val="7DF80CD4"/>
    <w:rsid w:val="7DF85953"/>
    <w:rsid w:val="7DF90083"/>
    <w:rsid w:val="7E024B66"/>
    <w:rsid w:val="7E04025C"/>
    <w:rsid w:val="7E053E33"/>
    <w:rsid w:val="7E0B1EB4"/>
    <w:rsid w:val="7E0D6E5D"/>
    <w:rsid w:val="7E104659"/>
    <w:rsid w:val="7E1209B2"/>
    <w:rsid w:val="7E12573A"/>
    <w:rsid w:val="7E13473A"/>
    <w:rsid w:val="7E135BA7"/>
    <w:rsid w:val="7E14488A"/>
    <w:rsid w:val="7E147357"/>
    <w:rsid w:val="7E167A93"/>
    <w:rsid w:val="7E1D666E"/>
    <w:rsid w:val="7E1F1080"/>
    <w:rsid w:val="7E28025D"/>
    <w:rsid w:val="7E2B08ED"/>
    <w:rsid w:val="7E2F2891"/>
    <w:rsid w:val="7E312594"/>
    <w:rsid w:val="7E361365"/>
    <w:rsid w:val="7E406D13"/>
    <w:rsid w:val="7E423F8E"/>
    <w:rsid w:val="7E432542"/>
    <w:rsid w:val="7E443D5C"/>
    <w:rsid w:val="7E4504D8"/>
    <w:rsid w:val="7E4519E7"/>
    <w:rsid w:val="7E465B43"/>
    <w:rsid w:val="7E487D45"/>
    <w:rsid w:val="7E4F18A3"/>
    <w:rsid w:val="7E4F1F01"/>
    <w:rsid w:val="7E4F6180"/>
    <w:rsid w:val="7E5158F4"/>
    <w:rsid w:val="7E530BD3"/>
    <w:rsid w:val="7E572FD8"/>
    <w:rsid w:val="7E5D5883"/>
    <w:rsid w:val="7E5E6C4C"/>
    <w:rsid w:val="7E6957EB"/>
    <w:rsid w:val="7E7A044C"/>
    <w:rsid w:val="7E8369F0"/>
    <w:rsid w:val="7E8470BE"/>
    <w:rsid w:val="7E847396"/>
    <w:rsid w:val="7EA16E20"/>
    <w:rsid w:val="7EA4585A"/>
    <w:rsid w:val="7EA46F6A"/>
    <w:rsid w:val="7EA731FC"/>
    <w:rsid w:val="7EAD0F93"/>
    <w:rsid w:val="7EAE0CEF"/>
    <w:rsid w:val="7EB36AD8"/>
    <w:rsid w:val="7EB46DF8"/>
    <w:rsid w:val="7EB8393E"/>
    <w:rsid w:val="7EBA772D"/>
    <w:rsid w:val="7EBC7348"/>
    <w:rsid w:val="7EBE6AF5"/>
    <w:rsid w:val="7EC05567"/>
    <w:rsid w:val="7EC23826"/>
    <w:rsid w:val="7EC43B77"/>
    <w:rsid w:val="7ECD4D31"/>
    <w:rsid w:val="7ECF0017"/>
    <w:rsid w:val="7ECF1015"/>
    <w:rsid w:val="7ED033A5"/>
    <w:rsid w:val="7EE46489"/>
    <w:rsid w:val="7EEB638D"/>
    <w:rsid w:val="7EEB735F"/>
    <w:rsid w:val="7EEC19F9"/>
    <w:rsid w:val="7EF533D8"/>
    <w:rsid w:val="7EF70707"/>
    <w:rsid w:val="7EF972B5"/>
    <w:rsid w:val="7EFD10A4"/>
    <w:rsid w:val="7F04462F"/>
    <w:rsid w:val="7F055974"/>
    <w:rsid w:val="7F0874CA"/>
    <w:rsid w:val="7F093C5F"/>
    <w:rsid w:val="7F0945F6"/>
    <w:rsid w:val="7F0B426B"/>
    <w:rsid w:val="7F0C4D25"/>
    <w:rsid w:val="7F1127D8"/>
    <w:rsid w:val="7F112F6D"/>
    <w:rsid w:val="7F1303F9"/>
    <w:rsid w:val="7F1B6E9F"/>
    <w:rsid w:val="7F1D7284"/>
    <w:rsid w:val="7F1F3BB3"/>
    <w:rsid w:val="7F235668"/>
    <w:rsid w:val="7F264CB5"/>
    <w:rsid w:val="7F282D21"/>
    <w:rsid w:val="7F2835A0"/>
    <w:rsid w:val="7F2D659A"/>
    <w:rsid w:val="7F3235F6"/>
    <w:rsid w:val="7F342017"/>
    <w:rsid w:val="7F3851A4"/>
    <w:rsid w:val="7F3E3DC3"/>
    <w:rsid w:val="7F507881"/>
    <w:rsid w:val="7F515FCC"/>
    <w:rsid w:val="7F533C36"/>
    <w:rsid w:val="7F535C15"/>
    <w:rsid w:val="7F542F4C"/>
    <w:rsid w:val="7F5440CB"/>
    <w:rsid w:val="7F5678E9"/>
    <w:rsid w:val="7F5972BD"/>
    <w:rsid w:val="7F5B4F2E"/>
    <w:rsid w:val="7F5C7467"/>
    <w:rsid w:val="7F5E579A"/>
    <w:rsid w:val="7F625D78"/>
    <w:rsid w:val="7F626A5F"/>
    <w:rsid w:val="7F6366F1"/>
    <w:rsid w:val="7F670596"/>
    <w:rsid w:val="7F6712D6"/>
    <w:rsid w:val="7F6B0C5F"/>
    <w:rsid w:val="7F6C377B"/>
    <w:rsid w:val="7F7272F0"/>
    <w:rsid w:val="7F790B0F"/>
    <w:rsid w:val="7F7A45DC"/>
    <w:rsid w:val="7F861763"/>
    <w:rsid w:val="7F8D559F"/>
    <w:rsid w:val="7F8E4F77"/>
    <w:rsid w:val="7F9665C3"/>
    <w:rsid w:val="7F9A5B63"/>
    <w:rsid w:val="7F9E6F5E"/>
    <w:rsid w:val="7FA14219"/>
    <w:rsid w:val="7FA272A5"/>
    <w:rsid w:val="7FA32B35"/>
    <w:rsid w:val="7FA7465C"/>
    <w:rsid w:val="7FA76FA8"/>
    <w:rsid w:val="7FAC2AE5"/>
    <w:rsid w:val="7FAE1870"/>
    <w:rsid w:val="7FAE5261"/>
    <w:rsid w:val="7FAF4B59"/>
    <w:rsid w:val="7FB256A4"/>
    <w:rsid w:val="7FB66F3E"/>
    <w:rsid w:val="7FB74764"/>
    <w:rsid w:val="7FB9360F"/>
    <w:rsid w:val="7FBF6877"/>
    <w:rsid w:val="7FC03840"/>
    <w:rsid w:val="7FC461CE"/>
    <w:rsid w:val="7FC753D5"/>
    <w:rsid w:val="7FCC1824"/>
    <w:rsid w:val="7FCE1B82"/>
    <w:rsid w:val="7FCE1C14"/>
    <w:rsid w:val="7FCE5C27"/>
    <w:rsid w:val="7FD429F0"/>
    <w:rsid w:val="7FD53122"/>
    <w:rsid w:val="7FD733C2"/>
    <w:rsid w:val="7FDA022A"/>
    <w:rsid w:val="7FDA60CE"/>
    <w:rsid w:val="7FDB352F"/>
    <w:rsid w:val="7FDC0451"/>
    <w:rsid w:val="7FE15232"/>
    <w:rsid w:val="7FE31743"/>
    <w:rsid w:val="7FE42656"/>
    <w:rsid w:val="7FEA32AD"/>
    <w:rsid w:val="7FF71D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自选图形 140"/>
        <o:r id="V:Rule2" type="connector" idref="#_x0000_s1631"/>
        <o:r id="V:Rule3" type="connector" idref="#_x0000_s1634"/>
        <o:r id="V:Rule4" type="connector" idref="#_x0000_s1647"/>
        <o:r id="V:Rule5" type="connector" idref="#_x0000_s1648"/>
        <o:r id="V:Rule6" type="connector" idref="#_x0000_s1651"/>
        <o:r id="V:Rule7" type="connector" idref="#_x0000_s1652"/>
        <o:r id="V:Rule8" type="connector" idref="#_x0000_s1653"/>
        <o:r id="V:Rule9" type="connector" idref="#_x0000_s1655"/>
        <o:r id="V:Rule10" type="connector" idref="#_x0000_s1656"/>
        <o:r id="V:Rule11" type="connector" idref="#_x0000_s1657"/>
        <o:r id="V:Rule12" type="connector" idref="#_x0000_s1658"/>
        <o:r id="V:Rule13" type="connector" idref="#_x0000_s1669"/>
        <o:r id="V:Rule14" type="connector" idref="#_x0000_s1671"/>
        <o:r id="V:Rule15" type="connector" idref="#_x0000_s1672"/>
        <o:r id="V:Rule16" type="connector" idref="#_x0000_s1673"/>
        <o:r id="V:Rule17" type="connector" idref="#_x0000_s1677"/>
        <o:r id="V:Rule18" type="connector" idref="#_x0000_s1678"/>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99" w:semiHidden="0" w:name="Plain Text"/>
    <w:lsdException w:unhideWhenUsed="0" w:uiPriority="0" w:semiHidden="0" w:name="E-mail Signature"/>
    <w:lsdException w:unhideWhenUsed="0"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等线" w:cs="Times New Roman"/>
      <w:kern w:val="2"/>
      <w:sz w:val="21"/>
      <w:szCs w:val="24"/>
      <w:lang w:val="en-US" w:eastAsia="zh-CN" w:bidi="ar-SA"/>
    </w:rPr>
  </w:style>
  <w:style w:type="paragraph" w:styleId="2">
    <w:name w:val="heading 1"/>
    <w:basedOn w:val="1"/>
    <w:next w:val="1"/>
    <w:link w:val="145"/>
    <w:qFormat/>
    <w:uiPriority w:val="9"/>
    <w:pPr>
      <w:keepNext/>
      <w:spacing w:line="300" w:lineRule="exact"/>
      <w:jc w:val="center"/>
      <w:outlineLvl w:val="0"/>
    </w:pPr>
    <w:rPr>
      <w:sz w:val="28"/>
    </w:rPr>
  </w:style>
  <w:style w:type="paragraph" w:styleId="3">
    <w:name w:val="heading 3"/>
    <w:basedOn w:val="1"/>
    <w:next w:val="1"/>
    <w:qFormat/>
    <w:uiPriority w:val="0"/>
    <w:pPr>
      <w:keepNext/>
      <w:keepLines/>
      <w:spacing w:before="260" w:after="260" w:line="416" w:lineRule="auto"/>
      <w:outlineLvl w:val="2"/>
    </w:pPr>
    <w:rPr>
      <w:b/>
      <w:bCs/>
      <w:sz w:val="32"/>
      <w:szCs w:val="32"/>
    </w:rPr>
  </w:style>
  <w:style w:type="paragraph" w:styleId="4">
    <w:name w:val="heading 4"/>
    <w:basedOn w:val="1"/>
    <w:next w:val="1"/>
    <w:qFormat/>
    <w:uiPriority w:val="0"/>
    <w:pPr>
      <w:keepNext/>
      <w:spacing w:line="340" w:lineRule="exact"/>
      <w:jc w:val="center"/>
      <w:outlineLvl w:val="3"/>
    </w:pPr>
    <w:rPr>
      <w:b/>
      <w:sz w:val="24"/>
    </w:rPr>
  </w:style>
  <w:style w:type="character" w:default="1" w:styleId="26">
    <w:name w:val="Default Paragraph Font"/>
    <w:semiHidden/>
    <w:unhideWhenUsed/>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43"/>
    <w:qFormat/>
    <w:uiPriority w:val="0"/>
    <w:rPr>
      <w:rFonts w:eastAsia="宋体"/>
      <w:sz w:val="24"/>
      <w:szCs w:val="20"/>
    </w:rPr>
  </w:style>
  <w:style w:type="paragraph" w:styleId="6">
    <w:name w:val="caption"/>
    <w:basedOn w:val="1"/>
    <w:next w:val="1"/>
    <w:link w:val="143"/>
    <w:qFormat/>
    <w:uiPriority w:val="0"/>
    <w:rPr>
      <w:rFonts w:ascii="Arial" w:hAnsi="Arial" w:eastAsia="黑体" w:cs="Arial"/>
      <w:sz w:val="20"/>
      <w:szCs w:val="20"/>
    </w:rPr>
  </w:style>
  <w:style w:type="paragraph" w:styleId="7">
    <w:name w:val="Document Map"/>
    <w:basedOn w:val="1"/>
    <w:link w:val="70"/>
    <w:uiPriority w:val="0"/>
    <w:rPr>
      <w:rFonts w:ascii="宋体"/>
      <w:sz w:val="18"/>
      <w:szCs w:val="18"/>
    </w:rPr>
  </w:style>
  <w:style w:type="paragraph" w:styleId="8">
    <w:name w:val="annotation text"/>
    <w:basedOn w:val="1"/>
    <w:link w:val="77"/>
    <w:uiPriority w:val="0"/>
    <w:pPr>
      <w:jc w:val="left"/>
    </w:pPr>
  </w:style>
  <w:style w:type="paragraph" w:styleId="9">
    <w:name w:val="Body Text"/>
    <w:basedOn w:val="1"/>
    <w:link w:val="60"/>
    <w:qFormat/>
    <w:uiPriority w:val="0"/>
    <w:pPr>
      <w:spacing w:line="400" w:lineRule="exact"/>
    </w:pPr>
    <w:rPr>
      <w:sz w:val="28"/>
    </w:rPr>
  </w:style>
  <w:style w:type="paragraph" w:styleId="10">
    <w:name w:val="Body Text Indent"/>
    <w:basedOn w:val="1"/>
    <w:next w:val="9"/>
    <w:link w:val="73"/>
    <w:uiPriority w:val="0"/>
    <w:pPr>
      <w:spacing w:line="480" w:lineRule="exact"/>
      <w:ind w:firstLine="538" w:firstLineChars="192"/>
    </w:pPr>
    <w:rPr>
      <w:rFonts w:ascii="宋体" w:hAnsi="宋体"/>
      <w:sz w:val="28"/>
    </w:rPr>
  </w:style>
  <w:style w:type="paragraph" w:styleId="11">
    <w:name w:val="Block Text"/>
    <w:basedOn w:val="1"/>
    <w:uiPriority w:val="0"/>
    <w:pPr>
      <w:snapToGrid w:val="0"/>
      <w:spacing w:line="408" w:lineRule="auto"/>
      <w:ind w:left="-113" w:right="-510" w:firstLine="510"/>
    </w:pPr>
    <w:rPr>
      <w:sz w:val="24"/>
      <w:szCs w:val="20"/>
    </w:rPr>
  </w:style>
  <w:style w:type="paragraph" w:styleId="12">
    <w:name w:val="Plain Text"/>
    <w:basedOn w:val="1"/>
    <w:link w:val="74"/>
    <w:uiPriority w:val="99"/>
    <w:rPr>
      <w:rFonts w:ascii="宋体" w:hAnsi="Courier New"/>
      <w:szCs w:val="20"/>
    </w:rPr>
  </w:style>
  <w:style w:type="paragraph" w:styleId="13">
    <w:name w:val="Body Text Indent 2"/>
    <w:basedOn w:val="1"/>
    <w:link w:val="67"/>
    <w:uiPriority w:val="0"/>
    <w:pPr>
      <w:ind w:firstLine="570"/>
    </w:pPr>
    <w:rPr>
      <w:sz w:val="28"/>
    </w:rPr>
  </w:style>
  <w:style w:type="paragraph" w:styleId="14">
    <w:name w:val="Balloon Text"/>
    <w:basedOn w:val="1"/>
    <w:semiHidden/>
    <w:uiPriority w:val="0"/>
    <w:rPr>
      <w:sz w:val="18"/>
      <w:szCs w:val="18"/>
    </w:rPr>
  </w:style>
  <w:style w:type="paragraph" w:styleId="15">
    <w:name w:val="footer"/>
    <w:basedOn w:val="1"/>
    <w:link w:val="68"/>
    <w:uiPriority w:val="0"/>
    <w:pPr>
      <w:tabs>
        <w:tab w:val="center" w:pos="4153"/>
        <w:tab w:val="right" w:pos="8306"/>
      </w:tabs>
      <w:snapToGrid w:val="0"/>
      <w:jc w:val="left"/>
    </w:pPr>
    <w:rPr>
      <w:sz w:val="18"/>
      <w:szCs w:val="18"/>
    </w:rPr>
  </w:style>
  <w:style w:type="paragraph" w:styleId="16">
    <w:name w:val="header"/>
    <w:basedOn w:val="1"/>
    <w:link w:val="66"/>
    <w:uiPriority w:val="0"/>
    <w:pPr>
      <w:pBdr>
        <w:bottom w:val="single" w:color="auto" w:sz="6" w:space="1"/>
      </w:pBdr>
      <w:tabs>
        <w:tab w:val="center" w:pos="4153"/>
        <w:tab w:val="right" w:pos="8306"/>
      </w:tabs>
      <w:snapToGrid w:val="0"/>
      <w:jc w:val="center"/>
    </w:pPr>
    <w:rPr>
      <w:sz w:val="18"/>
      <w:szCs w:val="18"/>
    </w:rPr>
  </w:style>
  <w:style w:type="paragraph" w:styleId="17">
    <w:name w:val="footnote text"/>
    <w:basedOn w:val="1"/>
    <w:link w:val="55"/>
    <w:uiPriority w:val="0"/>
    <w:pPr>
      <w:snapToGrid w:val="0"/>
      <w:jc w:val="left"/>
    </w:pPr>
    <w:rPr>
      <w:b/>
      <w:sz w:val="18"/>
      <w:szCs w:val="18"/>
    </w:rPr>
  </w:style>
  <w:style w:type="paragraph" w:styleId="18">
    <w:name w:val="Body Text Indent 3"/>
    <w:basedOn w:val="1"/>
    <w:uiPriority w:val="0"/>
    <w:pPr>
      <w:spacing w:line="480" w:lineRule="exact"/>
      <w:ind w:firstLine="610" w:firstLineChars="218"/>
    </w:pPr>
    <w:rPr>
      <w:rFonts w:ascii="宋体" w:hAnsi="宋体"/>
      <w:sz w:val="28"/>
    </w:rPr>
  </w:style>
  <w:style w:type="paragraph" w:styleId="19">
    <w:name w:val="Body Text 2"/>
    <w:basedOn w:val="1"/>
    <w:uiPriority w:val="0"/>
    <w:pPr>
      <w:spacing w:line="300" w:lineRule="exact"/>
    </w:pPr>
    <w:rPr>
      <w:rFonts w:ascii="宋体" w:hAnsi="宋体"/>
      <w:sz w:val="24"/>
    </w:rPr>
  </w:style>
  <w:style w:type="paragraph" w:styleId="20">
    <w:name w:val="Normal (Web)"/>
    <w:basedOn w:val="1"/>
    <w:uiPriority w:val="99"/>
    <w:pPr>
      <w:widowControl/>
      <w:spacing w:before="100" w:beforeAutospacing="1" w:after="100" w:afterAutospacing="1"/>
      <w:jc w:val="left"/>
    </w:pPr>
    <w:rPr>
      <w:kern w:val="0"/>
      <w:sz w:val="24"/>
    </w:rPr>
  </w:style>
  <w:style w:type="paragraph" w:styleId="21">
    <w:name w:val="annotation subject"/>
    <w:basedOn w:val="8"/>
    <w:next w:val="8"/>
    <w:link w:val="49"/>
    <w:uiPriority w:val="0"/>
    <w:rPr>
      <w:b/>
      <w:bCs/>
    </w:rPr>
  </w:style>
  <w:style w:type="paragraph" w:styleId="22">
    <w:name w:val="Body Text First Indent"/>
    <w:basedOn w:val="9"/>
    <w:uiPriority w:val="0"/>
    <w:pPr>
      <w:spacing w:after="120" w:line="240" w:lineRule="auto"/>
      <w:ind w:firstLine="420" w:firstLineChars="100"/>
    </w:pPr>
    <w:rPr>
      <w:sz w:val="21"/>
    </w:rPr>
  </w:style>
  <w:style w:type="paragraph" w:styleId="23">
    <w:name w:val="Body Text First Indent 2"/>
    <w:basedOn w:val="10"/>
    <w:unhideWhenUsed/>
    <w:uiPriority w:val="99"/>
    <w:pPr>
      <w:tabs>
        <w:tab w:val="left" w:pos="210"/>
      </w:tabs>
      <w:spacing w:after="120"/>
      <w:ind w:left="420" w:leftChars="200" w:firstLine="420"/>
    </w:pPr>
    <w:rPr>
      <w:rFonts w:ascii="Times New Roman" w:hAnsi="Times New Roman" w:eastAsia="宋体"/>
    </w:rPr>
  </w:style>
  <w:style w:type="table" w:styleId="25">
    <w:name w:val="Table Grid"/>
    <w:basedOn w:val="24"/>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qFormat/>
    <w:uiPriority w:val="22"/>
    <w:rPr>
      <w:b/>
      <w:sz w:val="24"/>
      <w:szCs w:val="24"/>
    </w:rPr>
  </w:style>
  <w:style w:type="character" w:styleId="28">
    <w:name w:val="page number"/>
    <w:basedOn w:val="26"/>
    <w:qFormat/>
    <w:uiPriority w:val="0"/>
  </w:style>
  <w:style w:type="character" w:styleId="29">
    <w:name w:val="FollowedHyperlink"/>
    <w:qFormat/>
    <w:uiPriority w:val="0"/>
    <w:rPr>
      <w:b/>
      <w:color w:val="338DE6"/>
      <w:sz w:val="24"/>
      <w:szCs w:val="24"/>
      <w:u w:val="none"/>
    </w:rPr>
  </w:style>
  <w:style w:type="character" w:styleId="30">
    <w:name w:val="Emphasis"/>
    <w:qFormat/>
    <w:uiPriority w:val="0"/>
    <w:rPr>
      <w:b/>
      <w:sz w:val="24"/>
      <w:szCs w:val="24"/>
    </w:rPr>
  </w:style>
  <w:style w:type="character" w:styleId="31">
    <w:name w:val="HTML Definition"/>
    <w:uiPriority w:val="0"/>
    <w:rPr>
      <w:b/>
      <w:sz w:val="24"/>
      <w:szCs w:val="24"/>
    </w:rPr>
  </w:style>
  <w:style w:type="character" w:styleId="32">
    <w:name w:val="HTML Variable"/>
    <w:qFormat/>
    <w:uiPriority w:val="0"/>
    <w:rPr>
      <w:b/>
      <w:sz w:val="24"/>
      <w:szCs w:val="24"/>
    </w:rPr>
  </w:style>
  <w:style w:type="character" w:styleId="33">
    <w:name w:val="Hyperlink"/>
    <w:qFormat/>
    <w:uiPriority w:val="0"/>
    <w:rPr>
      <w:color w:val="000099"/>
      <w:u w:val="single"/>
    </w:rPr>
  </w:style>
  <w:style w:type="character" w:styleId="34">
    <w:name w:val="HTML Code"/>
    <w:qFormat/>
    <w:uiPriority w:val="0"/>
    <w:rPr>
      <w:rFonts w:hint="default" w:ascii="serif" w:hAnsi="serif" w:eastAsia="serif" w:cs="serif"/>
      <w:b/>
      <w:sz w:val="21"/>
      <w:szCs w:val="21"/>
    </w:rPr>
  </w:style>
  <w:style w:type="character" w:styleId="35">
    <w:name w:val="annotation reference"/>
    <w:qFormat/>
    <w:uiPriority w:val="0"/>
    <w:rPr>
      <w:sz w:val="21"/>
      <w:szCs w:val="21"/>
    </w:rPr>
  </w:style>
  <w:style w:type="character" w:styleId="36">
    <w:name w:val="HTML Cite"/>
    <w:qFormat/>
    <w:uiPriority w:val="0"/>
    <w:rPr>
      <w:b/>
      <w:sz w:val="24"/>
      <w:szCs w:val="24"/>
    </w:rPr>
  </w:style>
  <w:style w:type="character" w:styleId="37">
    <w:name w:val="footnote reference"/>
    <w:qFormat/>
    <w:uiPriority w:val="0"/>
    <w:rPr>
      <w:rFonts w:ascii="Times New Roman" w:hAnsi="Times New Roman" w:eastAsia="宋体" w:cs="Times New Roman"/>
      <w:vertAlign w:val="superscript"/>
    </w:rPr>
  </w:style>
  <w:style w:type="character" w:styleId="38">
    <w:name w:val="HTML Keyboard"/>
    <w:qFormat/>
    <w:uiPriority w:val="0"/>
    <w:rPr>
      <w:rFonts w:ascii="serif" w:hAnsi="serif" w:eastAsia="serif" w:cs="serif"/>
      <w:b/>
      <w:sz w:val="21"/>
      <w:szCs w:val="21"/>
    </w:rPr>
  </w:style>
  <w:style w:type="character" w:styleId="39">
    <w:name w:val="HTML Sample"/>
    <w:qFormat/>
    <w:uiPriority w:val="0"/>
    <w:rPr>
      <w:rFonts w:hint="default" w:ascii="serif" w:hAnsi="serif" w:eastAsia="serif" w:cs="serif"/>
      <w:b/>
      <w:sz w:val="21"/>
      <w:szCs w:val="21"/>
    </w:rPr>
  </w:style>
  <w:style w:type="character" w:customStyle="1" w:styleId="40">
    <w:name w:val="font41"/>
    <w:qFormat/>
    <w:uiPriority w:val="0"/>
    <w:rPr>
      <w:rFonts w:hint="default" w:ascii="Times New Roman" w:hAnsi="Times New Roman" w:cs="Times New Roman"/>
      <w:b/>
      <w:color w:val="000000"/>
      <w:sz w:val="22"/>
      <w:szCs w:val="22"/>
      <w:u w:val="none"/>
    </w:rPr>
  </w:style>
  <w:style w:type="character" w:customStyle="1" w:styleId="41">
    <w:name w:val="正文样式2 Char"/>
    <w:link w:val="42"/>
    <w:qFormat/>
    <w:uiPriority w:val="0"/>
    <w:rPr>
      <w:kern w:val="2"/>
      <w:sz w:val="24"/>
      <w:szCs w:val="22"/>
      <w:lang w:val="zh-CN"/>
    </w:rPr>
  </w:style>
  <w:style w:type="paragraph" w:customStyle="1" w:styleId="42">
    <w:name w:val="正文样式2"/>
    <w:basedOn w:val="1"/>
    <w:link w:val="41"/>
    <w:qFormat/>
    <w:uiPriority w:val="0"/>
    <w:pPr>
      <w:spacing w:line="500" w:lineRule="exact"/>
      <w:ind w:firstLine="480" w:firstLineChars="200"/>
    </w:pPr>
    <w:rPr>
      <w:sz w:val="24"/>
      <w:szCs w:val="22"/>
      <w:lang w:val="zh-CN"/>
    </w:rPr>
  </w:style>
  <w:style w:type="character" w:customStyle="1" w:styleId="43">
    <w:name w:val="正文缩进 Char"/>
    <w:link w:val="5"/>
    <w:qFormat/>
    <w:uiPriority w:val="0"/>
    <w:rPr>
      <w:rFonts w:eastAsia="宋体"/>
      <w:kern w:val="2"/>
      <w:sz w:val="24"/>
      <w:lang w:val="en-US" w:eastAsia="zh-CN" w:bidi="ar-SA"/>
    </w:rPr>
  </w:style>
  <w:style w:type="character" w:customStyle="1" w:styleId="44">
    <w:name w:val="Char Char2"/>
    <w:qFormat/>
    <w:uiPriority w:val="0"/>
    <w:rPr>
      <w:color w:val="000000"/>
      <w:kern w:val="2"/>
      <w:sz w:val="28"/>
      <w:szCs w:val="24"/>
    </w:rPr>
  </w:style>
  <w:style w:type="character" w:customStyle="1" w:styleId="45">
    <w:name w:val="fontborder"/>
    <w:qFormat/>
    <w:uiPriority w:val="0"/>
    <w:rPr>
      <w:b/>
      <w:sz w:val="24"/>
      <w:szCs w:val="24"/>
      <w:bdr w:val="single" w:color="000000" w:sz="6" w:space="0"/>
    </w:rPr>
  </w:style>
  <w:style w:type="character" w:customStyle="1" w:styleId="46">
    <w:name w:val="样式 小四 行距: 固定值 24 磅 Char"/>
    <w:link w:val="47"/>
    <w:qFormat/>
    <w:uiPriority w:val="0"/>
    <w:rPr>
      <w:rFonts w:cs="宋体"/>
      <w:kern w:val="2"/>
      <w:sz w:val="24"/>
    </w:rPr>
  </w:style>
  <w:style w:type="paragraph" w:customStyle="1" w:styleId="47">
    <w:name w:val="样式 小四 行距: 固定值 24 磅"/>
    <w:basedOn w:val="1"/>
    <w:link w:val="46"/>
    <w:qFormat/>
    <w:uiPriority w:val="0"/>
    <w:pPr>
      <w:adjustRightInd w:val="0"/>
      <w:snapToGrid w:val="0"/>
      <w:spacing w:line="360" w:lineRule="auto"/>
      <w:ind w:firstLine="200" w:firstLineChars="200"/>
    </w:pPr>
    <w:rPr>
      <w:sz w:val="24"/>
      <w:szCs w:val="20"/>
    </w:rPr>
  </w:style>
  <w:style w:type="character" w:customStyle="1" w:styleId="48">
    <w:name w:val="fontstrikethrough"/>
    <w:qFormat/>
    <w:uiPriority w:val="0"/>
    <w:rPr>
      <w:b/>
      <w:strike/>
      <w:sz w:val="24"/>
      <w:szCs w:val="24"/>
    </w:rPr>
  </w:style>
  <w:style w:type="character" w:customStyle="1" w:styleId="49">
    <w:name w:val="批注主题 Char"/>
    <w:link w:val="21"/>
    <w:qFormat/>
    <w:uiPriority w:val="0"/>
    <w:rPr>
      <w:b/>
      <w:bCs/>
      <w:kern w:val="2"/>
      <w:sz w:val="21"/>
      <w:szCs w:val="24"/>
    </w:rPr>
  </w:style>
  <w:style w:type="character" w:customStyle="1" w:styleId="50">
    <w:name w:val="5文章(治) Char"/>
    <w:link w:val="51"/>
    <w:qFormat/>
    <w:uiPriority w:val="0"/>
    <w:rPr>
      <w:kern w:val="2"/>
      <w:sz w:val="24"/>
    </w:rPr>
  </w:style>
  <w:style w:type="paragraph" w:customStyle="1" w:styleId="51">
    <w:name w:val="5文章(治)"/>
    <w:basedOn w:val="1"/>
    <w:link w:val="50"/>
    <w:qFormat/>
    <w:uiPriority w:val="0"/>
    <w:pPr>
      <w:widowControl/>
      <w:spacing w:line="360" w:lineRule="auto"/>
      <w:ind w:firstLine="560" w:firstLineChars="200"/>
      <w:jc w:val="left"/>
    </w:pPr>
    <w:rPr>
      <w:sz w:val="24"/>
      <w:szCs w:val="20"/>
    </w:rPr>
  </w:style>
  <w:style w:type="character" w:customStyle="1" w:styleId="52">
    <w:name w:val="font01"/>
    <w:qFormat/>
    <w:uiPriority w:val="0"/>
    <w:rPr>
      <w:rFonts w:hint="eastAsia" w:ascii="宋体" w:hAnsi="宋体" w:eastAsia="宋体" w:cs="宋体"/>
      <w:b/>
      <w:color w:val="000000"/>
      <w:sz w:val="22"/>
      <w:szCs w:val="22"/>
      <w:u w:val="none"/>
      <w:vertAlign w:val="subscript"/>
    </w:rPr>
  </w:style>
  <w:style w:type="character" w:customStyle="1" w:styleId="53">
    <w:name w:val="表头 Char Char"/>
    <w:link w:val="54"/>
    <w:uiPriority w:val="0"/>
    <w:rPr>
      <w:rFonts w:eastAsia="黑体"/>
      <w:kern w:val="2"/>
      <w:sz w:val="24"/>
    </w:rPr>
  </w:style>
  <w:style w:type="paragraph" w:customStyle="1" w:styleId="54">
    <w:name w:val="表头 Char"/>
    <w:basedOn w:val="1"/>
    <w:link w:val="53"/>
    <w:uiPriority w:val="0"/>
    <w:pPr>
      <w:spacing w:before="200"/>
    </w:pPr>
    <w:rPr>
      <w:rFonts w:eastAsia="黑体"/>
      <w:sz w:val="24"/>
      <w:szCs w:val="20"/>
    </w:rPr>
  </w:style>
  <w:style w:type="character" w:customStyle="1" w:styleId="55">
    <w:name w:val="脚注文本 Char"/>
    <w:link w:val="17"/>
    <w:uiPriority w:val="0"/>
    <w:rPr>
      <w:b/>
      <w:kern w:val="2"/>
      <w:sz w:val="18"/>
      <w:szCs w:val="18"/>
    </w:rPr>
  </w:style>
  <w:style w:type="character" w:customStyle="1" w:styleId="56">
    <w:name w:val="font21"/>
    <w:qFormat/>
    <w:uiPriority w:val="0"/>
    <w:rPr>
      <w:rFonts w:hint="eastAsia" w:ascii="宋体" w:hAnsi="宋体" w:eastAsia="宋体" w:cs="宋体"/>
      <w:b/>
      <w:color w:val="000000"/>
      <w:sz w:val="22"/>
      <w:szCs w:val="22"/>
      <w:u w:val="none"/>
    </w:rPr>
  </w:style>
  <w:style w:type="character" w:customStyle="1" w:styleId="57">
    <w:name w:val="表格文字 Char"/>
    <w:link w:val="58"/>
    <w:uiPriority w:val="0"/>
    <w:rPr>
      <w:kern w:val="2"/>
      <w:sz w:val="21"/>
      <w:szCs w:val="22"/>
    </w:rPr>
  </w:style>
  <w:style w:type="paragraph" w:customStyle="1" w:styleId="58">
    <w:name w:val="表格文字"/>
    <w:basedOn w:val="9"/>
    <w:link w:val="57"/>
    <w:qFormat/>
    <w:uiPriority w:val="0"/>
    <w:pPr>
      <w:jc w:val="center"/>
    </w:pPr>
    <w:rPr>
      <w:sz w:val="21"/>
      <w:szCs w:val="22"/>
    </w:rPr>
  </w:style>
  <w:style w:type="character" w:customStyle="1" w:styleId="59">
    <w:name w:val="样式 四号"/>
    <w:uiPriority w:val="0"/>
    <w:rPr>
      <w:sz w:val="28"/>
    </w:rPr>
  </w:style>
  <w:style w:type="character" w:customStyle="1" w:styleId="60">
    <w:name w:val="正文文本 Char"/>
    <w:link w:val="9"/>
    <w:qFormat/>
    <w:uiPriority w:val="0"/>
    <w:rPr>
      <w:kern w:val="2"/>
      <w:sz w:val="28"/>
      <w:szCs w:val="24"/>
    </w:rPr>
  </w:style>
  <w:style w:type="character" w:customStyle="1" w:styleId="61">
    <w:name w:val="c正文 字符"/>
    <w:link w:val="62"/>
    <w:qFormat/>
    <w:uiPriority w:val="0"/>
    <w:rPr>
      <w:sz w:val="24"/>
    </w:rPr>
  </w:style>
  <w:style w:type="paragraph" w:customStyle="1" w:styleId="62">
    <w:name w:val="c正文"/>
    <w:basedOn w:val="1"/>
    <w:link w:val="61"/>
    <w:qFormat/>
    <w:uiPriority w:val="0"/>
    <w:pPr>
      <w:adjustRightInd w:val="0"/>
      <w:snapToGrid w:val="0"/>
      <w:spacing w:line="500" w:lineRule="exact"/>
      <w:ind w:firstLine="480" w:firstLineChars="200"/>
    </w:pPr>
    <w:rPr>
      <w:kern w:val="0"/>
      <w:sz w:val="24"/>
      <w:szCs w:val="20"/>
    </w:rPr>
  </w:style>
  <w:style w:type="character" w:customStyle="1" w:styleId="63">
    <w:name w:val="f141"/>
    <w:uiPriority w:val="0"/>
    <w:rPr>
      <w:sz w:val="21"/>
      <w:szCs w:val="21"/>
    </w:rPr>
  </w:style>
  <w:style w:type="character" w:customStyle="1" w:styleId="64">
    <w:name w:val="宋小四缩 Char"/>
    <w:link w:val="65"/>
    <w:uiPriority w:val="0"/>
    <w:rPr>
      <w:rFonts w:ascii="宋体" w:hAnsi="宋体" w:eastAsia="宋体"/>
      <w:color w:val="000000"/>
      <w:sz w:val="21"/>
      <w:szCs w:val="21"/>
      <w:lang w:val="en-US" w:eastAsia="zh-CN" w:bidi="ar-SA"/>
    </w:rPr>
  </w:style>
  <w:style w:type="paragraph" w:customStyle="1" w:styleId="65">
    <w:name w:val="宋小四缩"/>
    <w:basedOn w:val="1"/>
    <w:link w:val="64"/>
    <w:uiPriority w:val="0"/>
    <w:pPr>
      <w:spacing w:line="300" w:lineRule="exact"/>
      <w:jc w:val="center"/>
    </w:pPr>
    <w:rPr>
      <w:rFonts w:ascii="宋体" w:hAnsi="宋体" w:eastAsia="宋体"/>
      <w:color w:val="000000"/>
      <w:kern w:val="0"/>
      <w:szCs w:val="21"/>
    </w:rPr>
  </w:style>
  <w:style w:type="character" w:customStyle="1" w:styleId="66">
    <w:name w:val="页眉 Char"/>
    <w:link w:val="16"/>
    <w:uiPriority w:val="0"/>
    <w:rPr>
      <w:kern w:val="2"/>
      <w:sz w:val="18"/>
      <w:szCs w:val="18"/>
    </w:rPr>
  </w:style>
  <w:style w:type="character" w:customStyle="1" w:styleId="67">
    <w:name w:val="正文文本缩进 2 Char"/>
    <w:link w:val="13"/>
    <w:uiPriority w:val="0"/>
    <w:rPr>
      <w:kern w:val="2"/>
      <w:sz w:val="28"/>
      <w:szCs w:val="24"/>
    </w:rPr>
  </w:style>
  <w:style w:type="character" w:customStyle="1" w:styleId="68">
    <w:name w:val="页脚 Char"/>
    <w:link w:val="15"/>
    <w:uiPriority w:val="0"/>
    <w:rPr>
      <w:kern w:val="2"/>
      <w:sz w:val="18"/>
      <w:szCs w:val="18"/>
    </w:rPr>
  </w:style>
  <w:style w:type="character" w:customStyle="1" w:styleId="69">
    <w:name w:val="apple-converted-space"/>
    <w:basedOn w:val="26"/>
    <w:uiPriority w:val="0"/>
  </w:style>
  <w:style w:type="character" w:customStyle="1" w:styleId="70">
    <w:name w:val="文档结构图 Char"/>
    <w:link w:val="7"/>
    <w:uiPriority w:val="0"/>
    <w:rPr>
      <w:rFonts w:ascii="宋体"/>
      <w:kern w:val="2"/>
      <w:sz w:val="18"/>
      <w:szCs w:val="18"/>
    </w:rPr>
  </w:style>
  <w:style w:type="character" w:customStyle="1" w:styleId="71">
    <w:name w:val="表头 Char1"/>
    <w:link w:val="72"/>
    <w:uiPriority w:val="0"/>
    <w:rPr>
      <w:rFonts w:ascii="黑体" w:eastAsia="黑体"/>
      <w:spacing w:val="20"/>
      <w:kern w:val="2"/>
      <w:sz w:val="24"/>
      <w:szCs w:val="24"/>
    </w:rPr>
  </w:style>
  <w:style w:type="paragraph" w:customStyle="1" w:styleId="72">
    <w:name w:val="表头"/>
    <w:basedOn w:val="1"/>
    <w:link w:val="71"/>
    <w:qFormat/>
    <w:uiPriority w:val="0"/>
    <w:pPr>
      <w:widowControl/>
      <w:spacing w:before="200" w:line="500" w:lineRule="exact"/>
      <w:jc w:val="left"/>
    </w:pPr>
    <w:rPr>
      <w:rFonts w:ascii="黑体" w:eastAsia="黑体"/>
      <w:spacing w:val="20"/>
      <w:sz w:val="24"/>
    </w:rPr>
  </w:style>
  <w:style w:type="character" w:customStyle="1" w:styleId="73">
    <w:name w:val="正文文本缩进 Char1"/>
    <w:link w:val="10"/>
    <w:uiPriority w:val="0"/>
    <w:rPr>
      <w:rFonts w:ascii="宋体" w:hAnsi="宋体"/>
      <w:kern w:val="2"/>
      <w:sz w:val="28"/>
      <w:szCs w:val="24"/>
    </w:rPr>
  </w:style>
  <w:style w:type="character" w:customStyle="1" w:styleId="74">
    <w:name w:val="纯文本 Char"/>
    <w:link w:val="12"/>
    <w:uiPriority w:val="99"/>
    <w:rPr>
      <w:rFonts w:ascii="宋体" w:hAnsi="Courier New"/>
      <w:kern w:val="2"/>
      <w:sz w:val="21"/>
    </w:rPr>
  </w:style>
  <w:style w:type="character" w:customStyle="1" w:styleId="75">
    <w:name w:val="表格标题 Char"/>
    <w:link w:val="76"/>
    <w:qFormat/>
    <w:uiPriority w:val="0"/>
    <w:rPr>
      <w:b/>
      <w:kern w:val="2"/>
      <w:sz w:val="21"/>
      <w:szCs w:val="22"/>
    </w:rPr>
  </w:style>
  <w:style w:type="paragraph" w:customStyle="1" w:styleId="76">
    <w:name w:val="表格标题"/>
    <w:basedOn w:val="1"/>
    <w:next w:val="1"/>
    <w:link w:val="75"/>
    <w:qFormat/>
    <w:uiPriority w:val="0"/>
    <w:pPr>
      <w:spacing w:beforeLines="50"/>
      <w:ind w:left="420" w:hanging="420"/>
      <w:jc w:val="center"/>
    </w:pPr>
    <w:rPr>
      <w:b/>
      <w:szCs w:val="22"/>
    </w:rPr>
  </w:style>
  <w:style w:type="character" w:customStyle="1" w:styleId="77">
    <w:name w:val="批注文字 Char"/>
    <w:link w:val="8"/>
    <w:uiPriority w:val="0"/>
    <w:rPr>
      <w:kern w:val="2"/>
      <w:sz w:val="21"/>
      <w:szCs w:val="24"/>
    </w:rPr>
  </w:style>
  <w:style w:type="character" w:customStyle="1" w:styleId="78">
    <w:name w:val="段落 Char"/>
    <w:link w:val="79"/>
    <w:uiPriority w:val="0"/>
    <w:rPr>
      <w:rFonts w:ascii="宋体" w:hAnsi="Courier New"/>
      <w:kern w:val="2"/>
      <w:sz w:val="28"/>
      <w:szCs w:val="24"/>
    </w:rPr>
  </w:style>
  <w:style w:type="paragraph" w:customStyle="1" w:styleId="79">
    <w:name w:val="段落"/>
    <w:basedOn w:val="12"/>
    <w:link w:val="78"/>
    <w:qFormat/>
    <w:uiPriority w:val="0"/>
    <w:pPr>
      <w:spacing w:line="500" w:lineRule="exact"/>
      <w:ind w:firstLine="578"/>
    </w:pPr>
    <w:rPr>
      <w:sz w:val="28"/>
      <w:szCs w:val="24"/>
    </w:rPr>
  </w:style>
  <w:style w:type="character" w:customStyle="1" w:styleId="80">
    <w:name w:val="font11"/>
    <w:qFormat/>
    <w:uiPriority w:val="0"/>
    <w:rPr>
      <w:rFonts w:hint="default" w:ascii="Times New Roman" w:hAnsi="Times New Roman" w:cs="Times New Roman"/>
      <w:b/>
      <w:color w:val="000000"/>
      <w:sz w:val="22"/>
      <w:szCs w:val="22"/>
      <w:u w:val="none"/>
      <w:vertAlign w:val="subscript"/>
    </w:rPr>
  </w:style>
  <w:style w:type="paragraph" w:customStyle="1" w:styleId="81">
    <w:name w:val="五号表格"/>
    <w:basedOn w:val="1"/>
    <w:uiPriority w:val="0"/>
    <w:pPr>
      <w:jc w:val="center"/>
    </w:pPr>
  </w:style>
  <w:style w:type="paragraph" w:customStyle="1" w:styleId="82">
    <w:name w:val="中文报告书样式"/>
    <w:basedOn w:val="1"/>
    <w:uiPriority w:val="0"/>
    <w:pPr>
      <w:adjustRightInd w:val="0"/>
      <w:spacing w:line="480" w:lineRule="atLeast"/>
      <w:ind w:firstLine="482"/>
      <w:textAlignment w:val="baseline"/>
    </w:pPr>
    <w:rPr>
      <w:rFonts w:cs="宋体"/>
      <w:color w:val="000000"/>
      <w:kern w:val="24"/>
      <w:sz w:val="24"/>
    </w:rPr>
  </w:style>
  <w:style w:type="paragraph" w:customStyle="1" w:styleId="83">
    <w:name w:val="正文五"/>
    <w:basedOn w:val="1"/>
    <w:uiPriority w:val="0"/>
    <w:pPr>
      <w:snapToGrid w:val="0"/>
      <w:jc w:val="center"/>
    </w:pPr>
    <w:rPr>
      <w:sz w:val="24"/>
      <w:szCs w:val="20"/>
    </w:rPr>
  </w:style>
  <w:style w:type="paragraph" w:customStyle="1" w:styleId="84">
    <w:name w:val="赵正文"/>
    <w:basedOn w:val="1"/>
    <w:qFormat/>
    <w:uiPriority w:val="0"/>
    <w:pPr>
      <w:spacing w:line="520" w:lineRule="exact"/>
      <w:ind w:firstLine="640" w:firstLineChars="200"/>
    </w:pPr>
    <w:rPr>
      <w:kern w:val="0"/>
      <w:sz w:val="24"/>
    </w:rPr>
  </w:style>
  <w:style w:type="paragraph" w:customStyle="1" w:styleId="85">
    <w:name w:val="三级条标题"/>
    <w:basedOn w:val="86"/>
    <w:next w:val="89"/>
    <w:qFormat/>
    <w:uiPriority w:val="0"/>
    <w:pPr>
      <w:tabs>
        <w:tab w:val="left" w:pos="2160"/>
      </w:tabs>
      <w:ind w:left="0" w:firstLine="0"/>
      <w:outlineLvl w:val="4"/>
    </w:pPr>
  </w:style>
  <w:style w:type="paragraph" w:customStyle="1" w:styleId="86">
    <w:name w:val="二级条标题"/>
    <w:basedOn w:val="87"/>
    <w:next w:val="89"/>
    <w:qFormat/>
    <w:uiPriority w:val="99"/>
    <w:pPr>
      <w:tabs>
        <w:tab w:val="left" w:pos="2160"/>
      </w:tabs>
      <w:outlineLvl w:val="3"/>
    </w:pPr>
    <w:rPr>
      <w:rFonts w:ascii="Times New Roman" w:hAnsi="Times New Roman" w:eastAsia="宋体"/>
    </w:rPr>
  </w:style>
  <w:style w:type="paragraph" w:customStyle="1" w:styleId="87">
    <w:name w:val="一级条标题"/>
    <w:basedOn w:val="88"/>
    <w:next w:val="89"/>
    <w:qFormat/>
    <w:uiPriority w:val="0"/>
    <w:pPr>
      <w:tabs>
        <w:tab w:val="left" w:pos="2160"/>
      </w:tabs>
      <w:spacing w:beforeLines="0" w:afterLines="0"/>
      <w:ind w:left="2160" w:hanging="360"/>
      <w:outlineLvl w:val="2"/>
    </w:pPr>
  </w:style>
  <w:style w:type="paragraph" w:customStyle="1" w:styleId="88">
    <w:name w:val="章标题"/>
    <w:next w:val="89"/>
    <w:qFormat/>
    <w:uiPriority w:val="0"/>
    <w:pPr>
      <w:spacing w:beforeLines="50" w:afterLines="50"/>
      <w:jc w:val="both"/>
      <w:outlineLvl w:val="1"/>
    </w:pPr>
    <w:rPr>
      <w:rFonts w:ascii="黑体" w:hAnsi="Calibri" w:eastAsia="黑体" w:cs="Times New Roman"/>
      <w:sz w:val="21"/>
      <w:szCs w:val="22"/>
      <w:lang w:val="en-US" w:eastAsia="zh-CN" w:bidi="ar-SA"/>
    </w:rPr>
  </w:style>
  <w:style w:type="paragraph" w:customStyle="1" w:styleId="89">
    <w:name w:val="段"/>
    <w:qFormat/>
    <w:uiPriority w:val="0"/>
    <w:pPr>
      <w:autoSpaceDE w:val="0"/>
      <w:autoSpaceDN w:val="0"/>
      <w:ind w:firstLine="200" w:firstLineChars="200"/>
      <w:jc w:val="both"/>
    </w:pPr>
    <w:rPr>
      <w:rFonts w:ascii="宋体" w:hAnsi="Calibri" w:eastAsia="等线" w:cs="Times New Roman"/>
      <w:sz w:val="21"/>
      <w:szCs w:val="22"/>
      <w:lang w:val="zh-CN" w:eastAsia="zh-CN" w:bidi="ar-SA"/>
    </w:rPr>
  </w:style>
  <w:style w:type="paragraph" w:customStyle="1" w:styleId="90">
    <w:name w:val="c表内容"/>
    <w:basedOn w:val="1"/>
    <w:qFormat/>
    <w:uiPriority w:val="0"/>
    <w:pPr>
      <w:spacing w:line="320" w:lineRule="exact"/>
      <w:jc w:val="center"/>
    </w:pPr>
    <w:rPr>
      <w:szCs w:val="21"/>
    </w:rPr>
  </w:style>
  <w:style w:type="paragraph" w:customStyle="1" w:styleId="91">
    <w:name w:val="报告正文"/>
    <w:basedOn w:val="1"/>
    <w:uiPriority w:val="0"/>
    <w:pPr>
      <w:spacing w:line="480" w:lineRule="exact"/>
      <w:ind w:firstLine="200" w:firstLineChars="200"/>
    </w:pPr>
    <w:rPr>
      <w:color w:val="000000"/>
      <w:sz w:val="24"/>
    </w:rPr>
  </w:style>
  <w:style w:type="paragraph" w:customStyle="1" w:styleId="92">
    <w:name w:val="Revision"/>
    <w:semiHidden/>
    <w:uiPriority w:val="99"/>
    <w:rPr>
      <w:rFonts w:ascii="Calibri" w:hAnsi="Calibri" w:eastAsia="等线" w:cs="Times New Roman"/>
      <w:kern w:val="2"/>
      <w:sz w:val="21"/>
      <w:szCs w:val="24"/>
      <w:lang w:val="en-US" w:eastAsia="zh-CN" w:bidi="ar-SA"/>
    </w:rPr>
  </w:style>
  <w:style w:type="paragraph" w:customStyle="1" w:styleId="93">
    <w:name w:val="正文表"/>
    <w:basedOn w:val="1"/>
    <w:uiPriority w:val="0"/>
    <w:pPr>
      <w:widowControl/>
      <w:tabs>
        <w:tab w:val="left" w:pos="0"/>
      </w:tabs>
      <w:spacing w:line="440" w:lineRule="exact"/>
      <w:jc w:val="center"/>
    </w:pPr>
    <w:rPr>
      <w:rFonts w:ascii="宋体" w:hAnsi="宋体" w:cs="宋体"/>
      <w:kern w:val="0"/>
      <w:sz w:val="24"/>
    </w:rPr>
  </w:style>
  <w:style w:type="paragraph" w:customStyle="1" w:styleId="94">
    <w:name w:val="正文缩进1"/>
    <w:basedOn w:val="1"/>
    <w:uiPriority w:val="0"/>
    <w:pPr>
      <w:spacing w:line="520" w:lineRule="exact"/>
      <w:ind w:firstLine="624"/>
    </w:pPr>
    <w:rPr>
      <w:sz w:val="28"/>
      <w:szCs w:val="20"/>
    </w:rPr>
  </w:style>
  <w:style w:type="paragraph" w:customStyle="1" w:styleId="95">
    <w:name w:val="报告"/>
    <w:basedOn w:val="1"/>
    <w:uiPriority w:val="0"/>
    <w:pPr>
      <w:adjustRightInd w:val="0"/>
      <w:spacing w:line="360" w:lineRule="auto"/>
      <w:ind w:firstLine="505"/>
      <w:textAlignment w:val="baseline"/>
    </w:pPr>
    <w:rPr>
      <w:kern w:val="0"/>
      <w:sz w:val="24"/>
      <w:szCs w:val="20"/>
    </w:rPr>
  </w:style>
  <w:style w:type="paragraph" w:customStyle="1" w:styleId="96">
    <w:name w:val="p0"/>
    <w:basedOn w:val="1"/>
    <w:uiPriority w:val="0"/>
    <w:pPr>
      <w:widowControl/>
      <w:spacing w:before="100" w:beforeAutospacing="1" w:after="100" w:afterAutospacing="1"/>
      <w:jc w:val="left"/>
    </w:pPr>
    <w:rPr>
      <w:rFonts w:ascii="宋体" w:hAnsi="宋体" w:cs="宋体"/>
      <w:kern w:val="0"/>
      <w:sz w:val="24"/>
    </w:rPr>
  </w:style>
  <w:style w:type="paragraph" w:customStyle="1" w:styleId="97">
    <w:name w:val="c标3"/>
    <w:basedOn w:val="1"/>
    <w:qFormat/>
    <w:uiPriority w:val="0"/>
    <w:pPr>
      <w:spacing w:line="500" w:lineRule="exact"/>
      <w:ind w:firstLine="98" w:firstLineChars="98"/>
    </w:pPr>
    <w:rPr>
      <w:b/>
      <w:sz w:val="24"/>
      <w:szCs w:val="21"/>
    </w:rPr>
  </w:style>
  <w:style w:type="paragraph" w:customStyle="1" w:styleId="98">
    <w:name w:val="报告表格"/>
    <w:basedOn w:val="1"/>
    <w:uiPriority w:val="0"/>
    <w:pPr>
      <w:autoSpaceDE w:val="0"/>
      <w:autoSpaceDN w:val="0"/>
      <w:adjustRightInd w:val="0"/>
      <w:spacing w:before="40" w:after="40"/>
      <w:jc w:val="center"/>
      <w:textAlignment w:val="bottom"/>
    </w:pPr>
    <w:rPr>
      <w:kern w:val="0"/>
      <w:szCs w:val="20"/>
    </w:rPr>
  </w:style>
  <w:style w:type="paragraph" w:customStyle="1" w:styleId="99">
    <w:name w:val="样式 样式 标题 211.1标题 21.1标题2标题 2 Char Char节SeHead wsa2二级标题节标题... + 段..."/>
    <w:basedOn w:val="1"/>
    <w:uiPriority w:val="0"/>
    <w:pPr>
      <w:keepNext/>
      <w:keepLines/>
      <w:adjustRightInd w:val="0"/>
      <w:snapToGrid w:val="0"/>
      <w:spacing w:beforeLines="50" w:afterLines="50" w:line="360" w:lineRule="auto"/>
      <w:outlineLvl w:val="1"/>
    </w:pPr>
    <w:rPr>
      <w:rFonts w:cs="宋体"/>
      <w:b/>
      <w:bCs/>
      <w:sz w:val="28"/>
      <w:szCs w:val="20"/>
    </w:rPr>
  </w:style>
  <w:style w:type="paragraph" w:customStyle="1" w:styleId="100">
    <w:name w:val="表格"/>
    <w:basedOn w:val="1"/>
    <w:uiPriority w:val="0"/>
    <w:pPr>
      <w:adjustRightInd w:val="0"/>
      <w:snapToGrid w:val="0"/>
      <w:spacing w:line="360" w:lineRule="atLeast"/>
      <w:jc w:val="center"/>
    </w:pPr>
    <w:rPr>
      <w:snapToGrid w:val="0"/>
      <w:kern w:val="0"/>
    </w:rPr>
  </w:style>
  <w:style w:type="paragraph" w:customStyle="1" w:styleId="101">
    <w:name w:val="c表头"/>
    <w:basedOn w:val="1"/>
    <w:qFormat/>
    <w:uiPriority w:val="0"/>
    <w:pPr>
      <w:widowControl/>
      <w:spacing w:afterLines="20" w:line="400" w:lineRule="exact"/>
      <w:ind w:firstLine="413" w:firstLineChars="196"/>
    </w:pPr>
    <w:rPr>
      <w:b/>
      <w:szCs w:val="21"/>
    </w:rPr>
  </w:style>
  <w:style w:type="paragraph" w:customStyle="1" w:styleId="102">
    <w:name w:val="Char1"/>
    <w:basedOn w:val="1"/>
    <w:uiPriority w:val="0"/>
    <w:pPr>
      <w:adjustRightInd w:val="0"/>
      <w:spacing w:line="360" w:lineRule="atLeast"/>
    </w:pPr>
    <w:rPr>
      <w:rFonts w:eastAsia="黑体"/>
      <w:b/>
      <w:kern w:val="28"/>
      <w:sz w:val="28"/>
      <w:szCs w:val="20"/>
    </w:rPr>
  </w:style>
  <w:style w:type="paragraph" w:customStyle="1" w:styleId="103">
    <w:name w:val="TableStyle10.5"/>
    <w:basedOn w:val="1"/>
    <w:qFormat/>
    <w:uiPriority w:val="0"/>
    <w:pPr>
      <w:jc w:val="center"/>
    </w:pPr>
  </w:style>
  <w:style w:type="paragraph" w:customStyle="1" w:styleId="104">
    <w:name w:val="msonormalcxspmiddle"/>
    <w:basedOn w:val="1"/>
    <w:uiPriority w:val="0"/>
    <w:pPr>
      <w:widowControl/>
      <w:spacing w:before="100" w:beforeAutospacing="1" w:after="100" w:afterAutospacing="1"/>
      <w:jc w:val="left"/>
    </w:pPr>
    <w:rPr>
      <w:rFonts w:ascii="宋体" w:hAnsi="宋体" w:cs="宋体"/>
      <w:kern w:val="0"/>
      <w:sz w:val="24"/>
    </w:rPr>
  </w:style>
  <w:style w:type="paragraph" w:customStyle="1" w:styleId="105">
    <w:name w:val="样式 加粗 居中 行距: 固定值 25 磅"/>
    <w:basedOn w:val="1"/>
    <w:qFormat/>
    <w:uiPriority w:val="0"/>
    <w:pPr>
      <w:spacing w:line="500" w:lineRule="exact"/>
      <w:jc w:val="center"/>
    </w:pPr>
    <w:rPr>
      <w:rFonts w:cs="宋体"/>
      <w:b/>
      <w:bCs/>
      <w:szCs w:val="20"/>
    </w:rPr>
  </w:style>
  <w:style w:type="paragraph" w:customStyle="1" w:styleId="106">
    <w:name w:val="Table Paragraph"/>
    <w:basedOn w:val="1"/>
    <w:qFormat/>
    <w:uiPriority w:val="1"/>
    <w:pPr>
      <w:autoSpaceDE w:val="0"/>
      <w:autoSpaceDN w:val="0"/>
      <w:adjustRightInd w:val="0"/>
      <w:jc w:val="left"/>
    </w:pPr>
    <w:rPr>
      <w:kern w:val="0"/>
      <w:sz w:val="24"/>
    </w:rPr>
  </w:style>
  <w:style w:type="paragraph" w:customStyle="1" w:styleId="107">
    <w:name w:val="reader-word-layer"/>
    <w:basedOn w:val="1"/>
    <w:uiPriority w:val="0"/>
    <w:pPr>
      <w:widowControl/>
      <w:spacing w:before="100" w:beforeAutospacing="1" w:after="100" w:afterAutospacing="1"/>
      <w:jc w:val="left"/>
    </w:pPr>
    <w:rPr>
      <w:rFonts w:ascii="宋体" w:hAnsi="宋体" w:cs="宋体"/>
      <w:kern w:val="0"/>
      <w:sz w:val="24"/>
    </w:rPr>
  </w:style>
  <w:style w:type="paragraph" w:customStyle="1" w:styleId="108">
    <w:name w:val="表格文字2"/>
    <w:basedOn w:val="1"/>
    <w:uiPriority w:val="0"/>
    <w:pPr>
      <w:adjustRightInd w:val="0"/>
      <w:spacing w:before="60"/>
      <w:jc w:val="center"/>
      <w:textAlignment w:val="baseline"/>
    </w:pPr>
    <w:rPr>
      <w:rFonts w:ascii="宋体"/>
      <w:kern w:val="0"/>
      <w:sz w:val="24"/>
      <w:szCs w:val="20"/>
    </w:rPr>
  </w:style>
  <w:style w:type="paragraph" w:customStyle="1" w:styleId="109">
    <w:name w:val="表头格式"/>
    <w:basedOn w:val="1"/>
    <w:qFormat/>
    <w:uiPriority w:val="0"/>
    <w:pPr>
      <w:adjustRightInd w:val="0"/>
      <w:snapToGrid w:val="0"/>
      <w:spacing w:line="520" w:lineRule="exact"/>
      <w:ind w:firstLine="880"/>
      <w:jc w:val="left"/>
    </w:pPr>
    <w:rPr>
      <w:rFonts w:ascii="Times New Roman" w:hAnsi="Times New Roman" w:eastAsia="黑体"/>
      <w:snapToGrid w:val="0"/>
      <w:kern w:val="0"/>
      <w:sz w:val="28"/>
      <w:szCs w:val="20"/>
    </w:rPr>
  </w:style>
  <w:style w:type="paragraph" w:customStyle="1" w:styleId="110">
    <w:name w:val="四级条标题"/>
    <w:basedOn w:val="85"/>
    <w:next w:val="89"/>
    <w:qFormat/>
    <w:uiPriority w:val="0"/>
    <w:pPr>
      <w:outlineLvl w:val="5"/>
    </w:pPr>
    <w:rPr>
      <w:szCs w:val="20"/>
    </w:rPr>
  </w:style>
  <w:style w:type="paragraph" w:customStyle="1" w:styleId="111">
    <w:name w:val="正文缩进3"/>
    <w:basedOn w:val="1"/>
    <w:qFormat/>
    <w:uiPriority w:val="0"/>
    <w:rPr>
      <w:sz w:val="28"/>
      <w:szCs w:val="20"/>
    </w:rPr>
  </w:style>
  <w:style w:type="paragraph" w:customStyle="1" w:styleId="112">
    <w:name w:val="+正文"/>
    <w:basedOn w:val="1"/>
    <w:qFormat/>
    <w:uiPriority w:val="0"/>
    <w:pPr>
      <w:spacing w:line="360" w:lineRule="auto"/>
      <w:ind w:firstLine="200" w:firstLineChars="200"/>
    </w:pPr>
    <w:rPr>
      <w:sz w:val="24"/>
      <w:szCs w:val="28"/>
    </w:rPr>
  </w:style>
  <w:style w:type="paragraph" w:styleId="113">
    <w:name w:val="List Paragraph"/>
    <w:basedOn w:val="1"/>
    <w:qFormat/>
    <w:uiPriority w:val="0"/>
    <w:pPr>
      <w:ind w:firstLine="420" w:firstLineChars="200"/>
    </w:pPr>
  </w:style>
  <w:style w:type="paragraph" w:customStyle="1" w:styleId="114">
    <w:name w:val="Char Char Char1 Char Char Char Char Char Char Char"/>
    <w:basedOn w:val="1"/>
    <w:qFormat/>
    <w:uiPriority w:val="0"/>
    <w:pPr>
      <w:spacing w:line="300" w:lineRule="auto"/>
    </w:pPr>
  </w:style>
  <w:style w:type="paragraph" w:customStyle="1" w:styleId="115">
    <w:name w:val="Char11"/>
    <w:basedOn w:val="1"/>
    <w:next w:val="1"/>
    <w:qFormat/>
    <w:uiPriority w:val="0"/>
    <w:pPr>
      <w:spacing w:line="360" w:lineRule="auto"/>
      <w:ind w:firstLine="200" w:firstLineChars="200"/>
    </w:pPr>
    <w:rPr>
      <w:b/>
      <w:sz w:val="24"/>
    </w:rPr>
  </w:style>
  <w:style w:type="paragraph" w:customStyle="1" w:styleId="116">
    <w:name w:val="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17">
    <w:name w:val="正文文本缩进1"/>
    <w:basedOn w:val="1"/>
    <w:link w:val="134"/>
    <w:qFormat/>
    <w:uiPriority w:val="0"/>
    <w:pPr>
      <w:tabs>
        <w:tab w:val="left" w:pos="210"/>
      </w:tabs>
      <w:spacing w:line="360" w:lineRule="auto"/>
      <w:ind w:firstLine="420" w:firstLineChars="175"/>
    </w:pPr>
    <w:rPr>
      <w:kern w:val="0"/>
      <w:sz w:val="20"/>
    </w:rPr>
  </w:style>
  <w:style w:type="paragraph" w:customStyle="1" w:styleId="118">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119">
    <w:name w:val="表头 +1行"/>
    <w:basedOn w:val="109"/>
    <w:qFormat/>
    <w:uiPriority w:val="0"/>
    <w:pPr>
      <w:spacing w:before="312"/>
    </w:pPr>
    <w:rPr>
      <w:rFonts w:cs="宋体"/>
    </w:rPr>
  </w:style>
  <w:style w:type="paragraph" w:customStyle="1" w:styleId="120">
    <w:name w:val="Char Char Char Char"/>
    <w:basedOn w:val="1"/>
    <w:uiPriority w:val="0"/>
    <w:pPr>
      <w:spacing w:beforeLines="20" w:line="440" w:lineRule="atLeast"/>
      <w:ind w:firstLine="200" w:firstLineChars="200"/>
    </w:pPr>
    <w:rPr>
      <w:sz w:val="24"/>
    </w:rPr>
  </w:style>
  <w:style w:type="paragraph" w:customStyle="1" w:styleId="121">
    <w:name w:val="报告表表格文字"/>
    <w:basedOn w:val="1"/>
    <w:uiPriority w:val="0"/>
    <w:pPr>
      <w:autoSpaceDE w:val="0"/>
      <w:autoSpaceDN w:val="0"/>
      <w:adjustRightInd w:val="0"/>
      <w:snapToGrid w:val="0"/>
      <w:spacing w:line="360" w:lineRule="exact"/>
      <w:jc w:val="center"/>
    </w:pPr>
    <w:rPr>
      <w:color w:val="000000"/>
      <w:kern w:val="0"/>
      <w:szCs w:val="21"/>
    </w:rPr>
  </w:style>
  <w:style w:type="paragraph" w:customStyle="1" w:styleId="122">
    <w:name w:val="TableStyle12"/>
    <w:basedOn w:val="1"/>
    <w:qFormat/>
    <w:uiPriority w:val="0"/>
    <w:pPr>
      <w:jc w:val="center"/>
    </w:pPr>
    <w:rPr>
      <w:sz w:val="24"/>
    </w:rPr>
  </w:style>
  <w:style w:type="paragraph" w:customStyle="1" w:styleId="123">
    <w:name w:val="content5"/>
    <w:basedOn w:val="1"/>
    <w:uiPriority w:val="0"/>
    <w:pPr>
      <w:widowControl/>
      <w:spacing w:before="100" w:beforeAutospacing="1" w:after="100" w:afterAutospacing="1"/>
      <w:jc w:val="left"/>
    </w:pPr>
    <w:rPr>
      <w:rFonts w:ascii="宋体" w:hAnsi="宋体" w:cs="宋体"/>
      <w:kern w:val="0"/>
      <w:sz w:val="24"/>
    </w:rPr>
  </w:style>
  <w:style w:type="paragraph" w:customStyle="1" w:styleId="124">
    <w:name w:val="默认段落字体 Para Char Char Char Char"/>
    <w:basedOn w:val="1"/>
    <w:uiPriority w:val="0"/>
    <w:rPr>
      <w:sz w:val="24"/>
    </w:rPr>
  </w:style>
  <w:style w:type="paragraph" w:customStyle="1" w:styleId="125">
    <w:name w:val="两倍行距"/>
    <w:qFormat/>
    <w:uiPriority w:val="0"/>
    <w:pPr>
      <w:spacing w:line="480" w:lineRule="auto"/>
    </w:pPr>
    <w:rPr>
      <w:rFonts w:ascii="Calibri" w:hAnsi="Calibri" w:eastAsia="等线" w:cs="Times New Roman"/>
      <w:b/>
      <w:kern w:val="2"/>
      <w:sz w:val="24"/>
      <w:szCs w:val="24"/>
      <w:lang w:val="en-US" w:eastAsia="zh-CN" w:bidi="ar-SA"/>
    </w:rPr>
  </w:style>
  <w:style w:type="paragraph" w:customStyle="1" w:styleId="126">
    <w:name w:val="text1"/>
    <w:basedOn w:val="1"/>
    <w:qFormat/>
    <w:uiPriority w:val="0"/>
    <w:pPr>
      <w:widowControl/>
      <w:spacing w:before="100" w:beforeAutospacing="1" w:after="100" w:afterAutospacing="1" w:line="300" w:lineRule="atLeast"/>
      <w:jc w:val="left"/>
    </w:pPr>
    <w:rPr>
      <w:rFonts w:ascii="Verdana" w:hAnsi="Verdana" w:cs="宋体"/>
      <w:color w:val="0067BA"/>
      <w:kern w:val="0"/>
      <w:sz w:val="18"/>
      <w:szCs w:val="18"/>
    </w:rPr>
  </w:style>
  <w:style w:type="paragraph" w:customStyle="1" w:styleId="127">
    <w:name w:val="正文缩进111"/>
    <w:basedOn w:val="1"/>
    <w:qFormat/>
    <w:uiPriority w:val="0"/>
    <w:rPr>
      <w:sz w:val="28"/>
    </w:rPr>
  </w:style>
  <w:style w:type="paragraph" w:customStyle="1" w:styleId="128">
    <w:name w:val="报告书表格"/>
    <w:basedOn w:val="1"/>
    <w:uiPriority w:val="0"/>
    <w:pPr>
      <w:adjustRightInd w:val="0"/>
      <w:spacing w:before="60" w:after="60" w:line="240" w:lineRule="atLeast"/>
      <w:jc w:val="center"/>
      <w:textAlignment w:val="baseline"/>
    </w:pPr>
    <w:rPr>
      <w:kern w:val="0"/>
      <w:szCs w:val="20"/>
    </w:rPr>
  </w:style>
  <w:style w:type="paragraph" w:customStyle="1" w:styleId="129">
    <w:name w:val="Char"/>
    <w:basedOn w:val="1"/>
    <w:uiPriority w:val="0"/>
    <w:pPr>
      <w:snapToGrid w:val="0"/>
      <w:spacing w:line="360" w:lineRule="auto"/>
      <w:ind w:firstLine="529" w:firstLineChars="200"/>
    </w:pPr>
    <w:rPr>
      <w:rFonts w:ascii="宋体" w:hAnsi="宋体"/>
      <w:b/>
    </w:rPr>
  </w:style>
  <w:style w:type="paragraph" w:customStyle="1" w:styleId="130">
    <w:name w:val="正文缩进11"/>
    <w:basedOn w:val="1"/>
    <w:qFormat/>
    <w:uiPriority w:val="0"/>
  </w:style>
  <w:style w:type="paragraph" w:customStyle="1" w:styleId="131">
    <w:name w:val="Default"/>
    <w:qFormat/>
    <w:uiPriority w:val="0"/>
    <w:pPr>
      <w:widowControl w:val="0"/>
      <w:autoSpaceDE w:val="0"/>
      <w:autoSpaceDN w:val="0"/>
      <w:adjustRightInd w:val="0"/>
    </w:pPr>
    <w:rPr>
      <w:rFonts w:ascii="宋体" w:hAnsi="Calibri" w:eastAsia="等线" w:cs="宋体"/>
      <w:color w:val="000000"/>
      <w:sz w:val="24"/>
      <w:szCs w:val="24"/>
      <w:lang w:val="en-US" w:eastAsia="zh-CN" w:bidi="ar-SA"/>
    </w:rPr>
  </w:style>
  <w:style w:type="paragraph" w:customStyle="1" w:styleId="132">
    <w:name w:val="正文AAA"/>
    <w:basedOn w:val="1"/>
    <w:uiPriority w:val="0"/>
    <w:pPr>
      <w:spacing w:line="500" w:lineRule="exact"/>
      <w:ind w:firstLine="480" w:firstLineChars="200"/>
    </w:pPr>
    <w:rPr>
      <w:rFonts w:ascii="宋体" w:hAnsi="宋体"/>
      <w:sz w:val="24"/>
      <w:szCs w:val="20"/>
    </w:rPr>
  </w:style>
  <w:style w:type="paragraph" w:customStyle="1" w:styleId="133">
    <w:name w:val="正文1"/>
    <w:basedOn w:val="1"/>
    <w:qFormat/>
    <w:uiPriority w:val="0"/>
    <w:pPr>
      <w:ind w:firstLine="552"/>
    </w:pPr>
    <w:rPr>
      <w:rFonts w:ascii="楷体_GB2312" w:eastAsia="楷体_GB2312"/>
      <w:b/>
    </w:rPr>
  </w:style>
  <w:style w:type="character" w:customStyle="1" w:styleId="134">
    <w:name w:val="正文文本缩进 Char"/>
    <w:basedOn w:val="26"/>
    <w:link w:val="117"/>
    <w:uiPriority w:val="0"/>
  </w:style>
  <w:style w:type="character" w:customStyle="1" w:styleId="135">
    <w:name w:val="fontrow151"/>
    <w:basedOn w:val="26"/>
    <w:qFormat/>
    <w:uiPriority w:val="0"/>
  </w:style>
  <w:style w:type="paragraph" w:customStyle="1" w:styleId="136">
    <w:name w:val="鸿达表加粗"/>
    <w:basedOn w:val="1"/>
    <w:qFormat/>
    <w:uiPriority w:val="0"/>
    <w:pPr>
      <w:jc w:val="center"/>
    </w:pPr>
    <w:rPr>
      <w:rFonts w:ascii="Times New Roman" w:hAnsi="Times New Roman" w:eastAsia="宋体" w:cs="宋体"/>
      <w:b/>
      <w:color w:val="000000"/>
    </w:rPr>
  </w:style>
  <w:style w:type="paragraph" w:customStyle="1" w:styleId="137">
    <w:name w:val="鸿达表头"/>
    <w:basedOn w:val="1"/>
    <w:qFormat/>
    <w:uiPriority w:val="0"/>
    <w:pPr>
      <w:spacing w:beforeLines="100"/>
      <w:ind w:firstLine="100" w:firstLineChars="100"/>
    </w:pPr>
    <w:rPr>
      <w:rFonts w:ascii="Times New Roman" w:hAnsi="Times New Roman" w:eastAsia="宋体"/>
      <w:b/>
    </w:rPr>
  </w:style>
  <w:style w:type="paragraph" w:customStyle="1" w:styleId="138">
    <w:name w:val="鸿达表格文字"/>
    <w:basedOn w:val="1"/>
    <w:qFormat/>
    <w:uiPriority w:val="0"/>
    <w:pPr>
      <w:contextualSpacing/>
      <w:jc w:val="center"/>
    </w:pPr>
    <w:rPr>
      <w:rFonts w:ascii="Times New Roman" w:hAnsi="Times New Roman" w:eastAsia="宋体"/>
      <w:szCs w:val="21"/>
    </w:rPr>
  </w:style>
  <w:style w:type="paragraph" w:customStyle="1" w:styleId="139">
    <w:name w:val="环评表格内容居中"/>
    <w:basedOn w:val="1"/>
    <w:qFormat/>
    <w:uiPriority w:val="0"/>
    <w:pPr>
      <w:tabs>
        <w:tab w:val="left" w:pos="4540"/>
      </w:tabs>
      <w:adjustRightInd w:val="0"/>
      <w:snapToGrid w:val="0"/>
      <w:jc w:val="center"/>
    </w:pPr>
    <w:rPr>
      <w:rFonts w:ascii="Times New Roman" w:hAnsi="Times New Roman" w:eastAsia="仿宋_GB2312"/>
      <w:szCs w:val="22"/>
    </w:rPr>
  </w:style>
  <w:style w:type="paragraph" w:customStyle="1" w:styleId="140">
    <w:name w:val="环评表格表头"/>
    <w:basedOn w:val="139"/>
    <w:qFormat/>
    <w:uiPriority w:val="0"/>
    <w:rPr>
      <w:b/>
    </w:rPr>
  </w:style>
  <w:style w:type="character" w:customStyle="1" w:styleId="141">
    <w:name w:val="1. 表格内容 Char"/>
    <w:basedOn w:val="26"/>
    <w:link w:val="142"/>
    <w:locked/>
    <w:uiPriority w:val="0"/>
    <w:rPr>
      <w:kern w:val="2"/>
      <w:sz w:val="21"/>
      <w:szCs w:val="21"/>
    </w:rPr>
  </w:style>
  <w:style w:type="paragraph" w:customStyle="1" w:styleId="142">
    <w:name w:val="1. 表格内容"/>
    <w:basedOn w:val="1"/>
    <w:link w:val="141"/>
    <w:qFormat/>
    <w:uiPriority w:val="0"/>
    <w:pPr>
      <w:snapToGrid w:val="0"/>
      <w:jc w:val="center"/>
    </w:pPr>
    <w:rPr>
      <w:szCs w:val="21"/>
    </w:rPr>
  </w:style>
  <w:style w:type="character" w:customStyle="1" w:styleId="143">
    <w:name w:val="题注 Char"/>
    <w:link w:val="6"/>
    <w:qFormat/>
    <w:uiPriority w:val="0"/>
    <w:rPr>
      <w:rFonts w:ascii="Arial" w:hAnsi="Arial" w:eastAsia="黑体" w:cs="Arial"/>
      <w:kern w:val="2"/>
    </w:rPr>
  </w:style>
  <w:style w:type="paragraph" w:customStyle="1" w:styleId="144">
    <w:name w:val="正文缩进2"/>
    <w:basedOn w:val="1"/>
    <w:uiPriority w:val="0"/>
    <w:pPr>
      <w:spacing w:line="520" w:lineRule="exact"/>
      <w:ind w:firstLine="624"/>
    </w:pPr>
    <w:rPr>
      <w:rFonts w:ascii="Times New Roman" w:hAnsi="Times New Roman" w:eastAsia="宋体"/>
      <w:sz w:val="28"/>
      <w:szCs w:val="20"/>
    </w:rPr>
  </w:style>
  <w:style w:type="character" w:customStyle="1" w:styleId="145">
    <w:name w:val="标题 1 Char"/>
    <w:basedOn w:val="26"/>
    <w:link w:val="2"/>
    <w:uiPriority w:val="9"/>
    <w:rPr>
      <w:kern w:val="2"/>
      <w:sz w:val="2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0" Type="http://schemas.openxmlformats.org/officeDocument/2006/relationships/fontTable" Target="fontTable.xml"/><Relationship Id="rId5" Type="http://schemas.openxmlformats.org/officeDocument/2006/relationships/theme" Target="theme/theme1.xml"/><Relationship Id="rId49" Type="http://schemas.openxmlformats.org/officeDocument/2006/relationships/customXml" Target="../customXml/item1.xml"/><Relationship Id="rId48" Type="http://schemas.openxmlformats.org/officeDocument/2006/relationships/image" Target="media/image41.jpe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oleObject" Target="embeddings/oleObject2.bin"/><Relationship Id="rId14" Type="http://schemas.openxmlformats.org/officeDocument/2006/relationships/image" Target="media/image8.wmf"/><Relationship Id="rId13" Type="http://schemas.openxmlformats.org/officeDocument/2006/relationships/oleObject" Target="embeddings/oleObject1.bin"/><Relationship Id="rId12" Type="http://schemas.openxmlformats.org/officeDocument/2006/relationships/image" Target="media/image7.wmf"/><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538"/>
    <customShpInfo spid="_x0000_s1539"/>
    <customShpInfo spid="_x0000_s1540"/>
    <customShpInfo spid="_x0000_s1541"/>
    <customShpInfo spid="_x0000_s1542"/>
    <customShpInfo spid="_x0000_s1543"/>
    <customShpInfo spid="_x0000_s1544"/>
    <customShpInfo spid="_x0000_s1545"/>
    <customShpInfo spid="_x0000_s1546"/>
    <customShpInfo spid="_x0000_s1547"/>
    <customShpInfo spid="_x0000_s1548"/>
    <customShpInfo spid="_x0000_s1549"/>
    <customShpInfo spid="_x0000_s1550"/>
    <customShpInfo spid="_x0000_s1551"/>
    <customShpInfo spid="_x0000_s1552"/>
    <customShpInfo spid="_x0000_s1553"/>
    <customShpInfo spid="_x0000_s1554"/>
    <customShpInfo spid="_x0000_s1555"/>
    <customShpInfo spid="_x0000_s1556"/>
    <customShpInfo spid="_x0000_s1557"/>
    <customShpInfo spid="_x0000_s1558"/>
    <customShpInfo spid="_x0000_s1559"/>
    <customShpInfo spid="_x0000_s1560"/>
    <customShpInfo spid="_x0000_s1561"/>
    <customShpInfo spid="_x0000_s1562"/>
    <customShpInfo spid="_x0000_s1563"/>
    <customShpInfo spid="_x0000_s1564"/>
    <customShpInfo spid="_x0000_s1566"/>
    <customShpInfo spid="_x0000_s1567"/>
    <customShpInfo spid="_x0000_s1568"/>
    <customShpInfo spid="_x0000_s1569"/>
    <customShpInfo spid="_x0000_s1570"/>
    <customShpInfo spid="_x0000_s1571"/>
    <customShpInfo spid="_x0000_s1537"/>
    <customShpInfo spid="_x0000_s1602"/>
    <customShpInfo spid="_x0000_s1603"/>
    <customShpInfo spid="_x0000_s1604"/>
    <customShpInfo spid="_x0000_s1605"/>
    <customShpInfo spid="_x0000_s1606"/>
    <customShpInfo spid="_x0000_s1607"/>
    <customShpInfo spid="_x0000_s1608"/>
    <customShpInfo spid="_x0000_s1610"/>
    <customShpInfo spid="_x0000_s1611"/>
    <customShpInfo spid="_x0000_s1612"/>
    <customShpInfo spid="_x0000_s1614"/>
    <customShpInfo spid="_x0000_s1616"/>
    <customShpInfo spid="_x0000_s1617"/>
    <customShpInfo spid="_x0000_s1618"/>
    <customShpInfo spid="_x0000_s1619"/>
    <customShpInfo spid="_x0000_s1620"/>
    <customShpInfo spid="_x0000_s1621"/>
    <customShpInfo spid="_x0000_s1622"/>
    <customShpInfo spid="_x0000_s1624"/>
    <customShpInfo spid="_x0000_s1625"/>
    <customShpInfo spid="_x0000_s1626"/>
    <customShpInfo spid="_x0000_s1628"/>
    <customShpInfo spid="_x0000_s1631"/>
    <customShpInfo spid="_x0000_s1632"/>
    <customShpInfo spid="_x0000_s1634"/>
    <customShpInfo spid="_x0000_s1635"/>
    <customShpInfo spid="_x0000_s1636"/>
    <customShpInfo spid="_x0000_s1601"/>
    <customShpInfo spid="_x0000_s1347"/>
    <customShpInfo spid="_x0000_s1348"/>
    <customShpInfo spid="_x0000_s1349"/>
    <customShpInfo spid="_x0000_s1350"/>
    <customShpInfo spid="_x0000_s1351"/>
    <customShpInfo spid="_x0000_s1352"/>
    <customShpInfo spid="_x0000_s1353"/>
    <customShpInfo spid="_x0000_s1355"/>
    <customShpInfo spid="_x0000_s1356"/>
    <customShpInfo spid="_x0000_s1357"/>
    <customShpInfo spid="_x0000_s1358"/>
    <customShpInfo spid="_x0000_s1359"/>
    <customShpInfo spid="_x0000_s1362"/>
    <customShpInfo spid="_x0000_s1363"/>
    <customShpInfo spid="_x0000_s1364"/>
    <customShpInfo spid="_x0000_s1365"/>
    <customShpInfo spid="_x0000_s1366"/>
    <customShpInfo spid="_x0000_s1367"/>
    <customShpInfo spid="_x0000_s1371"/>
    <customShpInfo spid="_x0000_s1373"/>
    <customShpInfo spid="_x0000_s1374"/>
    <customShpInfo spid="_x0000_s1376"/>
    <customShpInfo spid="_x0000_s1346"/>
    <customShpInfo spid="_x0000_s1106"/>
    <customShpInfo spid="_x0000_s1093"/>
    <customShpInfo spid="_x0000_s1641"/>
    <customShpInfo spid="_x0000_s1642"/>
    <customShpInfo spid="_x0000_s1643"/>
    <customShpInfo spid="_x0000_s1644"/>
    <customShpInfo spid="_x0000_s1645"/>
    <customShpInfo spid="_x0000_s1646"/>
    <customShpInfo spid="_x0000_s1647"/>
    <customShpInfo spid="_x0000_s1648"/>
    <customShpInfo spid="_x0000_s1649"/>
    <customShpInfo spid="_x0000_s1650"/>
    <customShpInfo spid="_x0000_s1651"/>
    <customShpInfo spid="_x0000_s1652"/>
    <customShpInfo spid="_x0000_s1653"/>
    <customShpInfo spid="_x0000_s1655"/>
    <customShpInfo spid="_x0000_s1656"/>
    <customShpInfo spid="_x0000_s1657"/>
    <customShpInfo spid="_x0000_s1658"/>
    <customShpInfo spid="_x0000_s1669"/>
    <customShpInfo spid="_x0000_s1671"/>
    <customShpInfo spid="_x0000_s1672"/>
    <customShpInfo spid="_x0000_s1673"/>
    <customShpInfo spid="_x0000_s1640"/>
    <customShpInfo spid="_x0000_s1683"/>
    <customShpInfo spid="_x0000_s1677"/>
    <customShpInfo spid="_x0000_s1678"/>
    <customShpInfo spid="_x0000_s1684"/>
    <customShpInfo spid="_x0000_s1735"/>
    <customShpInfo spid="_x0000_s177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102</Pages>
  <Words>8380</Words>
  <Characters>47772</Characters>
  <Lines>398</Lines>
  <Paragraphs>112</Paragraphs>
  <TotalTime>4458</TotalTime>
  <ScaleCrop>false</ScaleCrop>
  <LinksUpToDate>false</LinksUpToDate>
  <CharactersWithSpaces>56040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2019-11-27T09:04:00Z</dcterms:created>
  <dc:creator>user</dc:creator>
  <cp:lastModifiedBy>～劉</cp:lastModifiedBy>
  <cp:lastPrinted>2020-09-14T02:44:00Z</cp:lastPrinted>
  <dcterms:modified xsi:type="dcterms:W3CDTF">2020-09-14T03:09:09Z</dcterms:modified>
  <dc:title>建设项目基本情况</dc:title>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