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ascii="仿宋_GB2312" w:hAnsi="宋体" w:eastAsia="仿宋_GB2312"/>
          <w:sz w:val="32"/>
          <w:szCs w:val="32"/>
        </w:rPr>
        <w:t>GB 2763-2019《食品安全国家标准 食品中农药最大残留限 量》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31650-2019《食品安全国家标准 食品中兽药最大残留限 量》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农业部公告第 2292 号发布在食品动物中停止使用洛美沙星、培氟沙星、氧氟沙星、诺氟 沙星 4 种兽药的决定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农业农村部公告第 250 号《食品动物中禁止使用的药品及其他化 合物清单》</w:t>
      </w:r>
      <w:r>
        <w:rPr>
          <w:rFonts w:hint="eastAsia"/>
        </w:rPr>
        <w:t>、</w:t>
      </w:r>
      <w:r>
        <w:rPr>
          <w:rFonts w:ascii="仿宋_GB2312" w:hAnsi="宋体" w:eastAsia="仿宋_GB2312"/>
          <w:sz w:val="32"/>
          <w:szCs w:val="32"/>
        </w:rPr>
        <w:t>整顿办函〔2010〕50 号 《食品中可能违法添加的非食用物质和易 滥用的食品添加剂名单（第四批）》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农业部公告第 560 号《兽药地方标准废止目录》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猪肉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恩诺沙星、氧氟沙星、培氟沙星、诺氟沙星、磺胺类（总量）、甲氧苄啶、氯霉素、克伦特罗、莱克多巴胺、沙丁胺醇、特布他林、地塞米松、氯丙嗪、四环素、土霉素、金霉素。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2.羊肉</w:t>
      </w:r>
      <w:r>
        <w:rPr>
          <w:rFonts w:hint="eastAsia" w:ascii="仿宋_GB2312" w:hAnsi="宋体" w:eastAsia="仿宋_GB2312"/>
          <w:sz w:val="32"/>
          <w:szCs w:val="32"/>
        </w:rPr>
        <w:t>抽检项目包括恩诺沙星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培氟沙星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诺氟沙星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磺胺类（总量）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甲氧苄啶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莱克多巴胺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3葱</w:t>
      </w:r>
      <w:r>
        <w:rPr>
          <w:rFonts w:hint="eastAsia" w:ascii="仿宋_GB2312" w:hAnsi="宋体" w:eastAsia="仿宋_GB2312"/>
          <w:sz w:val="32"/>
          <w:szCs w:val="32"/>
        </w:rPr>
        <w:t>抽检项目包括氧乐果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乙酰甲胺磷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灭多威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4.大蒜抽检项目包括氧乐果、甲胺磷、乙酰甲胺磷、克百威、灭多威、涕灭威、甲拌磷。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5.红萝卜抽检项目包括氧乐果、敌敌畏、毒死蜱、水胺硫磷、甲胺磷、敌百虫、氯氟氰菊酯和高效氯氟氰菊酯、氯氰菊酯和高效氯氰菊酯、溴氰菊酯。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大白菜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毒死蜱、氧乐果、啶虫脒、甲胺磷、氟虫腈、阿维菌素、涕灭威、久效磷、克百威、水胺硫磷、硫线磷、甲基异柳磷、甲拌磷、唑虫酰胺。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噻虫嗪、吡虫啉、甲拌磷、甲胺磷、氟虫腈、氧乐果、克百威、灭多威、氯氰菊酯和高效氯氰菊酯、氯氟氰菊酯和高效氯氟氰菊酯。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8.萝卜抽检项目包括毒死蜱、氧乐果、甲胺磷、敌百虫、敌敌畏、水胺硫磷、溴氰菊酯、氯氰菊酯和高效氯氰菊酯、氯氟氰菊酯和高效氯氟氰菊酯。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鸡肉抽检项目包括甲氧苄啶、恩诺沙星（以恩诺沙星与环丙沙星之和计）、多西环素、金刚乙胺、呋喃唑酮代谢物、氯霉素、金霉素、四环素、培氟沙星、氧氟沙星、诺氟沙星、沙拉沙星、磺胺类(总量)、土霉素、金刚烷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10.苹果抽检项目包括敌敌畏、毒死蜱、克百威、甲拌磷、三唑醇、丙溴磷、啶虫脒、氧乐果、对硫磷、丙环唑。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鸡蛋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ascii="仿宋_GB2312" w:hAnsi="宋体" w:eastAsia="仿宋_GB2312"/>
          <w:sz w:val="32"/>
          <w:szCs w:val="32"/>
        </w:rPr>
        <w:t>检验项目：</w:t>
      </w:r>
      <w:r>
        <w:rPr>
          <w:rFonts w:hint="eastAsia" w:ascii="仿宋_GB2312" w:hAnsi="宋体" w:eastAsia="仿宋_GB2312"/>
          <w:sz w:val="32"/>
          <w:szCs w:val="32"/>
        </w:rPr>
        <w:t>氯霉素、氟苯尼考、恩诺沙星、氧氟沙星、诺氟沙星、金刚烷胺、金刚乙胺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2762-2017《食品安全国家标准 食品中污染物限量》, GB 2761-2017《食品安全国家标准 食品中真菌毒素限量》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大米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铅(以Pb计)、镉(以Cd计)、无机砷(以As计)、黄曲霉毒素B1。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25190-2010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食品安全国家标准 灭菌乳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灭菌乳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蛋白质、非脂乳固体、酸度、脂肪、三聚氰胺、商业无菌。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90070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A784DA0"/>
    <w:rsid w:val="0C5950C4"/>
    <w:rsid w:val="0F7C09AA"/>
    <w:rsid w:val="11CD292F"/>
    <w:rsid w:val="11F26D53"/>
    <w:rsid w:val="14EE30FD"/>
    <w:rsid w:val="18317B86"/>
    <w:rsid w:val="1C4108C8"/>
    <w:rsid w:val="1D8B66B7"/>
    <w:rsid w:val="1FC277A6"/>
    <w:rsid w:val="21963A19"/>
    <w:rsid w:val="26D07C42"/>
    <w:rsid w:val="26F44DE6"/>
    <w:rsid w:val="2B8378FF"/>
    <w:rsid w:val="2D7C02DE"/>
    <w:rsid w:val="2F38325F"/>
    <w:rsid w:val="30614561"/>
    <w:rsid w:val="30B3240B"/>
    <w:rsid w:val="348F5C8C"/>
    <w:rsid w:val="34C57094"/>
    <w:rsid w:val="365507D1"/>
    <w:rsid w:val="3A2F17E3"/>
    <w:rsid w:val="3B460905"/>
    <w:rsid w:val="3CF61C84"/>
    <w:rsid w:val="3CFC3599"/>
    <w:rsid w:val="3D0322E4"/>
    <w:rsid w:val="3D050C5A"/>
    <w:rsid w:val="3F25029F"/>
    <w:rsid w:val="413934A9"/>
    <w:rsid w:val="41C05125"/>
    <w:rsid w:val="446E10A3"/>
    <w:rsid w:val="47CF17A9"/>
    <w:rsid w:val="48A108A9"/>
    <w:rsid w:val="491B0424"/>
    <w:rsid w:val="49906EAA"/>
    <w:rsid w:val="4A707018"/>
    <w:rsid w:val="4AD11BF6"/>
    <w:rsid w:val="4CB862AB"/>
    <w:rsid w:val="52251E3D"/>
    <w:rsid w:val="52B85D3B"/>
    <w:rsid w:val="547A0947"/>
    <w:rsid w:val="57B227CD"/>
    <w:rsid w:val="5A9140AD"/>
    <w:rsid w:val="5D076601"/>
    <w:rsid w:val="5DF65382"/>
    <w:rsid w:val="5ED95DB9"/>
    <w:rsid w:val="5F847D27"/>
    <w:rsid w:val="628A3BA1"/>
    <w:rsid w:val="634100C7"/>
    <w:rsid w:val="66E44C9E"/>
    <w:rsid w:val="688C2D02"/>
    <w:rsid w:val="6C3B1319"/>
    <w:rsid w:val="6C8E786A"/>
    <w:rsid w:val="6C936268"/>
    <w:rsid w:val="6E2F6D99"/>
    <w:rsid w:val="6F89449C"/>
    <w:rsid w:val="722B4410"/>
    <w:rsid w:val="72871C5B"/>
    <w:rsid w:val="738F6DA0"/>
    <w:rsid w:val="785A1DDE"/>
    <w:rsid w:val="7BB075D6"/>
    <w:rsid w:val="7C94066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9</TotalTime>
  <ScaleCrop>false</ScaleCrop>
  <LinksUpToDate>false</LinksUpToDate>
  <CharactersWithSpaces>2443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换个心情（17637328645）</cp:lastModifiedBy>
  <cp:lastPrinted>2016-09-22T02:39:00Z</cp:lastPrinted>
  <dcterms:modified xsi:type="dcterms:W3CDTF">2020-08-18T07:48:35Z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