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Times New Roman" w:hAnsi="Times New Roman" w:eastAsia="华文中宋"/>
          <w:b/>
          <w:sz w:val="44"/>
          <w:szCs w:val="44"/>
        </w:rPr>
      </w:pPr>
      <w:bookmarkStart w:id="0" w:name="_Toc24078"/>
      <w:r>
        <w:rPr>
          <w:rFonts w:hint="eastAsia" w:ascii="Times New Roman" w:hAnsi="华文中宋" w:eastAsia="华文中宋"/>
          <w:b/>
          <w:sz w:val="44"/>
          <w:szCs w:val="44"/>
          <w:lang w:eastAsia="zh-CN"/>
        </w:rPr>
        <w:t>新乡县环境保护局</w:t>
      </w:r>
      <w:r>
        <w:rPr>
          <w:rFonts w:ascii="Times New Roman" w:hAnsi="华文中宋" w:eastAsia="华文中宋"/>
          <w:b/>
          <w:sz w:val="44"/>
          <w:szCs w:val="44"/>
        </w:rPr>
        <w:t>查封决定书</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240" w:firstLineChars="700"/>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u w:val="none"/>
          <w:lang w:eastAsia="zh-CN"/>
        </w:rPr>
        <w:t>新环</w:t>
      </w:r>
      <w:r>
        <w:rPr>
          <w:rFonts w:hint="eastAsia" w:ascii="楷体_GB2312" w:hAnsi="楷体_GB2312" w:eastAsia="楷体_GB2312"/>
          <w:sz w:val="32"/>
          <w:szCs w:val="32"/>
        </w:rPr>
        <w:t>查决字〔</w:t>
      </w:r>
      <w:r>
        <w:rPr>
          <w:rFonts w:hint="eastAsia" w:ascii="楷体_GB2312" w:hAnsi="楷体_GB2312" w:eastAsia="楷体_GB2312"/>
          <w:sz w:val="32"/>
          <w:szCs w:val="32"/>
          <w:lang w:val="en-US" w:eastAsia="zh-CN"/>
        </w:rPr>
        <w:t>2019</w:t>
      </w:r>
      <w:r>
        <w:rPr>
          <w:rFonts w:hint="eastAsia" w:ascii="楷体_GB2312" w:hAnsi="楷体_GB2312" w:eastAsia="楷体_GB2312"/>
          <w:sz w:val="32"/>
          <w:szCs w:val="32"/>
        </w:rPr>
        <w:t>〕第</w:t>
      </w:r>
      <w:r>
        <w:rPr>
          <w:rFonts w:hint="eastAsia" w:ascii="楷体_GB2312" w:hAnsi="楷体_GB2312" w:eastAsia="楷体_GB2312"/>
          <w:sz w:val="32"/>
          <w:szCs w:val="32"/>
          <w:lang w:val="en-US" w:eastAsia="zh-CN"/>
        </w:rPr>
        <w:t>10</w:t>
      </w:r>
      <w:r>
        <w:rPr>
          <w:rFonts w:hint="eastAsia" w:ascii="楷体_GB2312" w:hAnsi="楷体_GB2312" w:eastAsia="楷体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bCs/>
          <w:sz w:val="30"/>
          <w:szCs w:val="30"/>
          <w:u w:val="single"/>
          <w:lang w:val="en-US"/>
        </w:rPr>
      </w:pPr>
      <w:r>
        <w:rPr>
          <w:rFonts w:ascii="Times New Roman" w:hAnsi="仿宋_GB2312" w:eastAsia="仿宋_GB2312"/>
          <w:bCs/>
          <w:sz w:val="32"/>
          <w:szCs w:val="32"/>
        </w:rPr>
        <w:t>当事人</w:t>
      </w:r>
      <w:r>
        <w:rPr>
          <w:rFonts w:hint="eastAsia" w:ascii="Times New Roman" w:hAnsi="仿宋_GB2312" w:eastAsia="仿宋_GB2312"/>
          <w:bCs/>
          <w:sz w:val="32"/>
          <w:szCs w:val="32"/>
          <w:lang w:eastAsia="zh-CN"/>
        </w:rPr>
        <w:t>：</w:t>
      </w:r>
      <w:r>
        <w:rPr>
          <w:rFonts w:hint="eastAsia" w:ascii="Times New Roman" w:hAnsi="仿宋_GB2312" w:eastAsia="仿宋_GB2312"/>
          <w:bCs/>
          <w:sz w:val="32"/>
          <w:szCs w:val="32"/>
          <w:u w:val="single"/>
          <w:lang w:val="en-US" w:eastAsia="zh-CN"/>
        </w:rPr>
        <w:t xml:space="preserve">  河南鲁蒙建材有限公司</w:t>
      </w:r>
      <w:r>
        <w:rPr>
          <w:rFonts w:hint="eastAsia" w:ascii="Times New Roman" w:hAnsi="Times New Roman" w:eastAsia="仿宋_GB2312"/>
          <w:bCs/>
          <w:sz w:val="32"/>
          <w:szCs w:val="32"/>
          <w:u w:val="single"/>
          <w:lang w:val="en-US" w:eastAsia="zh-CN"/>
        </w:rPr>
        <w:t xml:space="preserve">   姚磊磊</w:t>
      </w:r>
      <w:r>
        <w:rPr>
          <w:rFonts w:hint="eastAsia" w:ascii="Times New Roman" w:hAnsi="Times New Roman" w:eastAsia="仿宋_GB2312"/>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sz w:val="32"/>
          <w:szCs w:val="32"/>
          <w:u w:val="single"/>
        </w:rPr>
      </w:pPr>
      <w:r>
        <w:rPr>
          <w:rFonts w:ascii="Times New Roman" w:hAnsi="仿宋_GB2312" w:eastAsia="仿宋_GB2312"/>
          <w:bCs/>
          <w:sz w:val="32"/>
          <w:szCs w:val="32"/>
        </w:rPr>
        <w:t>地</w:t>
      </w:r>
      <w:r>
        <w:rPr>
          <w:rFonts w:ascii="Times New Roman" w:hAnsi="Times New Roman" w:eastAsia="仿宋_GB2312"/>
          <w:bCs/>
          <w:sz w:val="32"/>
          <w:szCs w:val="32"/>
        </w:rPr>
        <w:t xml:space="preserve">  </w:t>
      </w:r>
      <w:r>
        <w:rPr>
          <w:rFonts w:ascii="Times New Roman" w:hAnsi="仿宋_GB2312" w:eastAsia="仿宋_GB2312"/>
          <w:bCs/>
          <w:sz w:val="32"/>
          <w:szCs w:val="32"/>
        </w:rPr>
        <w:t>址：</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2"/>
          <w:szCs w:val="32"/>
          <w:u w:val="single"/>
          <w:lang w:eastAsia="zh-CN"/>
        </w:rPr>
        <w:t>新乡县七里营镇工业园区</w:t>
      </w:r>
      <w:r>
        <w:rPr>
          <w:rFonts w:hint="eastAsia" w:ascii="Times New Roman" w:hAnsi="仿宋_GB2312" w:eastAsia="仿宋_GB2312"/>
          <w:bCs/>
          <w:sz w:val="32"/>
          <w:szCs w:val="32"/>
          <w:u w:val="single"/>
          <w:lang w:val="en-US" w:eastAsia="zh-CN"/>
        </w:rPr>
        <w:t xml:space="preserve">     </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u w:val="single"/>
        </w:rPr>
        <w:t xml:space="preserve"> </w:t>
      </w:r>
    </w:p>
    <w:p>
      <w:pPr>
        <w:pStyle w:val="2"/>
        <w:keepNext w:val="0"/>
        <w:keepLines w:val="0"/>
        <w:pageBreakBefore w:val="0"/>
        <w:widowControl w:val="0"/>
        <w:tabs>
          <w:tab w:val="left" w:pos="2160"/>
        </w:tabs>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hAnsi="仿宋_GB2312"/>
          <w:szCs w:val="32"/>
          <w:u w:val="none"/>
          <w:lang w:eastAsia="zh-CN"/>
        </w:rPr>
      </w:pPr>
      <w:r>
        <w:rPr>
          <w:rFonts w:hint="eastAsia"/>
          <w:szCs w:val="32"/>
          <w:u w:val="none"/>
          <w:lang w:val="en-US" w:eastAsia="zh-CN"/>
        </w:rPr>
        <w:t>2019年11月30日，我局执法人员现场检查时发现，你单位未经环保部门审批，投资966000元，于2019年11月擅自安装1200万大卡燃煤导热油炉并投入使用，配套建设的袋式除尘器+钠碱法脱硫工艺治理设施均未使用、未运行，产生的烟尘未经处理通过房顶直接排放，两处储存燃煤场所存放有200多吨燃煤。</w:t>
      </w:r>
      <w:r>
        <w:rPr>
          <w:szCs w:val="32"/>
          <w:u w:val="none"/>
        </w:rPr>
        <w:t>依据</w:t>
      </w:r>
      <w:r>
        <w:rPr>
          <w:rFonts w:hint="eastAsia"/>
          <w:szCs w:val="32"/>
          <w:u w:val="none"/>
          <w:lang w:eastAsia="zh-CN"/>
        </w:rPr>
        <w:t>《中华人民共和国大气污染防治法》第三十八条第二款“在禁燃区内，禁止销售、燃用高污染燃料；禁止新建、扩建燃用高污染燃料的设施，已建成的，应当在城市人民政府规定的期限内改用天然气、页岩气、液化石油气、电或者其他清洁能源”、《环境保护主管部门实施查封、扣押办法》第四条第六项“法律、法规规定的其他造成或者可能造成严重污染的违法排污行为，环境保护主管部门可以实施查封、扣押”</w:t>
      </w:r>
      <w:r>
        <w:rPr>
          <w:szCs w:val="32"/>
          <w:u w:val="none"/>
        </w:rPr>
        <w:t>的规定，</w:t>
      </w:r>
      <w:r>
        <w:rPr>
          <w:rFonts w:hAnsi="仿宋_GB2312"/>
          <w:szCs w:val="32"/>
          <w:u w:val="none"/>
        </w:rPr>
        <w:t>决定</w:t>
      </w:r>
      <w:r>
        <w:rPr>
          <w:rFonts w:hint="eastAsia" w:hAnsi="仿宋_GB2312"/>
          <w:szCs w:val="32"/>
          <w:u w:val="none"/>
          <w:lang w:eastAsia="zh-CN"/>
        </w:rPr>
        <w:t>对你单位的燃煤导热油炉予以查封。</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hAnsi="仿宋_GB2312"/>
          <w:szCs w:val="32"/>
          <w:u w:val="none"/>
          <w:lang w:eastAsia="zh-CN"/>
        </w:rPr>
      </w:pPr>
      <w:r>
        <w:rPr>
          <w:rFonts w:hAnsi="仿宋_GB2312"/>
          <w:szCs w:val="32"/>
          <w:u w:val="none"/>
        </w:rPr>
        <w:t>查封期限为</w:t>
      </w:r>
      <w:r>
        <w:rPr>
          <w:rFonts w:hint="eastAsia"/>
          <w:szCs w:val="32"/>
          <w:u w:val="none"/>
          <w:lang w:val="en-US" w:eastAsia="zh-CN"/>
        </w:rPr>
        <w:t>30</w:t>
      </w:r>
      <w:r>
        <w:rPr>
          <w:rFonts w:hAnsi="仿宋_GB2312"/>
          <w:szCs w:val="32"/>
          <w:u w:val="none"/>
        </w:rPr>
        <w:t>日，自</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12</w:t>
      </w:r>
      <w:r>
        <w:rPr>
          <w:rFonts w:hAnsi="仿宋_GB2312"/>
          <w:szCs w:val="32"/>
          <w:u w:val="none"/>
        </w:rPr>
        <w:t>月</w:t>
      </w:r>
      <w:r>
        <w:rPr>
          <w:rFonts w:hint="eastAsia" w:hAnsi="仿宋_GB2312"/>
          <w:szCs w:val="32"/>
          <w:u w:val="none"/>
          <w:lang w:val="en-US" w:eastAsia="zh-CN"/>
        </w:rPr>
        <w:t>9</w:t>
      </w:r>
      <w:r>
        <w:rPr>
          <w:rFonts w:hAnsi="仿宋_GB2312"/>
          <w:szCs w:val="32"/>
          <w:u w:val="none"/>
        </w:rPr>
        <w:t>日起至</w:t>
      </w:r>
      <w:r>
        <w:rPr>
          <w:rFonts w:hint="eastAsia" w:hAnsi="仿宋_GB2312"/>
          <w:szCs w:val="32"/>
          <w:u w:val="none"/>
          <w:lang w:val="en-US" w:eastAsia="zh-CN"/>
        </w:rPr>
        <w:t>2020</w:t>
      </w:r>
      <w:r>
        <w:rPr>
          <w:rFonts w:hAnsi="仿宋_GB2312"/>
          <w:szCs w:val="32"/>
          <w:u w:val="none"/>
        </w:rPr>
        <w:t>年</w:t>
      </w:r>
      <w:r>
        <w:rPr>
          <w:rFonts w:hint="eastAsia" w:hAnsi="仿宋_GB2312"/>
          <w:szCs w:val="32"/>
          <w:u w:val="none"/>
          <w:lang w:val="en-US" w:eastAsia="zh-CN"/>
        </w:rPr>
        <w:t>1</w:t>
      </w:r>
      <w:r>
        <w:rPr>
          <w:rFonts w:hAnsi="仿宋_GB2312"/>
          <w:szCs w:val="32"/>
          <w:u w:val="none"/>
        </w:rPr>
        <w:t>月</w:t>
      </w:r>
      <w:r>
        <w:rPr>
          <w:rFonts w:hint="eastAsia" w:hAnsi="仿宋_GB2312"/>
          <w:szCs w:val="32"/>
          <w:u w:val="none"/>
          <w:lang w:val="en-US" w:eastAsia="zh-CN"/>
        </w:rPr>
        <w:t>7</w:t>
      </w:r>
      <w:r>
        <w:rPr>
          <w:rFonts w:hAnsi="仿宋_GB2312"/>
          <w:szCs w:val="32"/>
          <w:u w:val="none"/>
        </w:rPr>
        <w:t>日止。如因检测、检验、检疫或者技术鉴定</w:t>
      </w:r>
      <w:r>
        <w:rPr>
          <w:szCs w:val="32"/>
          <w:u w:val="none"/>
        </w:rPr>
        <w:t>需要顺延</w:t>
      </w:r>
      <w:r>
        <w:rPr>
          <w:szCs w:val="32"/>
        </w:rPr>
        <w:t>期限</w:t>
      </w:r>
      <w:r>
        <w:rPr>
          <w:rFonts w:hAnsi="仿宋_GB2312"/>
          <w:szCs w:val="32"/>
        </w:rPr>
        <w:t>的，或因</w:t>
      </w:r>
      <w:r>
        <w:rPr>
          <w:szCs w:val="32"/>
        </w:rPr>
        <w:t>情况复杂依法需要延长期限的，本机关将另行书面告知。</w:t>
      </w:r>
      <w:r>
        <w:rPr>
          <w:rFonts w:hAnsi="仿宋_GB2312"/>
          <w:szCs w:val="32"/>
        </w:rPr>
        <w:t>在查封期限内，</w:t>
      </w:r>
      <w:r>
        <w:rPr>
          <w:szCs w:val="32"/>
        </w:rPr>
        <w:t>你单位不得</w:t>
      </w:r>
      <w:r>
        <w:rPr>
          <w:szCs w:val="32"/>
          <w:u w:val="none"/>
        </w:rPr>
        <w:t>使用、销售、转移、损毁、隐匿该</w:t>
      </w:r>
      <w:r>
        <w:rPr>
          <w:rFonts w:hint="eastAsia" w:hAnsi="仿宋_GB2312"/>
          <w:szCs w:val="32"/>
          <w:u w:val="none"/>
          <w:lang w:eastAsia="zh-CN"/>
        </w:rPr>
        <w:t>燃煤导热油炉。</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Ansi="仿宋_GB2312"/>
          <w:szCs w:val="32"/>
        </w:rPr>
        <w:t>查封物品存放地点</w:t>
      </w:r>
      <w:r>
        <w:rPr>
          <w:rFonts w:hAnsi="仿宋_GB2312"/>
          <w:szCs w:val="32"/>
          <w:u w:val="none"/>
        </w:rPr>
        <w:t>：</w:t>
      </w:r>
      <w:r>
        <w:rPr>
          <w:rFonts w:hint="eastAsia"/>
          <w:szCs w:val="32"/>
          <w:u w:val="none"/>
        </w:rPr>
        <w:t>河南鲁蒙建材有限公司</w:t>
      </w:r>
      <w:r>
        <w:rPr>
          <w:rFonts w:hint="eastAsia"/>
          <w:szCs w:val="32"/>
          <w:u w:val="none"/>
          <w:lang w:eastAsia="zh-CN"/>
        </w:rPr>
        <w:t>，就地查封</w:t>
      </w:r>
      <w:r>
        <w:rPr>
          <w:rFonts w:hAnsi="仿宋_GB2312"/>
          <w:szCs w:val="32"/>
          <w:u w:val="none"/>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u w:val="none"/>
          <w:lang w:eastAsia="zh-CN"/>
        </w:rPr>
        <w:t>新乡县</w:t>
      </w:r>
      <w:r>
        <w:rPr>
          <w:rFonts w:ascii="Times New Roman" w:hAnsi="Times New Roman" w:eastAsia="仿宋_GB2312"/>
          <w:color w:val="000000"/>
          <w:kern w:val="0"/>
          <w:sz w:val="32"/>
          <w:szCs w:val="32"/>
          <w:u w:val="none"/>
        </w:rPr>
        <w:t>人民政府或者</w:t>
      </w:r>
      <w:r>
        <w:rPr>
          <w:rFonts w:hint="eastAsia" w:ascii="Times New Roman" w:hAnsi="Times New Roman" w:eastAsia="仿宋_GB2312"/>
          <w:color w:val="000000"/>
          <w:kern w:val="0"/>
          <w:sz w:val="32"/>
          <w:szCs w:val="32"/>
          <w:u w:val="none"/>
          <w:lang w:eastAsia="zh-CN"/>
        </w:rPr>
        <w:t>新乡市环境保护局</w:t>
      </w:r>
      <w:r>
        <w:rPr>
          <w:rFonts w:ascii="Times New Roman" w:hAnsi="Times New Roman" w:eastAsia="仿宋_GB2312"/>
          <w:color w:val="000000"/>
          <w:kern w:val="0"/>
          <w:sz w:val="32"/>
          <w:szCs w:val="32"/>
          <w:u w:val="none"/>
        </w:rPr>
        <w:t>申请</w:t>
      </w:r>
      <w:r>
        <w:rPr>
          <w:rFonts w:ascii="Times New Roman" w:hAnsi="Times New Roman" w:eastAsia="仿宋_GB2312"/>
          <w:color w:val="000000"/>
          <w:kern w:val="0"/>
          <w:sz w:val="32"/>
          <w:szCs w:val="32"/>
        </w:rPr>
        <w:t>行政复议，也可以自收到本决定书之日起六个月内依法直接向人民法院提起行政诉讼。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仿宋_GB2312" w:eastAsia="仿宋_GB2312"/>
          <w:sz w:val="32"/>
          <w:szCs w:val="32"/>
        </w:rPr>
      </w:pPr>
      <w:r>
        <w:rPr>
          <w:rFonts w:ascii="Times New Roman" w:hAnsi="仿宋_GB2312" w:eastAsia="仿宋_GB2312"/>
          <w:sz w:val="32"/>
          <w:szCs w:val="32"/>
        </w:rPr>
        <w:t>附件：查封物品清单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ascii="Times New Roman" w:hAnsi="Times New Roman" w:eastAsia="仿宋_GB2312"/>
          <w:sz w:val="32"/>
          <w:szCs w:val="32"/>
        </w:rPr>
      </w:pPr>
      <w:r>
        <w:rPr>
          <w:rFonts w:hint="eastAsia" w:ascii="Times New Roman" w:hAnsi="仿宋_GB2312" w:eastAsia="仿宋_GB2312"/>
          <w:sz w:val="32"/>
          <w:szCs w:val="32"/>
          <w:lang w:eastAsia="zh-CN"/>
        </w:rPr>
        <w:t>新乡县环境保护局</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2019</w:t>
      </w:r>
      <w:r>
        <w:rPr>
          <w:rFonts w:ascii="Times New Roman" w:hAnsi="仿宋_GB2312" w:eastAsia="仿宋_GB2312"/>
          <w:sz w:val="32"/>
          <w:szCs w:val="32"/>
        </w:rPr>
        <w:t>年</w:t>
      </w:r>
      <w:r>
        <w:rPr>
          <w:rFonts w:hint="eastAsia" w:ascii="Times New Roman" w:hAnsi="仿宋_GB2312" w:eastAsia="仿宋_GB2312"/>
          <w:sz w:val="32"/>
          <w:szCs w:val="32"/>
          <w:lang w:val="en-US" w:eastAsia="zh-CN"/>
        </w:rPr>
        <w:t>12</w:t>
      </w:r>
      <w:r>
        <w:rPr>
          <w:rFonts w:ascii="Times New Roman" w:hAnsi="仿宋_GB2312" w:eastAsia="仿宋_GB2312"/>
          <w:sz w:val="32"/>
          <w:szCs w:val="32"/>
        </w:rPr>
        <w:t>月</w:t>
      </w:r>
      <w:r>
        <w:rPr>
          <w:rFonts w:hint="eastAsia" w:ascii="Times New Roman" w:hAnsi="仿宋_GB2312" w:eastAsia="仿宋_GB2312"/>
          <w:sz w:val="32"/>
          <w:szCs w:val="32"/>
          <w:lang w:val="en-US" w:eastAsia="zh-CN"/>
        </w:rPr>
        <w:t>9</w:t>
      </w:r>
      <w:r>
        <w:rPr>
          <w:rFonts w:ascii="Times New Roman" w:hAnsi="仿宋_GB2312" w:eastAsia="仿宋_GB2312"/>
          <w:sz w:val="32"/>
          <w:szCs w:val="32"/>
        </w:rPr>
        <w:t>日</w:t>
      </w:r>
      <w:bookmarkStart w:id="1" w:name="_GoBack"/>
      <w:bookmarkEnd w:id="1"/>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lang w:eastAsia="zh-CN"/>
        </w:rPr>
        <w:t>新乡县环境保护局</w:t>
      </w:r>
      <w:r>
        <w:rPr>
          <w:rFonts w:ascii="Times New Roman" w:hAnsi="华文中宋" w:eastAsia="华文中宋"/>
          <w:b/>
          <w:bCs/>
          <w:sz w:val="44"/>
          <w:szCs w:val="36"/>
        </w:rPr>
        <w:t>查封物品清单</w:t>
      </w:r>
    </w:p>
    <w:p>
      <w:pPr>
        <w:spacing w:line="500" w:lineRule="exact"/>
        <w:ind w:right="400"/>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页</w:t>
      </w:r>
      <w:r>
        <w:rPr>
          <w:rFonts w:hint="eastAsia" w:ascii="宋体" w:hAnsi="宋体"/>
          <w:sz w:val="28"/>
          <w:szCs w:val="28"/>
          <w:lang w:val="en-US" w:eastAsia="zh-CN"/>
        </w:rPr>
        <w:t xml:space="preserve"> </w:t>
      </w:r>
      <w:r>
        <w:rPr>
          <w:rFonts w:hint="eastAsia" w:ascii="宋体" w:hAnsi="宋体"/>
          <w:sz w:val="28"/>
          <w:szCs w:val="28"/>
        </w:rPr>
        <w:t>共</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 xml:space="preserve">页 </w:t>
      </w:r>
    </w:p>
    <w:p>
      <w:pPr>
        <w:spacing w:line="500" w:lineRule="exact"/>
        <w:rPr>
          <w:rFonts w:ascii="仿宋_GB2312" w:hAnsi="仿宋_GB2312" w:eastAsia="仿宋_GB2312"/>
          <w:sz w:val="28"/>
          <w:szCs w:val="30"/>
        </w:rPr>
      </w:pPr>
    </w:p>
    <w:p>
      <w:pPr>
        <w:spacing w:line="500" w:lineRule="exact"/>
        <w:rPr>
          <w:rFonts w:ascii="仿宋_GB2312" w:hAnsi="仿宋_GB2312" w:eastAsia="仿宋_GB2312"/>
          <w:sz w:val="32"/>
          <w:szCs w:val="32"/>
          <w:u w:val="single"/>
        </w:rPr>
      </w:pPr>
      <w:r>
        <w:rPr>
          <w:rFonts w:hint="eastAsia" w:ascii="仿宋_GB2312" w:hAnsi="仿宋_GB2312" w:eastAsia="仿宋_GB2312"/>
          <w:sz w:val="32"/>
          <w:szCs w:val="32"/>
        </w:rPr>
        <w:t>查封决定书文号：</w:t>
      </w:r>
      <w:r>
        <w:rPr>
          <w:rFonts w:hint="eastAsia" w:ascii="仿宋_GB2312" w:hAnsi="仿宋_GB2312" w:eastAsia="仿宋_GB2312"/>
          <w:sz w:val="32"/>
          <w:szCs w:val="32"/>
          <w:u w:val="single"/>
        </w:rPr>
        <w:t xml:space="preserve"> 新环查决字〔201</w:t>
      </w:r>
      <w:r>
        <w:rPr>
          <w:rFonts w:hint="eastAsia" w:ascii="仿宋_GB2312" w:hAnsi="仿宋_GB2312" w:eastAsia="仿宋_GB2312"/>
          <w:sz w:val="32"/>
          <w:szCs w:val="32"/>
          <w:u w:val="single"/>
          <w:lang w:val="en-US" w:eastAsia="zh-CN"/>
        </w:rPr>
        <w:t>9</w:t>
      </w:r>
      <w:r>
        <w:rPr>
          <w:rFonts w:hint="eastAsia" w:ascii="仿宋_GB2312" w:hAnsi="仿宋_GB2312" w:eastAsia="仿宋_GB2312"/>
          <w:sz w:val="32"/>
          <w:szCs w:val="32"/>
          <w:u w:val="single"/>
        </w:rPr>
        <w:t>〕第</w:t>
      </w:r>
      <w:r>
        <w:rPr>
          <w:rFonts w:hint="eastAsia" w:ascii="仿宋_GB2312" w:hAnsi="仿宋_GB2312" w:eastAsia="仿宋_GB2312"/>
          <w:sz w:val="32"/>
          <w:szCs w:val="32"/>
          <w:u w:val="single"/>
          <w:lang w:val="en-US" w:eastAsia="zh-CN"/>
        </w:rPr>
        <w:t>10</w:t>
      </w:r>
      <w:r>
        <w:rPr>
          <w:rFonts w:hint="eastAsia" w:ascii="仿宋_GB2312" w:hAnsi="仿宋_GB2312" w:eastAsia="仿宋_GB2312"/>
          <w:sz w:val="32"/>
          <w:szCs w:val="32"/>
          <w:u w:val="single"/>
        </w:rPr>
        <w:t xml:space="preserve">号   </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364"/>
        <w:gridCol w:w="784"/>
        <w:gridCol w:w="1364"/>
        <w:gridCol w:w="1364"/>
        <w:gridCol w:w="71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hint="eastAsia" w:ascii="宋体" w:hAns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hint="eastAsia" w:ascii="宋体" w:hAnsi="宋体"/>
                <w:b/>
                <w:sz w:val="24"/>
                <w:szCs w:val="24"/>
              </w:rPr>
            </w:pPr>
            <w:r>
              <w:rPr>
                <w:rFonts w:hint="eastAsia" w:ascii="宋体" w:hAnsi="宋体"/>
                <w:b/>
                <w:sz w:val="24"/>
                <w:szCs w:val="24"/>
              </w:rPr>
              <w:t>物品名称</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规格型号</w:t>
            </w:r>
          </w:p>
        </w:tc>
        <w:tc>
          <w:tcPr>
            <w:tcW w:w="784" w:type="dxa"/>
            <w:vAlign w:val="center"/>
          </w:tcPr>
          <w:p>
            <w:pPr>
              <w:spacing w:line="320" w:lineRule="exact"/>
              <w:jc w:val="center"/>
              <w:rPr>
                <w:rFonts w:hint="eastAsia" w:ascii="宋体" w:hAns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生产日期</w:t>
            </w:r>
          </w:p>
          <w:p>
            <w:pPr>
              <w:spacing w:line="320" w:lineRule="exact"/>
              <w:jc w:val="center"/>
              <w:rPr>
                <w:rFonts w:hint="eastAsia" w:ascii="宋体" w:hAnsi="宋体"/>
                <w:b/>
                <w:sz w:val="24"/>
                <w:szCs w:val="24"/>
              </w:rPr>
            </w:pPr>
            <w:r>
              <w:rPr>
                <w:rFonts w:hint="eastAsia" w:ascii="宋体" w:hAnsi="宋体"/>
                <w:b/>
                <w:sz w:val="24"/>
                <w:szCs w:val="24"/>
              </w:rPr>
              <w:t>（批号）</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生产单位</w:t>
            </w:r>
          </w:p>
        </w:tc>
        <w:tc>
          <w:tcPr>
            <w:tcW w:w="718" w:type="dxa"/>
            <w:vAlign w:val="center"/>
          </w:tcPr>
          <w:p>
            <w:pPr>
              <w:spacing w:line="320" w:lineRule="exact"/>
              <w:jc w:val="center"/>
              <w:rPr>
                <w:rFonts w:hint="eastAsia" w:ascii="宋体" w:hAnsi="宋体"/>
                <w:b/>
                <w:sz w:val="24"/>
                <w:szCs w:val="24"/>
              </w:rPr>
            </w:pPr>
            <w:r>
              <w:rPr>
                <w:rFonts w:hint="eastAsia" w:ascii="宋体" w:hAnsi="宋体"/>
                <w:b/>
                <w:sz w:val="24"/>
                <w:szCs w:val="24"/>
              </w:rPr>
              <w:t>物品特征</w:t>
            </w:r>
          </w:p>
        </w:tc>
        <w:tc>
          <w:tcPr>
            <w:tcW w:w="789" w:type="dxa"/>
            <w:vAlign w:val="center"/>
          </w:tcPr>
          <w:p>
            <w:pPr>
              <w:spacing w:line="320" w:lineRule="exact"/>
              <w:jc w:val="center"/>
              <w:rPr>
                <w:rFonts w:hint="eastAsia"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457" w:type="dxa"/>
            <w:vAlign w:val="center"/>
          </w:tcPr>
          <w:p>
            <w:pPr>
              <w:jc w:val="both"/>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jc w:val="both"/>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457" w:type="dxa"/>
            <w:vAlign w:val="center"/>
          </w:tcPr>
          <w:p>
            <w:pPr>
              <w:ind w:firstLine="300"/>
              <w:jc w:val="center"/>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both"/>
              <w:rPr>
                <w:rFonts w:hint="eastAsia" w:ascii="宋体" w:hAnsi="宋体" w:eastAsia="宋体"/>
                <w:sz w:val="24"/>
                <w:szCs w:val="24"/>
                <w:lang w:val="en-US" w:eastAsia="zh-CN"/>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bl>
    <w:p>
      <w:pPr>
        <w:spacing w:line="620" w:lineRule="exact"/>
        <w:rPr>
          <w:rFonts w:ascii="仿宋_GB2312" w:hAnsi="仿宋_GB2312" w:eastAsia="仿宋_GB2312"/>
          <w:sz w:val="28"/>
          <w:szCs w:val="30"/>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500" w:lineRule="exact"/>
        <w:ind w:right="640"/>
        <w:rPr>
          <w:rFonts w:ascii="仿宋_GB2312" w:hAnsi="仿宋_GB2312" w:eastAsia="仿宋_GB2312"/>
          <w:sz w:val="32"/>
          <w:szCs w:val="32"/>
        </w:rPr>
      </w:pPr>
    </w:p>
    <w:p>
      <w:pPr>
        <w:spacing w:line="500" w:lineRule="exact"/>
        <w:ind w:right="640"/>
        <w:rPr>
          <w:rFonts w:ascii="仿宋_GB2312" w:hAnsi="仿宋_GB2312" w:eastAsia="仿宋_GB2312"/>
          <w:sz w:val="28"/>
        </w:rPr>
      </w:pPr>
    </w:p>
    <w:p>
      <w:pPr>
        <w:spacing w:line="500" w:lineRule="exact"/>
        <w:ind w:right="640"/>
        <w:rPr>
          <w:rFonts w:ascii="仿宋_GB2312" w:hAnsi="仿宋_GB2312" w:eastAsia="仿宋_GB2312"/>
          <w:sz w:val="28"/>
        </w:rPr>
      </w:pPr>
    </w:p>
    <w:p>
      <w:pPr>
        <w:wordWrap w:val="0"/>
        <w:spacing w:line="500" w:lineRule="exact"/>
        <w:jc w:val="right"/>
        <w:rPr>
          <w:rFonts w:ascii="仿宋_GB2312" w:hAnsi="仿宋_GB2312" w:eastAsia="仿宋_GB2312"/>
          <w:sz w:val="28"/>
          <w:szCs w:val="30"/>
        </w:rPr>
      </w:pPr>
      <w:r>
        <w:rPr>
          <w:rFonts w:hint="eastAsia" w:ascii="仿宋_GB2312" w:hAnsi="仿宋_GB2312" w:eastAsia="仿宋_GB2312"/>
          <w:sz w:val="28"/>
          <w:szCs w:val="30"/>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新乡县环境保护局</w:t>
      </w:r>
    </w:p>
    <w:p>
      <w:pPr>
        <w:spacing w:line="500" w:lineRule="exact"/>
        <w:jc w:val="righ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2019</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日</w:t>
      </w: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jc w:val="left"/>
      </w:pPr>
      <w:r>
        <w:rPr>
          <w:rFonts w:ascii="Times New Roman" w:hAnsi="仿宋_GB2312" w:eastAsia="仿宋_GB2312"/>
          <w:sz w:val="30"/>
          <w:szCs w:val="30"/>
        </w:rPr>
        <w:t>注：本文书一式两份。一份送达当事人，一份行政机关存档。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2498"/>
    <w:rsid w:val="02F851B1"/>
    <w:rsid w:val="06ED3CDB"/>
    <w:rsid w:val="0741799B"/>
    <w:rsid w:val="07820D7B"/>
    <w:rsid w:val="0AF1521C"/>
    <w:rsid w:val="0D6F30A2"/>
    <w:rsid w:val="0DDD3037"/>
    <w:rsid w:val="0E106F27"/>
    <w:rsid w:val="0EBA273C"/>
    <w:rsid w:val="135A2B3C"/>
    <w:rsid w:val="22B71D73"/>
    <w:rsid w:val="27862885"/>
    <w:rsid w:val="28D45970"/>
    <w:rsid w:val="29324AB8"/>
    <w:rsid w:val="295132F9"/>
    <w:rsid w:val="352713DA"/>
    <w:rsid w:val="3F7B75F2"/>
    <w:rsid w:val="433F6F03"/>
    <w:rsid w:val="43855025"/>
    <w:rsid w:val="44FE7045"/>
    <w:rsid w:val="47B92556"/>
    <w:rsid w:val="48A06054"/>
    <w:rsid w:val="4B9D573E"/>
    <w:rsid w:val="4C0C4A61"/>
    <w:rsid w:val="4C1F3624"/>
    <w:rsid w:val="4C311FF3"/>
    <w:rsid w:val="4CF73EBB"/>
    <w:rsid w:val="4D36138B"/>
    <w:rsid w:val="52E10E6D"/>
    <w:rsid w:val="53997757"/>
    <w:rsid w:val="576D6654"/>
    <w:rsid w:val="5BF055E5"/>
    <w:rsid w:val="60AA651C"/>
    <w:rsid w:val="621203E1"/>
    <w:rsid w:val="659344D3"/>
    <w:rsid w:val="6C41309A"/>
    <w:rsid w:val="6CC877A5"/>
    <w:rsid w:val="77115450"/>
    <w:rsid w:val="77A24754"/>
    <w:rsid w:val="78D47D47"/>
    <w:rsid w:val="79C514BD"/>
    <w:rsid w:val="7DC63122"/>
    <w:rsid w:val="7FC21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2019-04-22T06:55:00Z</cp:lastPrinted>
  <dcterms:modified xsi:type="dcterms:W3CDTF">2019-12-09T07:40:24Z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