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52"/>
        </w:rPr>
      </w:pPr>
    </w:p>
    <w:p>
      <w:pPr>
        <w:rPr>
          <w:b/>
          <w:sz w:val="52"/>
        </w:rPr>
      </w:pPr>
    </w:p>
    <w:p>
      <w:pPr>
        <w:adjustRightInd w:val="0"/>
        <w:snapToGrid w:val="0"/>
        <w:spacing w:line="360" w:lineRule="auto"/>
        <w:jc w:val="center"/>
        <w:rPr>
          <w:b/>
          <w:sz w:val="72"/>
          <w:szCs w:val="72"/>
        </w:rPr>
      </w:pPr>
      <w:r>
        <w:rPr>
          <w:rFonts w:hint="eastAsia"/>
          <w:b/>
          <w:sz w:val="72"/>
          <w:szCs w:val="72"/>
        </w:rPr>
        <w:t>建设项目环境影响报告表</w:t>
      </w:r>
    </w:p>
    <w:p>
      <w:pPr>
        <w:adjustRightInd w:val="0"/>
        <w:snapToGrid w:val="0"/>
        <w:spacing w:line="360" w:lineRule="auto"/>
        <w:jc w:val="center"/>
        <w:rPr>
          <w:bCs/>
          <w:sz w:val="36"/>
          <w:szCs w:val="36"/>
        </w:rPr>
      </w:pPr>
    </w:p>
    <w:p>
      <w:pPr>
        <w:adjustRightInd w:val="0"/>
        <w:snapToGrid w:val="0"/>
        <w:spacing w:line="360" w:lineRule="auto"/>
        <w:jc w:val="center"/>
        <w:rPr>
          <w:bCs/>
          <w:sz w:val="36"/>
          <w:szCs w:val="36"/>
        </w:rPr>
      </w:pPr>
      <w:r>
        <w:rPr>
          <w:rFonts w:hint="eastAsia"/>
          <w:bCs/>
          <w:sz w:val="36"/>
          <w:szCs w:val="36"/>
        </w:rPr>
        <w:t>（</w:t>
      </w:r>
      <w:r>
        <w:rPr>
          <w:rFonts w:hint="eastAsia"/>
          <w:bCs/>
          <w:sz w:val="36"/>
          <w:szCs w:val="36"/>
          <w:lang w:val="en-US" w:eastAsia="zh-CN"/>
        </w:rPr>
        <w:t>报批</w:t>
      </w:r>
      <w:r>
        <w:rPr>
          <w:rFonts w:hint="eastAsia"/>
          <w:bCs/>
          <w:sz w:val="36"/>
          <w:szCs w:val="36"/>
        </w:rPr>
        <w:t>版）</w:t>
      </w:r>
    </w:p>
    <w:p>
      <w:pPr>
        <w:adjustRightInd w:val="0"/>
        <w:snapToGrid w:val="0"/>
        <w:spacing w:line="480" w:lineRule="auto"/>
        <w:jc w:val="center"/>
        <w:rPr>
          <w:b/>
          <w:sz w:val="30"/>
        </w:rPr>
      </w:pPr>
    </w:p>
    <w:p>
      <w:pPr>
        <w:adjustRightInd w:val="0"/>
        <w:snapToGrid w:val="0"/>
        <w:spacing w:line="480" w:lineRule="auto"/>
        <w:rPr>
          <w:b/>
          <w:sz w:val="32"/>
          <w:szCs w:val="32"/>
        </w:rPr>
      </w:pPr>
    </w:p>
    <w:p>
      <w:pPr>
        <w:adjustRightInd w:val="0"/>
        <w:snapToGrid w:val="0"/>
        <w:spacing w:line="480" w:lineRule="auto"/>
        <w:rPr>
          <w:b/>
          <w:sz w:val="32"/>
          <w:szCs w:val="32"/>
        </w:rPr>
      </w:pPr>
    </w:p>
    <w:p>
      <w:pPr>
        <w:adjustRightInd w:val="0"/>
        <w:snapToGrid w:val="0"/>
        <w:spacing w:line="480" w:lineRule="auto"/>
        <w:ind w:left="2531" w:hanging="2531" w:hangingChars="788"/>
        <w:jc w:val="center"/>
        <w:rPr>
          <w:b/>
          <w:sz w:val="32"/>
          <w:szCs w:val="32"/>
        </w:rPr>
      </w:pPr>
    </w:p>
    <w:p>
      <w:pPr>
        <w:adjustRightInd w:val="0"/>
        <w:snapToGrid w:val="0"/>
        <w:spacing w:line="360" w:lineRule="auto"/>
        <w:ind w:left="1606" w:hanging="1606" w:hangingChars="500"/>
        <w:rPr>
          <w:b/>
          <w:bCs/>
          <w:sz w:val="32"/>
          <w:szCs w:val="32"/>
          <w:u w:val="thick"/>
        </w:rPr>
      </w:pPr>
      <w:r>
        <w:rPr>
          <w:rFonts w:hint="eastAsia" w:ascii="宋体" w:hAnsi="宋体" w:cs="宋体"/>
          <w:b/>
          <w:bCs/>
          <w:sz w:val="32"/>
          <w:szCs w:val="32"/>
        </w:rPr>
        <w:t>项目名称：</w:t>
      </w:r>
      <w:r>
        <w:rPr>
          <w:rFonts w:hint="eastAsia"/>
          <w:b/>
          <w:bCs/>
          <w:sz w:val="32"/>
          <w:szCs w:val="32"/>
          <w:u w:val="thick"/>
        </w:rPr>
        <w:t>年产10万套塑料配件项目</w:t>
      </w:r>
    </w:p>
    <w:p>
      <w:pPr>
        <w:adjustRightInd w:val="0"/>
        <w:snapToGrid w:val="0"/>
        <w:spacing w:line="360" w:lineRule="auto"/>
        <w:rPr>
          <w:b/>
          <w:spacing w:val="-6"/>
          <w:sz w:val="32"/>
          <w:szCs w:val="32"/>
          <w:u w:val="single"/>
        </w:rPr>
      </w:pPr>
      <w:r>
        <w:rPr>
          <w:rFonts w:hint="eastAsia"/>
          <w:b/>
          <w:spacing w:val="-6"/>
          <w:sz w:val="32"/>
          <w:szCs w:val="32"/>
        </w:rPr>
        <w:t>建设单位（盖章）：</w:t>
      </w:r>
      <w:r>
        <w:rPr>
          <w:rFonts w:hint="eastAsia"/>
          <w:b/>
          <w:bCs/>
          <w:sz w:val="32"/>
          <w:szCs w:val="32"/>
          <w:u w:val="thick"/>
        </w:rPr>
        <w:t>新乡县七里营镇信之达塑料制品厂</w:t>
      </w:r>
    </w:p>
    <w:p>
      <w:pPr>
        <w:adjustRightInd w:val="0"/>
        <w:snapToGrid w:val="0"/>
        <w:spacing w:line="360" w:lineRule="auto"/>
        <w:rPr>
          <w:b/>
          <w:spacing w:val="-6"/>
          <w:sz w:val="32"/>
          <w:szCs w:val="32"/>
          <w:u w:val="single"/>
        </w:rPr>
      </w:pPr>
    </w:p>
    <w:p>
      <w:pPr>
        <w:tabs>
          <w:tab w:val="left" w:pos="6966"/>
        </w:tabs>
        <w:adjustRightInd w:val="0"/>
        <w:snapToGrid w:val="0"/>
        <w:spacing w:line="480" w:lineRule="auto"/>
        <w:jc w:val="left"/>
        <w:rPr>
          <w:rFonts w:hint="default" w:eastAsia="宋体"/>
          <w:b/>
          <w:sz w:val="28"/>
          <w:lang w:val="en-US" w:eastAsia="zh-CN"/>
        </w:rPr>
      </w:pPr>
      <w:r>
        <w:rPr>
          <w:rFonts w:hint="eastAsia"/>
          <w:b/>
          <w:sz w:val="28"/>
          <w:lang w:eastAsia="zh-CN"/>
        </w:rPr>
        <w:tab/>
      </w:r>
    </w:p>
    <w:p>
      <w:pPr>
        <w:adjustRightInd w:val="0"/>
        <w:snapToGrid w:val="0"/>
        <w:spacing w:line="480" w:lineRule="auto"/>
        <w:rPr>
          <w:b/>
          <w:sz w:val="28"/>
        </w:rPr>
      </w:pPr>
    </w:p>
    <w:p>
      <w:pPr>
        <w:adjustRightInd w:val="0"/>
        <w:snapToGrid w:val="0"/>
        <w:spacing w:line="480" w:lineRule="auto"/>
        <w:jc w:val="center"/>
        <w:rPr>
          <w:b/>
          <w:sz w:val="32"/>
          <w:szCs w:val="32"/>
        </w:rPr>
      </w:pPr>
    </w:p>
    <w:p>
      <w:pPr>
        <w:adjustRightInd w:val="0"/>
        <w:snapToGrid w:val="0"/>
        <w:spacing w:line="480" w:lineRule="auto"/>
        <w:jc w:val="center"/>
        <w:rPr>
          <w:b/>
          <w:sz w:val="32"/>
          <w:szCs w:val="32"/>
        </w:rPr>
      </w:pPr>
    </w:p>
    <w:p>
      <w:pPr>
        <w:adjustRightInd w:val="0"/>
        <w:snapToGrid w:val="0"/>
        <w:spacing w:line="480" w:lineRule="auto"/>
        <w:jc w:val="center"/>
        <w:rPr>
          <w:b/>
          <w:sz w:val="32"/>
          <w:szCs w:val="32"/>
        </w:rPr>
      </w:pPr>
      <w:r>
        <w:rPr>
          <w:rFonts w:hint="eastAsia"/>
          <w:b/>
          <w:sz w:val="32"/>
          <w:szCs w:val="32"/>
        </w:rPr>
        <w:t>编制日期：</w:t>
      </w:r>
      <w:r>
        <w:rPr>
          <w:rFonts w:ascii="宋体" w:hAnsi="宋体"/>
          <w:b/>
          <w:bCs/>
          <w:sz w:val="32"/>
          <w:szCs w:val="32"/>
        </w:rPr>
        <w:t>二</w:t>
      </w:r>
      <w:r>
        <w:rPr>
          <w:rFonts w:hint="eastAsia" w:ascii="宋体" w:hAnsi="宋体"/>
          <w:b/>
          <w:bCs/>
          <w:sz w:val="32"/>
          <w:szCs w:val="32"/>
        </w:rPr>
        <w:t>零一九</w:t>
      </w:r>
      <w:r>
        <w:rPr>
          <w:b/>
          <w:bCs/>
          <w:sz w:val="32"/>
          <w:szCs w:val="32"/>
        </w:rPr>
        <w:t>年</w:t>
      </w:r>
      <w:r>
        <w:rPr>
          <w:rFonts w:hint="eastAsia"/>
          <w:b/>
          <w:bCs/>
          <w:sz w:val="32"/>
          <w:szCs w:val="32"/>
          <w:lang w:eastAsia="zh-CN"/>
        </w:rPr>
        <w:t>十二</w:t>
      </w:r>
      <w:r>
        <w:rPr>
          <w:rFonts w:hint="eastAsia"/>
          <w:b/>
          <w:bCs/>
          <w:sz w:val="32"/>
          <w:szCs w:val="32"/>
        </w:rPr>
        <w:t>月</w:t>
      </w:r>
    </w:p>
    <w:p>
      <w:pPr>
        <w:adjustRightInd w:val="0"/>
        <w:snapToGrid w:val="0"/>
        <w:spacing w:line="480" w:lineRule="auto"/>
        <w:jc w:val="center"/>
        <w:rPr>
          <w:b/>
          <w:sz w:val="32"/>
          <w:szCs w:val="32"/>
        </w:rPr>
      </w:pPr>
      <w:r>
        <w:rPr>
          <w:rFonts w:hint="eastAsia"/>
          <w:b/>
          <w:sz w:val="32"/>
          <w:szCs w:val="32"/>
        </w:rPr>
        <w:t>国家生态环境部制</w:t>
      </w:r>
    </w:p>
    <w:p>
      <w:pPr>
        <w:adjustRightInd w:val="0"/>
        <w:snapToGrid w:val="0"/>
        <w:ind w:firstLine="841"/>
        <w:jc w:val="center"/>
        <w:rPr>
          <w:b/>
          <w:sz w:val="28"/>
        </w:rPr>
      </w:pPr>
    </w:p>
    <w:p>
      <w:pPr>
        <w:adjustRightInd w:val="0"/>
        <w:snapToGrid w:val="0"/>
        <w:jc w:val="center"/>
        <w:rPr>
          <w:b/>
          <w:sz w:val="32"/>
        </w:rPr>
        <w:sectPr>
          <w:pgSz w:w="11906" w:h="16838"/>
          <w:pgMar w:top="1440" w:right="1800" w:bottom="1440" w:left="1800" w:header="851" w:footer="992" w:gutter="0"/>
          <w:cols w:space="720" w:num="1"/>
          <w:docGrid w:type="lines" w:linePitch="312" w:charSpace="0"/>
        </w:sectPr>
      </w:pPr>
    </w:p>
    <w:p>
      <w:pPr>
        <w:spacing w:line="360" w:lineRule="auto"/>
        <w:jc w:val="center"/>
        <w:rPr>
          <w:b/>
          <w:sz w:val="32"/>
        </w:rPr>
      </w:pPr>
      <w:r>
        <w:rPr>
          <w:rFonts w:hint="eastAsia"/>
          <w:b/>
          <w:sz w:val="32"/>
        </w:rPr>
        <w:t>《建设项目环境影响报告表》编制说明</w:t>
      </w:r>
    </w:p>
    <w:p>
      <w:pPr>
        <w:spacing w:line="360" w:lineRule="auto"/>
        <w:jc w:val="center"/>
        <w:rPr>
          <w:b/>
          <w:sz w:val="15"/>
        </w:rPr>
      </w:pPr>
    </w:p>
    <w:p>
      <w:pPr>
        <w:spacing w:line="360" w:lineRule="auto"/>
        <w:ind w:firstLine="600"/>
        <w:rPr>
          <w:sz w:val="28"/>
        </w:rPr>
      </w:pPr>
      <w:r>
        <w:rPr>
          <w:sz w:val="28"/>
        </w:rPr>
        <w:t>《建设项目环境影响报告表》由具有从事环境影响评价工作资质的单位编制。</w:t>
      </w:r>
    </w:p>
    <w:p>
      <w:pPr>
        <w:spacing w:line="360" w:lineRule="auto"/>
        <w:ind w:firstLine="600"/>
        <w:rPr>
          <w:sz w:val="28"/>
        </w:rPr>
      </w:pPr>
      <w:r>
        <w:rPr>
          <w:sz w:val="28"/>
        </w:rPr>
        <w:t>1、项目名称——指项目立项批复时的名称，应不超过30个字（两个英文字段作一个汉字）。</w:t>
      </w:r>
    </w:p>
    <w:p>
      <w:pPr>
        <w:spacing w:line="360" w:lineRule="auto"/>
        <w:ind w:firstLine="600"/>
        <w:rPr>
          <w:sz w:val="28"/>
        </w:rPr>
      </w:pPr>
      <w:r>
        <w:rPr>
          <w:sz w:val="28"/>
        </w:rPr>
        <w:t>2、建设地点——指项目所在地详细地址，公路、铁路应填写起止地点。</w:t>
      </w:r>
    </w:p>
    <w:p>
      <w:pPr>
        <w:spacing w:line="360" w:lineRule="auto"/>
        <w:ind w:firstLine="600"/>
        <w:rPr>
          <w:sz w:val="28"/>
        </w:rPr>
      </w:pPr>
      <w:r>
        <w:rPr>
          <w:sz w:val="28"/>
        </w:rPr>
        <w:t>3、行业类别——按国标填写。</w:t>
      </w:r>
    </w:p>
    <w:p>
      <w:pPr>
        <w:spacing w:line="360" w:lineRule="auto"/>
        <w:ind w:firstLine="600"/>
        <w:rPr>
          <w:sz w:val="28"/>
        </w:rPr>
      </w:pPr>
      <w:r>
        <w:rPr>
          <w:sz w:val="28"/>
        </w:rPr>
        <w:t>4、总投资——指项目投资总额。</w:t>
      </w:r>
    </w:p>
    <w:p>
      <w:pPr>
        <w:spacing w:line="360" w:lineRule="auto"/>
        <w:ind w:firstLine="600"/>
        <w:rPr>
          <w:sz w:val="28"/>
        </w:rPr>
      </w:pPr>
      <w:r>
        <w:rPr>
          <w:sz w:val="28"/>
        </w:rPr>
        <w:t>5、主要环境保护目标——指项目区周围一定范围内集中居民住宅区、学校、医院、保护文物、风景名胜区、水源地和生态敏感点等，应尽可能给出保护目标、性质、规模和距厂界距离等。</w:t>
      </w:r>
    </w:p>
    <w:p>
      <w:pPr>
        <w:spacing w:line="360" w:lineRule="auto"/>
        <w:ind w:firstLine="600"/>
        <w:rPr>
          <w:sz w:val="28"/>
        </w:rPr>
      </w:pPr>
      <w:r>
        <w:rPr>
          <w:sz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firstLine="600"/>
        <w:rPr>
          <w:sz w:val="28"/>
        </w:rPr>
      </w:pPr>
      <w:r>
        <w:rPr>
          <w:sz w:val="28"/>
        </w:rPr>
        <w:t>7、预审意见——由行业主管部门填写答复意见，无主管部门项目，可不填。</w:t>
      </w:r>
    </w:p>
    <w:p>
      <w:pPr>
        <w:spacing w:line="360" w:lineRule="auto"/>
        <w:ind w:firstLine="560" w:firstLineChars="200"/>
        <w:rPr>
          <w:bCs/>
          <w:sz w:val="32"/>
          <w:szCs w:val="32"/>
        </w:rPr>
      </w:pPr>
      <w:r>
        <w:rPr>
          <w:sz w:val="28"/>
        </w:rPr>
        <w:t>8、审批意见——由负责审批该项目的环境保护行政主管部门批复。</w:t>
      </w:r>
    </w:p>
    <w:p>
      <w:pPr>
        <w:adjustRightInd w:val="0"/>
        <w:snapToGrid w:val="0"/>
        <w:ind w:left="1584" w:hanging="1584" w:hangingChars="495"/>
        <w:rPr>
          <w:bCs/>
          <w:sz w:val="32"/>
          <w:szCs w:val="32"/>
        </w:rPr>
      </w:pPr>
    </w:p>
    <w:p>
      <w:pPr>
        <w:adjustRightInd w:val="0"/>
        <w:snapToGrid w:val="0"/>
        <w:ind w:firstLine="841"/>
        <w:jc w:val="center"/>
        <w:rPr>
          <w:b/>
          <w:sz w:val="28"/>
        </w:rPr>
      </w:pPr>
    </w:p>
    <w:p>
      <w:pPr>
        <w:adjustRightInd w:val="0"/>
        <w:snapToGrid w:val="0"/>
        <w:spacing w:line="360" w:lineRule="auto"/>
        <w:rPr>
          <w:rFonts w:ascii="宋体" w:hAnsi="宋体" w:cs="宋体"/>
          <w:b/>
          <w:sz w:val="30"/>
          <w:szCs w:val="30"/>
          <w:u w:val="single"/>
        </w:rPr>
        <w:sectPr>
          <w:pgSz w:w="11906" w:h="16838"/>
          <w:pgMar w:top="1440" w:right="1800" w:bottom="1440" w:left="1800" w:header="851" w:footer="992" w:gutter="0"/>
          <w:cols w:space="720" w:num="1"/>
          <w:docGrid w:type="lines" w:linePitch="312" w:charSpace="0"/>
        </w:sectPr>
      </w:pPr>
    </w:p>
    <w:p>
      <w:pPr>
        <w:adjustRightInd w:val="0"/>
        <w:snapToGrid w:val="0"/>
        <w:jc w:val="left"/>
        <w:rPr>
          <w:rFonts w:ascii="宋体" w:hAnsi="宋体" w:cs="宋体"/>
          <w:b/>
          <w:sz w:val="28"/>
          <w:szCs w:val="28"/>
        </w:rPr>
      </w:pPr>
      <w:r>
        <w:rPr>
          <w:rFonts w:hint="eastAsia" w:ascii="宋体" w:hAnsi="宋体" w:cs="宋体"/>
          <w:b/>
          <w:sz w:val="28"/>
          <w:szCs w:val="28"/>
        </w:rPr>
        <w:t>建设项目基本情况</w:t>
      </w:r>
    </w:p>
    <w:tbl>
      <w:tblPr>
        <w:tblStyle w:val="23"/>
        <w:tblW w:w="92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415"/>
        <w:gridCol w:w="558"/>
        <w:gridCol w:w="1246"/>
        <w:gridCol w:w="1233"/>
        <w:gridCol w:w="128"/>
        <w:gridCol w:w="1520"/>
        <w:gridCol w:w="151"/>
        <w:gridCol w:w="12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b/>
                <w:sz w:val="24"/>
              </w:rPr>
            </w:pPr>
            <w:r>
              <w:rPr>
                <w:b/>
                <w:sz w:val="24"/>
              </w:rPr>
              <w:t>项目名称</w:t>
            </w:r>
          </w:p>
        </w:tc>
        <w:tc>
          <w:tcPr>
            <w:tcW w:w="7516" w:type="dxa"/>
            <w:gridSpan w:val="8"/>
            <w:vAlign w:val="center"/>
          </w:tcPr>
          <w:p>
            <w:pPr>
              <w:adjustRightInd w:val="0"/>
              <w:snapToGrid w:val="0"/>
              <w:jc w:val="center"/>
              <w:rPr>
                <w:bCs/>
                <w:sz w:val="24"/>
              </w:rPr>
            </w:pPr>
            <w:r>
              <w:rPr>
                <w:rFonts w:hint="eastAsia"/>
                <w:sz w:val="24"/>
              </w:rPr>
              <w:t>年产10万套塑料配件项目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b/>
                <w:sz w:val="24"/>
              </w:rPr>
            </w:pPr>
            <w:r>
              <w:rPr>
                <w:b/>
                <w:sz w:val="24"/>
              </w:rPr>
              <w:t>建设单位</w:t>
            </w:r>
          </w:p>
        </w:tc>
        <w:tc>
          <w:tcPr>
            <w:tcW w:w="7516" w:type="dxa"/>
            <w:gridSpan w:val="8"/>
            <w:vAlign w:val="center"/>
          </w:tcPr>
          <w:p>
            <w:pPr>
              <w:adjustRightInd w:val="0"/>
              <w:snapToGrid w:val="0"/>
              <w:jc w:val="center"/>
              <w:rPr>
                <w:bCs/>
                <w:sz w:val="24"/>
              </w:rPr>
            </w:pPr>
            <w:r>
              <w:rPr>
                <w:rFonts w:hint="eastAsia"/>
                <w:sz w:val="24"/>
              </w:rPr>
              <w:t>新乡县七里营镇信之达塑料制品厂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b/>
                <w:sz w:val="24"/>
              </w:rPr>
            </w:pPr>
            <w:r>
              <w:rPr>
                <w:b/>
                <w:sz w:val="24"/>
              </w:rPr>
              <w:t>法人代表</w:t>
            </w:r>
          </w:p>
        </w:tc>
        <w:tc>
          <w:tcPr>
            <w:tcW w:w="3219" w:type="dxa"/>
            <w:gridSpan w:val="3"/>
            <w:vAlign w:val="center"/>
          </w:tcPr>
          <w:p>
            <w:pPr>
              <w:adjustRightInd w:val="0"/>
              <w:snapToGrid w:val="0"/>
              <w:jc w:val="center"/>
              <w:rPr>
                <w:sz w:val="24"/>
              </w:rPr>
            </w:pPr>
            <w:r>
              <w:rPr>
                <w:rFonts w:hint="eastAsia"/>
                <w:sz w:val="24"/>
              </w:rPr>
              <w:t>炎磊41072119707282033</w:t>
            </w:r>
          </w:p>
        </w:tc>
        <w:tc>
          <w:tcPr>
            <w:tcW w:w="1361" w:type="dxa"/>
            <w:gridSpan w:val="2"/>
            <w:vAlign w:val="center"/>
          </w:tcPr>
          <w:p>
            <w:pPr>
              <w:adjustRightInd w:val="0"/>
              <w:snapToGrid w:val="0"/>
              <w:jc w:val="center"/>
              <w:rPr>
                <w:b/>
                <w:sz w:val="24"/>
              </w:rPr>
            </w:pPr>
            <w:r>
              <w:rPr>
                <w:b/>
                <w:sz w:val="24"/>
              </w:rPr>
              <w:t>联系人</w:t>
            </w:r>
          </w:p>
        </w:tc>
        <w:tc>
          <w:tcPr>
            <w:tcW w:w="2936" w:type="dxa"/>
            <w:gridSpan w:val="3"/>
            <w:vAlign w:val="center"/>
          </w:tcPr>
          <w:p>
            <w:pPr>
              <w:adjustRightInd w:val="0"/>
              <w:snapToGrid w:val="0"/>
              <w:jc w:val="center"/>
              <w:rPr>
                <w:b/>
                <w:sz w:val="24"/>
              </w:rPr>
            </w:pPr>
            <w:r>
              <w:rPr>
                <w:rFonts w:hint="eastAsia"/>
                <w:bCs/>
                <w:sz w:val="24"/>
              </w:rPr>
              <w:t>炎磊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b/>
                <w:sz w:val="24"/>
              </w:rPr>
            </w:pPr>
            <w:r>
              <w:rPr>
                <w:b/>
                <w:sz w:val="24"/>
              </w:rPr>
              <w:t>通信地址</w:t>
            </w:r>
          </w:p>
        </w:tc>
        <w:tc>
          <w:tcPr>
            <w:tcW w:w="7516" w:type="dxa"/>
            <w:gridSpan w:val="8"/>
            <w:vAlign w:val="center"/>
          </w:tcPr>
          <w:p>
            <w:pPr>
              <w:adjustRightInd w:val="0"/>
              <w:snapToGrid w:val="0"/>
              <w:jc w:val="center"/>
              <w:rPr>
                <w:b/>
                <w:sz w:val="24"/>
              </w:rPr>
            </w:pPr>
            <w:r>
              <w:rPr>
                <w:rFonts w:hint="eastAsia"/>
                <w:sz w:val="24"/>
              </w:rPr>
              <w:t>新乡市新乡县翟坡镇西营村114号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b/>
                <w:sz w:val="24"/>
              </w:rPr>
            </w:pPr>
            <w:r>
              <w:rPr>
                <w:b/>
                <w:sz w:val="24"/>
              </w:rPr>
              <w:t>联系电话</w:t>
            </w:r>
          </w:p>
        </w:tc>
        <w:tc>
          <w:tcPr>
            <w:tcW w:w="1973" w:type="dxa"/>
            <w:gridSpan w:val="2"/>
            <w:vAlign w:val="center"/>
          </w:tcPr>
          <w:p>
            <w:pPr>
              <w:adjustRightInd w:val="0"/>
              <w:snapToGrid w:val="0"/>
              <w:jc w:val="center"/>
              <w:rPr>
                <w:sz w:val="24"/>
              </w:rPr>
            </w:pPr>
            <w:r>
              <w:rPr>
                <w:rFonts w:hint="eastAsia"/>
                <w:sz w:val="24"/>
              </w:rPr>
              <w:t>15937328883</w:t>
            </w:r>
          </w:p>
        </w:tc>
        <w:tc>
          <w:tcPr>
            <w:tcW w:w="1246" w:type="dxa"/>
            <w:vAlign w:val="center"/>
          </w:tcPr>
          <w:p>
            <w:pPr>
              <w:adjustRightInd w:val="0"/>
              <w:snapToGrid w:val="0"/>
              <w:jc w:val="center"/>
              <w:rPr>
                <w:b/>
                <w:sz w:val="24"/>
              </w:rPr>
            </w:pPr>
            <w:r>
              <w:rPr>
                <w:b/>
                <w:sz w:val="24"/>
              </w:rPr>
              <w:t>传真</w:t>
            </w:r>
          </w:p>
        </w:tc>
        <w:tc>
          <w:tcPr>
            <w:tcW w:w="1361" w:type="dxa"/>
            <w:gridSpan w:val="2"/>
            <w:vAlign w:val="center"/>
          </w:tcPr>
          <w:p>
            <w:pPr>
              <w:adjustRightInd w:val="0"/>
              <w:snapToGrid w:val="0"/>
              <w:jc w:val="center"/>
              <w:rPr>
                <w:b/>
                <w:sz w:val="24"/>
              </w:rPr>
            </w:pPr>
            <w:r>
              <w:rPr>
                <w:b/>
                <w:bCs/>
              </w:rPr>
              <w:t>——</w:t>
            </w:r>
          </w:p>
        </w:tc>
        <w:tc>
          <w:tcPr>
            <w:tcW w:w="1671" w:type="dxa"/>
            <w:gridSpan w:val="2"/>
            <w:vAlign w:val="center"/>
          </w:tcPr>
          <w:p>
            <w:pPr>
              <w:adjustRightInd w:val="0"/>
              <w:snapToGrid w:val="0"/>
              <w:jc w:val="center"/>
              <w:rPr>
                <w:b/>
                <w:sz w:val="24"/>
              </w:rPr>
            </w:pPr>
            <w:r>
              <w:rPr>
                <w:b/>
                <w:sz w:val="24"/>
              </w:rPr>
              <w:t>邮政编码</w:t>
            </w:r>
          </w:p>
        </w:tc>
        <w:tc>
          <w:tcPr>
            <w:tcW w:w="1265" w:type="dxa"/>
            <w:vAlign w:val="center"/>
          </w:tcPr>
          <w:p>
            <w:pPr>
              <w:adjustRightInd w:val="0"/>
              <w:snapToGrid w:val="0"/>
              <w:rPr>
                <w:sz w:val="24"/>
              </w:rPr>
            </w:pPr>
            <w:r>
              <w:rPr>
                <w:rFonts w:hint="eastAsia"/>
                <w:sz w:val="24"/>
              </w:rPr>
              <w:t>453700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b/>
                <w:sz w:val="24"/>
              </w:rPr>
            </w:pPr>
            <w:r>
              <w:rPr>
                <w:b/>
                <w:sz w:val="24"/>
              </w:rPr>
              <w:t>建设地点</w:t>
            </w:r>
          </w:p>
        </w:tc>
        <w:tc>
          <w:tcPr>
            <w:tcW w:w="7516" w:type="dxa"/>
            <w:gridSpan w:val="8"/>
            <w:vAlign w:val="center"/>
          </w:tcPr>
          <w:p>
            <w:pPr>
              <w:adjustRightInd w:val="0"/>
              <w:snapToGrid w:val="0"/>
              <w:jc w:val="center"/>
              <w:rPr>
                <w:sz w:val="24"/>
              </w:rPr>
            </w:pPr>
            <w:r>
              <w:rPr>
                <w:rFonts w:hint="eastAsia"/>
                <w:sz w:val="24"/>
              </w:rPr>
              <w:t>新乡市新乡县七里营镇刘庄路与新远路交叉口向西路南38号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b/>
                <w:sz w:val="24"/>
              </w:rPr>
            </w:pPr>
            <w:r>
              <w:rPr>
                <w:b/>
                <w:sz w:val="24"/>
              </w:rPr>
              <w:t>立项审批部门</w:t>
            </w:r>
          </w:p>
        </w:tc>
        <w:tc>
          <w:tcPr>
            <w:tcW w:w="3219" w:type="dxa"/>
            <w:gridSpan w:val="3"/>
            <w:vAlign w:val="center"/>
          </w:tcPr>
          <w:p>
            <w:pPr>
              <w:adjustRightInd w:val="0"/>
              <w:snapToGrid w:val="0"/>
              <w:jc w:val="center"/>
              <w:rPr>
                <w:b/>
                <w:sz w:val="24"/>
              </w:rPr>
            </w:pPr>
            <w:r>
              <w:rPr>
                <w:rFonts w:hint="eastAsia"/>
                <w:bCs/>
                <w:sz w:val="24"/>
              </w:rPr>
              <w:t>河南新乡经济技术集聚区管理委员会</w:t>
            </w:r>
          </w:p>
        </w:tc>
        <w:tc>
          <w:tcPr>
            <w:tcW w:w="1233" w:type="dxa"/>
            <w:vAlign w:val="center"/>
          </w:tcPr>
          <w:p>
            <w:pPr>
              <w:adjustRightInd w:val="0"/>
              <w:snapToGrid w:val="0"/>
              <w:jc w:val="center"/>
              <w:rPr>
                <w:b/>
                <w:sz w:val="24"/>
              </w:rPr>
            </w:pPr>
            <w:r>
              <w:rPr>
                <w:rFonts w:hint="eastAsia"/>
                <w:b/>
                <w:sz w:val="24"/>
              </w:rPr>
              <w:t>项目代码</w:t>
            </w:r>
          </w:p>
        </w:tc>
        <w:tc>
          <w:tcPr>
            <w:tcW w:w="3064" w:type="dxa"/>
            <w:gridSpan w:val="4"/>
            <w:vAlign w:val="center"/>
          </w:tcPr>
          <w:p>
            <w:pPr>
              <w:adjustRightInd w:val="0"/>
              <w:snapToGrid w:val="0"/>
              <w:jc w:val="center"/>
              <w:rPr>
                <w:bCs/>
                <w:sz w:val="24"/>
              </w:rPr>
            </w:pPr>
            <w:r>
              <w:rPr>
                <w:rFonts w:hint="eastAsia"/>
                <w:bCs/>
                <w:sz w:val="24"/>
              </w:rPr>
              <w:t>2019-410721-29-03-012182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b/>
                <w:sz w:val="24"/>
              </w:rPr>
            </w:pPr>
            <w:r>
              <w:rPr>
                <w:b/>
                <w:sz w:val="24"/>
              </w:rPr>
              <w:t>建设性质</w:t>
            </w:r>
          </w:p>
        </w:tc>
        <w:tc>
          <w:tcPr>
            <w:tcW w:w="3219" w:type="dxa"/>
            <w:gridSpan w:val="3"/>
            <w:vAlign w:val="center"/>
          </w:tcPr>
          <w:p>
            <w:pPr>
              <w:adjustRightInd w:val="0"/>
              <w:snapToGrid w:val="0"/>
              <w:jc w:val="center"/>
              <w:rPr>
                <w:b/>
                <w:sz w:val="24"/>
              </w:rPr>
            </w:pPr>
            <w:r>
              <w:rPr>
                <w:b/>
                <w:sz w:val="24"/>
              </w:rPr>
              <w:t>■新建□改扩建□技改</w:t>
            </w:r>
          </w:p>
        </w:tc>
        <w:tc>
          <w:tcPr>
            <w:tcW w:w="1233" w:type="dxa"/>
            <w:vAlign w:val="center"/>
          </w:tcPr>
          <w:p>
            <w:pPr>
              <w:adjustRightInd w:val="0"/>
              <w:snapToGrid w:val="0"/>
              <w:jc w:val="center"/>
              <w:rPr>
                <w:b/>
                <w:sz w:val="24"/>
              </w:rPr>
            </w:pPr>
            <w:r>
              <w:rPr>
                <w:b/>
                <w:sz w:val="24"/>
              </w:rPr>
              <w:t>行业类别及代码</w:t>
            </w:r>
          </w:p>
        </w:tc>
        <w:tc>
          <w:tcPr>
            <w:tcW w:w="3064" w:type="dxa"/>
            <w:gridSpan w:val="4"/>
            <w:vAlign w:val="center"/>
          </w:tcPr>
          <w:p>
            <w:pPr>
              <w:adjustRightInd w:val="0"/>
              <w:snapToGrid w:val="0"/>
              <w:jc w:val="center"/>
              <w:rPr>
                <w:sz w:val="24"/>
              </w:rPr>
            </w:pPr>
            <w:r>
              <w:rPr>
                <w:rFonts w:hint="eastAsia"/>
                <w:sz w:val="24"/>
                <w:lang w:val="en-GB"/>
              </w:rPr>
              <w:t>C</w:t>
            </w:r>
            <w:r>
              <w:rPr>
                <w:rFonts w:hint="eastAsia"/>
                <w:sz w:val="24"/>
              </w:rPr>
              <w:t>2929</w:t>
            </w:r>
            <w:r>
              <w:rPr>
                <w:rFonts w:hint="eastAsia"/>
                <w:sz w:val="24"/>
                <w:lang w:val="en-GB"/>
              </w:rPr>
              <w:t>塑料零件及其他塑料制品制造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b/>
                <w:sz w:val="24"/>
              </w:rPr>
            </w:pPr>
            <w:r>
              <w:rPr>
                <w:b/>
                <w:sz w:val="24"/>
              </w:rPr>
              <w:t>占地面积</w:t>
            </w:r>
          </w:p>
          <w:p>
            <w:pPr>
              <w:adjustRightInd w:val="0"/>
              <w:snapToGrid w:val="0"/>
              <w:jc w:val="center"/>
              <w:rPr>
                <w:b/>
                <w:sz w:val="24"/>
              </w:rPr>
            </w:pPr>
            <w:r>
              <w:rPr>
                <w:b/>
                <w:sz w:val="24"/>
              </w:rPr>
              <w:t>（平方米）</w:t>
            </w:r>
          </w:p>
        </w:tc>
        <w:tc>
          <w:tcPr>
            <w:tcW w:w="3219" w:type="dxa"/>
            <w:gridSpan w:val="3"/>
            <w:vAlign w:val="center"/>
          </w:tcPr>
          <w:p>
            <w:pPr>
              <w:adjustRightInd w:val="0"/>
              <w:snapToGrid w:val="0"/>
              <w:jc w:val="center"/>
              <w:rPr>
                <w:rFonts w:hint="default" w:eastAsia="宋体"/>
                <w:b/>
                <w:bCs/>
                <w:lang w:val="en-US" w:eastAsia="zh-CN"/>
              </w:rPr>
            </w:pPr>
            <w:r>
              <w:rPr>
                <w:rFonts w:hint="eastAsia"/>
                <w:sz w:val="24"/>
                <w:lang w:val="en-US" w:eastAsia="zh-CN"/>
              </w:rPr>
              <w:t>810</w:t>
            </w:r>
          </w:p>
        </w:tc>
        <w:tc>
          <w:tcPr>
            <w:tcW w:w="1233" w:type="dxa"/>
            <w:vAlign w:val="center"/>
          </w:tcPr>
          <w:p>
            <w:pPr>
              <w:adjustRightInd w:val="0"/>
              <w:snapToGrid w:val="0"/>
              <w:rPr>
                <w:b/>
                <w:sz w:val="24"/>
              </w:rPr>
            </w:pPr>
            <w:r>
              <w:rPr>
                <w:b/>
                <w:sz w:val="24"/>
              </w:rPr>
              <w:t>绿化面积(平方米)</w:t>
            </w:r>
          </w:p>
        </w:tc>
        <w:tc>
          <w:tcPr>
            <w:tcW w:w="3064" w:type="dxa"/>
            <w:gridSpan w:val="4"/>
            <w:vAlign w:val="center"/>
          </w:tcPr>
          <w:p>
            <w:pPr>
              <w:pStyle w:val="88"/>
              <w:widowControl w:val="0"/>
              <w:adjustRightInd w:val="0"/>
              <w:spacing w:line="240" w:lineRule="auto"/>
              <w:rPr>
                <w:rFonts w:eastAsia="宋体"/>
                <w:b/>
                <w:bCs/>
                <w:kern w:val="2"/>
              </w:rPr>
            </w:pPr>
            <w:r>
              <w:rPr>
                <w:rFonts w:hint="eastAsia" w:eastAsia="宋体"/>
                <w:b/>
                <w:bCs/>
                <w:kern w:val="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b/>
                <w:sz w:val="24"/>
              </w:rPr>
            </w:pPr>
            <w:r>
              <w:rPr>
                <w:b/>
                <w:sz w:val="24"/>
              </w:rPr>
              <w:t>总投资</w:t>
            </w:r>
          </w:p>
          <w:p>
            <w:pPr>
              <w:adjustRightInd w:val="0"/>
              <w:snapToGrid w:val="0"/>
              <w:jc w:val="center"/>
              <w:rPr>
                <w:b/>
                <w:sz w:val="24"/>
              </w:rPr>
            </w:pPr>
            <w:r>
              <w:rPr>
                <w:b/>
                <w:sz w:val="24"/>
              </w:rPr>
              <w:t>（万元）</w:t>
            </w:r>
          </w:p>
        </w:tc>
        <w:tc>
          <w:tcPr>
            <w:tcW w:w="1415" w:type="dxa"/>
            <w:vAlign w:val="center"/>
          </w:tcPr>
          <w:p>
            <w:pPr>
              <w:pStyle w:val="88"/>
              <w:widowControl w:val="0"/>
              <w:adjustRightInd w:val="0"/>
              <w:spacing w:line="240" w:lineRule="auto"/>
              <w:rPr>
                <w:rFonts w:hint="default" w:eastAsia="宋体"/>
                <w:b/>
                <w:bCs/>
                <w:kern w:val="2"/>
                <w:lang w:val="en-US" w:eastAsia="zh-CN"/>
              </w:rPr>
            </w:pPr>
            <w:r>
              <w:rPr>
                <w:rFonts w:hint="eastAsia" w:eastAsia="宋体"/>
                <w:kern w:val="2"/>
                <w:lang w:val="en-US" w:eastAsia="zh-CN"/>
              </w:rPr>
              <w:t>80</w:t>
            </w:r>
          </w:p>
        </w:tc>
        <w:tc>
          <w:tcPr>
            <w:tcW w:w="1804" w:type="dxa"/>
            <w:gridSpan w:val="2"/>
            <w:vAlign w:val="center"/>
          </w:tcPr>
          <w:p>
            <w:pPr>
              <w:adjustRightInd w:val="0"/>
              <w:snapToGrid w:val="0"/>
              <w:jc w:val="center"/>
              <w:rPr>
                <w:b/>
                <w:sz w:val="24"/>
              </w:rPr>
            </w:pPr>
            <w:r>
              <w:rPr>
                <w:b/>
                <w:sz w:val="24"/>
              </w:rPr>
              <w:t>其中：环保投资（万元）</w:t>
            </w:r>
          </w:p>
        </w:tc>
        <w:tc>
          <w:tcPr>
            <w:tcW w:w="1233" w:type="dxa"/>
            <w:vAlign w:val="center"/>
          </w:tcPr>
          <w:p>
            <w:pPr>
              <w:pStyle w:val="88"/>
              <w:widowControl w:val="0"/>
              <w:adjustRightInd w:val="0"/>
              <w:spacing w:line="240" w:lineRule="auto"/>
              <w:rPr>
                <w:rFonts w:hint="default" w:eastAsia="宋体"/>
                <w:color w:val="FF0000"/>
                <w:kern w:val="2"/>
                <w:lang w:val="en-US" w:eastAsia="zh-CN"/>
              </w:rPr>
            </w:pPr>
            <w:r>
              <w:rPr>
                <w:rFonts w:hint="eastAsia" w:eastAsia="宋体"/>
                <w:color w:val="000000" w:themeColor="text1"/>
                <w:kern w:val="2"/>
                <w:lang w:val="en-US" w:eastAsia="zh-CN"/>
                <w14:textFill>
                  <w14:solidFill>
                    <w14:schemeClr w14:val="tx1"/>
                  </w14:solidFill>
                </w14:textFill>
              </w:rPr>
              <w:t>22.4</w:t>
            </w:r>
          </w:p>
        </w:tc>
        <w:tc>
          <w:tcPr>
            <w:tcW w:w="1648" w:type="dxa"/>
            <w:gridSpan w:val="2"/>
            <w:vAlign w:val="center"/>
          </w:tcPr>
          <w:p>
            <w:pPr>
              <w:pStyle w:val="88"/>
              <w:widowControl w:val="0"/>
              <w:adjustRightInd w:val="0"/>
              <w:spacing w:line="240" w:lineRule="auto"/>
              <w:rPr>
                <w:rFonts w:eastAsia="宋体"/>
                <w:kern w:val="2"/>
              </w:rPr>
            </w:pPr>
            <w:r>
              <w:rPr>
                <w:rFonts w:eastAsia="宋体"/>
                <w:b/>
                <w:kern w:val="2"/>
              </w:rPr>
              <w:t>环保投资占总投资比例</w:t>
            </w:r>
          </w:p>
        </w:tc>
        <w:tc>
          <w:tcPr>
            <w:tcW w:w="1416" w:type="dxa"/>
            <w:gridSpan w:val="2"/>
            <w:vAlign w:val="center"/>
          </w:tcPr>
          <w:p>
            <w:pPr>
              <w:pStyle w:val="88"/>
              <w:widowControl w:val="0"/>
              <w:adjustRightInd w:val="0"/>
              <w:spacing w:line="240" w:lineRule="auto"/>
              <w:rPr>
                <w:rFonts w:eastAsia="宋体"/>
                <w:color w:val="FF0000"/>
                <w:kern w:val="2"/>
              </w:rPr>
            </w:pPr>
            <w:r>
              <w:rPr>
                <w:rFonts w:hint="eastAsia" w:eastAsia="宋体"/>
                <w:color w:val="000000" w:themeColor="text1"/>
                <w:kern w:val="2"/>
                <w:lang w:val="en-US" w:eastAsia="zh-CN"/>
                <w14:textFill>
                  <w14:solidFill>
                    <w14:schemeClr w14:val="tx1"/>
                  </w14:solidFill>
                </w14:textFill>
              </w:rPr>
              <w:t>28</w:t>
            </w:r>
            <w:r>
              <w:rPr>
                <w:rFonts w:hint="eastAsia" w:eastAsia="宋体"/>
                <w:color w:val="000000" w:themeColor="text1"/>
                <w:kern w:val="2"/>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0" w:type="dxa"/>
            <w:vAlign w:val="center"/>
          </w:tcPr>
          <w:p>
            <w:pPr>
              <w:adjustRightInd w:val="0"/>
              <w:snapToGrid w:val="0"/>
              <w:jc w:val="center"/>
              <w:rPr>
                <w:b/>
                <w:sz w:val="24"/>
              </w:rPr>
            </w:pPr>
            <w:r>
              <w:rPr>
                <w:b/>
                <w:sz w:val="24"/>
              </w:rPr>
              <w:t>评价经费</w:t>
            </w:r>
          </w:p>
          <w:p>
            <w:pPr>
              <w:adjustRightInd w:val="0"/>
              <w:snapToGrid w:val="0"/>
              <w:jc w:val="center"/>
              <w:rPr>
                <w:b/>
                <w:sz w:val="24"/>
              </w:rPr>
            </w:pPr>
            <w:r>
              <w:rPr>
                <w:b/>
                <w:sz w:val="24"/>
              </w:rPr>
              <w:t>（万元）</w:t>
            </w:r>
          </w:p>
        </w:tc>
        <w:tc>
          <w:tcPr>
            <w:tcW w:w="1415" w:type="dxa"/>
            <w:vAlign w:val="center"/>
          </w:tcPr>
          <w:p>
            <w:pPr>
              <w:adjustRightInd w:val="0"/>
              <w:snapToGrid w:val="0"/>
              <w:jc w:val="center"/>
              <w:rPr>
                <w:b/>
                <w:sz w:val="24"/>
              </w:rPr>
            </w:pPr>
            <w:r>
              <w:rPr>
                <w:rFonts w:hint="eastAsia"/>
                <w:b/>
                <w:sz w:val="24"/>
              </w:rPr>
              <w:t>/</w:t>
            </w:r>
          </w:p>
        </w:tc>
        <w:tc>
          <w:tcPr>
            <w:tcW w:w="1804" w:type="dxa"/>
            <w:gridSpan w:val="2"/>
            <w:vAlign w:val="center"/>
          </w:tcPr>
          <w:p>
            <w:pPr>
              <w:adjustRightInd w:val="0"/>
              <w:snapToGrid w:val="0"/>
              <w:jc w:val="center"/>
              <w:rPr>
                <w:b/>
                <w:sz w:val="24"/>
              </w:rPr>
            </w:pPr>
            <w:r>
              <w:rPr>
                <w:b/>
                <w:sz w:val="24"/>
              </w:rPr>
              <w:t>预期投产日期</w:t>
            </w:r>
          </w:p>
        </w:tc>
        <w:tc>
          <w:tcPr>
            <w:tcW w:w="4297" w:type="dxa"/>
            <w:gridSpan w:val="5"/>
            <w:vAlign w:val="center"/>
          </w:tcPr>
          <w:p>
            <w:pPr>
              <w:adjustRightInd w:val="0"/>
              <w:snapToGrid w:val="0"/>
              <w:jc w:val="center"/>
              <w:rPr>
                <w:sz w:val="24"/>
              </w:rPr>
            </w:pPr>
            <w:r>
              <w:rPr>
                <w:rFonts w:hint="eastAsia"/>
                <w:sz w:val="24"/>
              </w:rPr>
              <w:t>20</w:t>
            </w:r>
            <w:r>
              <w:rPr>
                <w:rFonts w:hint="eastAsia"/>
                <w:sz w:val="24"/>
                <w:lang w:val="en-US" w:eastAsia="zh-CN"/>
              </w:rPr>
              <w:t>20</w:t>
            </w:r>
            <w:r>
              <w:rPr>
                <w:rFonts w:hint="eastAsia"/>
                <w:sz w:val="24"/>
              </w:rPr>
              <w:t>年</w:t>
            </w:r>
            <w:r>
              <w:rPr>
                <w:rFonts w:hint="eastAsia"/>
                <w:sz w:val="24"/>
                <w:lang w:val="en-US" w:eastAsia="zh-CN"/>
              </w:rPr>
              <w:t>5</w:t>
            </w:r>
            <w:r>
              <w:rPr>
                <w:rFonts w:hint="eastAsia"/>
                <w:sz w:val="24"/>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6" w:type="dxa"/>
            <w:gridSpan w:val="9"/>
            <w:tcBorders>
              <w:bottom w:val="single" w:color="auto" w:sz="12" w:space="0"/>
            </w:tcBorders>
          </w:tcPr>
          <w:p>
            <w:pPr>
              <w:adjustRightInd w:val="0"/>
              <w:snapToGrid w:val="0"/>
              <w:spacing w:line="360" w:lineRule="auto"/>
              <w:rPr>
                <w:sz w:val="24"/>
              </w:rPr>
            </w:pPr>
            <w:r>
              <w:rPr>
                <w:b/>
                <w:bCs/>
                <w:sz w:val="24"/>
              </w:rPr>
              <w:t>工程内容及规模：</w:t>
            </w:r>
          </w:p>
          <w:p>
            <w:pPr>
              <w:adjustRightInd w:val="0"/>
              <w:snapToGrid w:val="0"/>
              <w:spacing w:line="360" w:lineRule="auto"/>
              <w:rPr>
                <w:b/>
                <w:bCs/>
                <w:sz w:val="24"/>
              </w:rPr>
            </w:pPr>
            <w:r>
              <w:rPr>
                <w:rFonts w:hint="eastAsia"/>
                <w:b/>
                <w:bCs/>
                <w:sz w:val="24"/>
              </w:rPr>
              <w:t>一、</w:t>
            </w:r>
            <w:r>
              <w:rPr>
                <w:b/>
                <w:bCs/>
                <w:sz w:val="24"/>
              </w:rPr>
              <w:t>任务由来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80" w:firstLineChars="200"/>
              <w:rPr>
                <w:sz w:val="24"/>
              </w:rPr>
            </w:pPr>
            <w:r>
              <w:rPr>
                <w:rFonts w:hint="eastAsia"/>
                <w:bCs/>
                <w:sz w:val="24"/>
              </w:rPr>
              <w:t>新乡县七里营镇信之达塑料制品厂</w:t>
            </w:r>
            <w:r>
              <w:rPr>
                <w:sz w:val="24"/>
              </w:rPr>
              <w:t>投资</w:t>
            </w:r>
            <w:r>
              <w:rPr>
                <w:rFonts w:hint="eastAsia"/>
                <w:sz w:val="24"/>
                <w:lang w:val="en-US" w:eastAsia="zh-CN"/>
              </w:rPr>
              <w:t>80</w:t>
            </w:r>
            <w:r>
              <w:rPr>
                <w:sz w:val="24"/>
              </w:rPr>
              <w:t>万元建设</w:t>
            </w:r>
            <w:r>
              <w:rPr>
                <w:rFonts w:hint="eastAsia"/>
                <w:sz w:val="24"/>
              </w:rPr>
              <w:t>年产10万套塑料配件项目</w:t>
            </w:r>
            <w:r>
              <w:rPr>
                <w:sz w:val="24"/>
              </w:rPr>
              <w:t>，</w:t>
            </w:r>
            <w:r>
              <w:rPr>
                <w:rFonts w:hint="eastAsia"/>
                <w:sz w:val="24"/>
              </w:rPr>
              <w:t>该项目利用现有厂房</w:t>
            </w:r>
            <w:r>
              <w:rPr>
                <w:rFonts w:hint="eastAsia"/>
                <w:sz w:val="24"/>
                <w:lang w:val="en-US" w:eastAsia="zh-CN"/>
              </w:rPr>
              <w:t>500</w:t>
            </w:r>
            <w:r>
              <w:rPr>
                <w:sz w:val="24"/>
              </w:rPr>
              <w:t>m</w:t>
            </w:r>
            <w:r>
              <w:rPr>
                <w:sz w:val="24"/>
                <w:vertAlign w:val="superscript"/>
              </w:rPr>
              <w:t>2</w:t>
            </w:r>
            <w:r>
              <w:rPr>
                <w:rFonts w:hint="eastAsia"/>
                <w:sz w:val="24"/>
              </w:rPr>
              <w:t>，</w:t>
            </w:r>
            <w:r>
              <w:rPr>
                <w:bCs/>
                <w:sz w:val="24"/>
              </w:rPr>
              <w:t>位于</w:t>
            </w:r>
            <w:r>
              <w:rPr>
                <w:rFonts w:hint="eastAsia"/>
                <w:sz w:val="24"/>
              </w:rPr>
              <w:t>新乡市新乡县七里营镇刘庄路与新远路交叉口向西路南38号</w:t>
            </w:r>
            <w:r>
              <w:rPr>
                <w:sz w:val="24"/>
              </w:rPr>
              <w:t>。</w:t>
            </w:r>
            <w:r>
              <w:rPr>
                <w:rFonts w:hint="eastAsia"/>
                <w:sz w:val="24"/>
              </w:rPr>
              <w:t>根据现场勘察，本项目未建设。</w:t>
            </w:r>
          </w:p>
          <w:p>
            <w:pPr>
              <w:adjustRightInd w:val="0"/>
              <w:snapToGrid w:val="0"/>
              <w:spacing w:line="360" w:lineRule="auto"/>
              <w:ind w:firstLine="480" w:firstLineChars="200"/>
              <w:rPr>
                <w:sz w:val="24"/>
              </w:rPr>
            </w:pPr>
            <w:r>
              <w:rPr>
                <w:sz w:val="24"/>
              </w:rPr>
              <w:t>依据《中华人民共和国环境影响评价法》、《建设项目环境保护管理条例》（中华人民共和国国务院令第682号）等有关规定，</w:t>
            </w:r>
            <w:r>
              <w:rPr>
                <w:rFonts w:hint="eastAsia"/>
                <w:bCs/>
                <w:sz w:val="24"/>
              </w:rPr>
              <w:t>新乡县七里营镇信之达塑料制品厂</w:t>
            </w:r>
            <w:r>
              <w:rPr>
                <w:rFonts w:hint="eastAsia"/>
                <w:sz w:val="24"/>
              </w:rPr>
              <w:t>年产10万套塑料配件项目</w:t>
            </w:r>
            <w:r>
              <w:rPr>
                <w:sz w:val="24"/>
                <w:shd w:val="clear" w:color="auto" w:fill="FFFFFF"/>
              </w:rPr>
              <w:t>需进行环境影响评价。依据</w:t>
            </w:r>
            <w:r>
              <w:rPr>
                <w:rFonts w:hint="eastAsia"/>
                <w:sz w:val="24"/>
                <w:shd w:val="clear" w:color="auto" w:fill="FFFFFF"/>
              </w:rPr>
              <w:t>生态</w:t>
            </w:r>
            <w:r>
              <w:rPr>
                <w:sz w:val="24"/>
                <w:shd w:val="clear" w:color="auto" w:fill="FFFFFF"/>
              </w:rPr>
              <w:t>环境部《建设项目环境影响评价分类管理名录》（2018年4月28日修订）规定</w:t>
            </w:r>
            <w:r>
              <w:rPr>
                <w:rFonts w:hint="eastAsia"/>
                <w:sz w:val="24"/>
                <w:shd w:val="clear" w:color="auto" w:fill="FFFFFF"/>
              </w:rPr>
              <w:t>，“十八、塑料和橡胶制品业，47塑料制品制造”</w:t>
            </w:r>
            <w:r>
              <w:rPr>
                <w:sz w:val="24"/>
                <w:shd w:val="clear" w:color="auto" w:fill="FFFFFF"/>
              </w:rPr>
              <w:t>，</w:t>
            </w:r>
            <w:r>
              <w:rPr>
                <w:rFonts w:hint="eastAsia"/>
                <w:sz w:val="24"/>
                <w:shd w:val="clear" w:color="auto" w:fill="FFFFFF"/>
              </w:rPr>
              <w:t>“人造革、发泡胶等涉及有毒原材料的；以再生塑料为原料的；有电镀或喷漆工艺且年用油性漆量（含稀释剂）10吨及以上的”</w:t>
            </w:r>
            <w:r>
              <w:rPr>
                <w:sz w:val="24"/>
                <w:shd w:val="clear" w:color="auto" w:fill="FFFFFF"/>
              </w:rPr>
              <w:t>应编制环境影响评价报告</w:t>
            </w:r>
            <w:r>
              <w:rPr>
                <w:rFonts w:hint="eastAsia"/>
                <w:sz w:val="24"/>
                <w:shd w:val="clear" w:color="auto" w:fill="FFFFFF"/>
              </w:rPr>
              <w:t>书；“其他”</w:t>
            </w:r>
            <w:r>
              <w:rPr>
                <w:sz w:val="24"/>
                <w:shd w:val="clear" w:color="auto" w:fill="FFFFFF"/>
              </w:rPr>
              <w:t>应编制环境影响评价报告</w:t>
            </w:r>
            <w:r>
              <w:rPr>
                <w:rFonts w:hint="eastAsia"/>
                <w:sz w:val="24"/>
                <w:shd w:val="clear" w:color="auto" w:fill="FFFFFF"/>
              </w:rPr>
              <w:t>表</w:t>
            </w:r>
            <w:r>
              <w:rPr>
                <w:sz w:val="24"/>
                <w:shd w:val="clear" w:color="auto" w:fill="FFFFFF"/>
              </w:rPr>
              <w:t>。</w:t>
            </w:r>
            <w:r>
              <w:rPr>
                <w:rFonts w:hint="eastAsia"/>
                <w:sz w:val="24"/>
                <w:shd w:val="clear" w:color="auto" w:fill="FFFFFF"/>
              </w:rPr>
              <w:t>本项目原料为</w:t>
            </w:r>
            <w:r>
              <w:rPr>
                <w:rFonts w:hint="eastAsia"/>
                <w:color w:val="000000" w:themeColor="text1"/>
                <w:sz w:val="24"/>
                <w:shd w:val="clear" w:color="auto" w:fill="FFFFFF"/>
                <w14:textFill>
                  <w14:solidFill>
                    <w14:schemeClr w14:val="tx1"/>
                  </w14:solidFill>
                </w14:textFill>
              </w:rPr>
              <w:t>PP、PE材料</w:t>
            </w:r>
            <w:r>
              <w:rPr>
                <w:rFonts w:hint="eastAsia"/>
                <w:sz w:val="24"/>
                <w:shd w:val="clear" w:color="auto" w:fill="FFFFFF"/>
              </w:rPr>
              <w:t>，工艺为注塑</w:t>
            </w:r>
            <w:r>
              <w:rPr>
                <w:rFonts w:hint="eastAsia"/>
                <w:sz w:val="24"/>
                <w:shd w:val="clear" w:color="auto" w:fill="FFFFFF"/>
                <w:lang w:eastAsia="zh-CN"/>
              </w:rPr>
              <w:t>、塑化挤出</w:t>
            </w:r>
            <w:r>
              <w:rPr>
                <w:rFonts w:hint="eastAsia"/>
                <w:sz w:val="24"/>
                <w:shd w:val="clear" w:color="auto" w:fill="FFFFFF"/>
              </w:rPr>
              <w:t>，不涉及喷漆、电镀，故应编制环境影响报告表</w:t>
            </w:r>
            <w:r>
              <w:rPr>
                <w:sz w:val="24"/>
                <w:shd w:val="clear" w:color="auto" w:fill="FFFFFF"/>
              </w:rPr>
              <w:t>。</w:t>
            </w:r>
          </w:p>
          <w:p>
            <w:pPr>
              <w:adjustRightInd w:val="0"/>
              <w:snapToGrid w:val="0"/>
              <w:spacing w:line="360" w:lineRule="auto"/>
              <w:ind w:firstLine="480" w:firstLineChars="200"/>
              <w:rPr>
                <w:sz w:val="24"/>
              </w:rPr>
            </w:pPr>
            <w:r>
              <w:rPr>
                <w:sz w:val="24"/>
              </w:rPr>
              <w:t>受</w:t>
            </w:r>
            <w:r>
              <w:rPr>
                <w:rFonts w:hint="eastAsia"/>
                <w:bCs/>
                <w:sz w:val="24"/>
              </w:rPr>
              <w:t>新乡县七里营镇信之达塑料制品厂</w:t>
            </w:r>
            <w:r>
              <w:rPr>
                <w:sz w:val="24"/>
              </w:rPr>
              <w:t>的委托，</w:t>
            </w:r>
            <w:r>
              <w:rPr>
                <w:rFonts w:hint="eastAsia"/>
                <w:sz w:val="24"/>
              </w:rPr>
              <w:t>我单位</w:t>
            </w:r>
            <w:r>
              <w:rPr>
                <w:sz w:val="24"/>
              </w:rPr>
              <w:t>承担了该项目的环境影响评价工作，接受委托后，我公司组织有关技术人员，在现场调查和收集有关资料的基础上，本着</w:t>
            </w:r>
            <w:r>
              <w:rPr>
                <w:rFonts w:hint="eastAsia"/>
                <w:sz w:val="24"/>
              </w:rPr>
              <w:t>“</w:t>
            </w:r>
            <w:r>
              <w:rPr>
                <w:sz w:val="24"/>
              </w:rPr>
              <w:t>科学、公正、客观、严谨</w:t>
            </w:r>
            <w:r>
              <w:rPr>
                <w:rFonts w:hint="eastAsia"/>
                <w:sz w:val="24"/>
              </w:rPr>
              <w:t>”</w:t>
            </w:r>
            <w:r>
              <w:rPr>
                <w:sz w:val="24"/>
              </w:rPr>
              <w:t>的态度，编制了本项目的环境影响报告表。</w:t>
            </w:r>
          </w:p>
          <w:p>
            <w:pPr>
              <w:adjustRightInd w:val="0"/>
              <w:snapToGrid w:val="0"/>
              <w:spacing w:line="360" w:lineRule="auto"/>
              <w:rPr>
                <w:b/>
                <w:sz w:val="24"/>
              </w:rPr>
            </w:pPr>
            <w:r>
              <w:rPr>
                <w:b/>
                <w:sz w:val="24"/>
              </w:rPr>
              <w:t>二、项目周围环境情况</w:t>
            </w:r>
          </w:p>
          <w:p>
            <w:pPr>
              <w:adjustRightInd w:val="0"/>
              <w:snapToGrid w:val="0"/>
              <w:spacing w:line="360" w:lineRule="auto"/>
              <w:ind w:firstLine="480" w:firstLineChars="200"/>
              <w:jc w:val="left"/>
              <w:rPr>
                <w:b/>
                <w:bCs/>
                <w:sz w:val="24"/>
              </w:rPr>
            </w:pPr>
            <w:r>
              <w:rPr>
                <w:bCs/>
                <w:snapToGrid w:val="0"/>
                <w:kern w:val="21"/>
                <w:sz w:val="24"/>
              </w:rPr>
              <w:t>本项目厂址位于</w:t>
            </w:r>
            <w:r>
              <w:rPr>
                <w:rFonts w:hint="eastAsia"/>
                <w:sz w:val="24"/>
              </w:rPr>
              <w:t>新乡市新乡县七里营镇刘庄路与新远路交叉口向西路南38号</w:t>
            </w:r>
            <w:r>
              <w:rPr>
                <w:bCs/>
                <w:snapToGrid w:val="0"/>
                <w:kern w:val="21"/>
                <w:sz w:val="24"/>
              </w:rPr>
              <w:t>，卫星图坐标为经度</w:t>
            </w:r>
            <w:r>
              <w:rPr>
                <w:rFonts w:hint="eastAsia"/>
                <w:bCs/>
                <w:snapToGrid w:val="0"/>
                <w:color w:val="000000" w:themeColor="text1"/>
                <w:kern w:val="21"/>
                <w:sz w:val="24"/>
                <w14:textFill>
                  <w14:solidFill>
                    <w14:schemeClr w14:val="tx1"/>
                  </w14:solidFill>
                </w14:textFill>
              </w:rPr>
              <w:t>113.807979</w:t>
            </w:r>
            <w:r>
              <w:rPr>
                <w:bCs/>
                <w:snapToGrid w:val="0"/>
                <w:color w:val="000000" w:themeColor="text1"/>
                <w:kern w:val="21"/>
                <w:sz w:val="24"/>
                <w14:textFill>
                  <w14:solidFill>
                    <w14:schemeClr w14:val="tx1"/>
                  </w14:solidFill>
                </w14:textFill>
              </w:rPr>
              <w:t>°、纬度</w:t>
            </w:r>
            <w:r>
              <w:rPr>
                <w:rFonts w:hint="eastAsia"/>
                <w:bCs/>
                <w:snapToGrid w:val="0"/>
                <w:color w:val="000000" w:themeColor="text1"/>
                <w:kern w:val="21"/>
                <w:sz w:val="24"/>
                <w14:textFill>
                  <w14:solidFill>
                    <w14:schemeClr w14:val="tx1"/>
                  </w14:solidFill>
                </w14:textFill>
              </w:rPr>
              <w:t>35.147720</w:t>
            </w:r>
            <w:r>
              <w:rPr>
                <w:bCs/>
                <w:snapToGrid w:val="0"/>
                <w:color w:val="000000" w:themeColor="text1"/>
                <w:kern w:val="21"/>
                <w:sz w:val="24"/>
                <w14:textFill>
                  <w14:solidFill>
                    <w14:schemeClr w14:val="tx1"/>
                  </w14:solidFill>
                </w14:textFill>
              </w:rPr>
              <w:t>°</w:t>
            </w:r>
            <w:r>
              <w:rPr>
                <w:bCs/>
                <w:snapToGrid w:val="0"/>
                <w:kern w:val="21"/>
                <w:sz w:val="24"/>
              </w:rPr>
              <w:t>，</w:t>
            </w:r>
            <w:r>
              <w:rPr>
                <w:rFonts w:hint="eastAsia"/>
                <w:bCs/>
                <w:snapToGrid w:val="0"/>
                <w:kern w:val="21"/>
                <w:sz w:val="24"/>
              </w:rPr>
              <w:t>利用现有厂房500</w:t>
            </w:r>
            <w:r>
              <w:rPr>
                <w:bCs/>
                <w:snapToGrid w:val="0"/>
                <w:kern w:val="21"/>
                <w:sz w:val="24"/>
              </w:rPr>
              <w:t>m</w:t>
            </w:r>
            <w:r>
              <w:rPr>
                <w:bCs/>
                <w:snapToGrid w:val="0"/>
                <w:kern w:val="21"/>
                <w:sz w:val="24"/>
                <w:vertAlign w:val="superscript"/>
              </w:rPr>
              <w:t>2</w:t>
            </w:r>
            <w:r>
              <w:rPr>
                <w:bCs/>
                <w:snapToGrid w:val="0"/>
                <w:kern w:val="21"/>
                <w:sz w:val="24"/>
              </w:rPr>
              <w:t>。四周环境为</w:t>
            </w:r>
            <w:r>
              <w:rPr>
                <w:bCs/>
                <w:snapToGrid w:val="0"/>
                <w:color w:val="000000" w:themeColor="text1"/>
                <w:kern w:val="21"/>
                <w:sz w:val="24"/>
                <w14:textFill>
                  <w14:solidFill>
                    <w14:schemeClr w14:val="tx1"/>
                  </w14:solidFill>
                </w14:textFill>
              </w:rPr>
              <w:t>：</w:t>
            </w:r>
            <w:r>
              <w:rPr>
                <w:rFonts w:hint="eastAsia"/>
                <w:bCs/>
                <w:snapToGrid w:val="0"/>
                <w:color w:val="000000" w:themeColor="text1"/>
                <w:kern w:val="21"/>
                <w:sz w:val="24"/>
                <w14:textFill>
                  <w14:solidFill>
                    <w14:schemeClr w14:val="tx1"/>
                  </w14:solidFill>
                </w14:textFill>
              </w:rPr>
              <w:t>北侧为远大路，隔路为机械厂，西侧为注塑厂，南侧为</w:t>
            </w:r>
            <w:r>
              <w:rPr>
                <w:rFonts w:hint="eastAsia"/>
                <w:bCs/>
                <w:snapToGrid w:val="0"/>
                <w:color w:val="000000" w:themeColor="text1"/>
                <w:kern w:val="21"/>
                <w:sz w:val="24"/>
                <w:lang w:eastAsia="zh-CN"/>
                <w14:textFill>
                  <w14:solidFill>
                    <w14:schemeClr w14:val="tx1"/>
                  </w14:solidFill>
                </w14:textFill>
              </w:rPr>
              <w:t>废弃</w:t>
            </w:r>
            <w:r>
              <w:rPr>
                <w:rFonts w:hint="eastAsia"/>
                <w:bCs/>
                <w:snapToGrid w:val="0"/>
                <w:color w:val="000000" w:themeColor="text1"/>
                <w:kern w:val="21"/>
                <w:sz w:val="24"/>
                <w14:textFill>
                  <w14:solidFill>
                    <w14:schemeClr w14:val="tx1"/>
                  </w14:solidFill>
                </w14:textFill>
              </w:rPr>
              <w:t>养殖场，东侧为环保设备厂</w:t>
            </w:r>
            <w:r>
              <w:rPr>
                <w:bCs/>
                <w:snapToGrid w:val="0"/>
                <w:kern w:val="21"/>
                <w:sz w:val="24"/>
              </w:rPr>
              <w:t>。本项目周围的敏感点分布情况为：</w:t>
            </w:r>
            <w:r>
              <w:rPr>
                <w:bCs/>
                <w:snapToGrid w:val="0"/>
                <w:color w:val="000000" w:themeColor="text1"/>
                <w:kern w:val="21"/>
                <w:sz w:val="24"/>
                <w14:textFill>
                  <w14:solidFill>
                    <w14:schemeClr w14:val="tx1"/>
                  </w14:solidFill>
                </w14:textFill>
              </w:rPr>
              <w:t>项目</w:t>
            </w:r>
            <w:r>
              <w:rPr>
                <w:rFonts w:hint="eastAsia"/>
                <w:bCs/>
                <w:snapToGrid w:val="0"/>
                <w:color w:val="000000" w:themeColor="text1"/>
                <w:kern w:val="21"/>
                <w:sz w:val="24"/>
                <w14:textFill>
                  <w14:solidFill>
                    <w14:schemeClr w14:val="tx1"/>
                  </w14:solidFill>
                </w14:textFill>
              </w:rPr>
              <w:t>南1</w:t>
            </w:r>
            <w:r>
              <w:rPr>
                <w:rFonts w:hint="eastAsia"/>
                <w:bCs/>
                <w:snapToGrid w:val="0"/>
                <w:color w:val="000000" w:themeColor="text1"/>
                <w:kern w:val="21"/>
                <w:sz w:val="24"/>
                <w:lang w:val="en-US" w:eastAsia="zh-CN"/>
                <w14:textFill>
                  <w14:solidFill>
                    <w14:schemeClr w14:val="tx1"/>
                  </w14:solidFill>
                </w14:textFill>
              </w:rPr>
              <w:t>103</w:t>
            </w:r>
            <w:r>
              <w:rPr>
                <w:rFonts w:hint="eastAsia"/>
                <w:bCs/>
                <w:snapToGrid w:val="0"/>
                <w:color w:val="000000" w:themeColor="text1"/>
                <w:kern w:val="21"/>
                <w:sz w:val="24"/>
                <w14:textFill>
                  <w14:solidFill>
                    <w14:schemeClr w14:val="tx1"/>
                  </w14:solidFill>
                </w14:textFill>
              </w:rPr>
              <w:t>m刘庄村，北8</w:t>
            </w:r>
            <w:r>
              <w:rPr>
                <w:rFonts w:hint="eastAsia"/>
                <w:bCs/>
                <w:snapToGrid w:val="0"/>
                <w:color w:val="000000" w:themeColor="text1"/>
                <w:kern w:val="21"/>
                <w:sz w:val="24"/>
                <w:lang w:val="en-US" w:eastAsia="zh-CN"/>
                <w14:textFill>
                  <w14:solidFill>
                    <w14:schemeClr w14:val="tx1"/>
                  </w14:solidFill>
                </w14:textFill>
              </w:rPr>
              <w:t>29</w:t>
            </w:r>
            <w:r>
              <w:rPr>
                <w:rFonts w:hint="eastAsia"/>
                <w:bCs/>
                <w:snapToGrid w:val="0"/>
                <w:color w:val="000000" w:themeColor="text1"/>
                <w:kern w:val="21"/>
                <w:sz w:val="24"/>
                <w14:textFill>
                  <w14:solidFill>
                    <w14:schemeClr w14:val="tx1"/>
                  </w14:solidFill>
                </w14:textFill>
              </w:rPr>
              <w:t>m七里营第五村，项目周边环境示意图见下</w:t>
            </w:r>
            <w:r>
              <w:rPr>
                <w:rFonts w:hint="eastAsia"/>
                <w:bCs/>
                <w:snapToGrid w:val="0"/>
                <w:color w:val="000000" w:themeColor="text1"/>
                <w:kern w:val="21"/>
                <w:sz w:val="24"/>
                <w:lang w:val="en-US" w:eastAsia="zh-CN"/>
                <w14:textFill>
                  <w14:solidFill>
                    <w14:schemeClr w14:val="tx1"/>
                  </w14:solidFill>
                </w14:textFill>
              </w:rPr>
              <w:t>图</w:t>
            </w:r>
            <w:r>
              <w:rPr>
                <w:bCs/>
                <w:snapToGrid w:val="0"/>
                <w:color w:val="000000" w:themeColor="text1"/>
                <w:kern w:val="21"/>
                <w:sz w:val="24"/>
                <w14:textFill>
                  <w14:solidFill>
                    <w14:schemeClr w14:val="tx1"/>
                  </w14:solidFill>
                </w14:textFill>
              </w:rPr>
              <w:t>。</w:t>
            </w:r>
            <w:r>
              <w:drawing>
                <wp:inline distT="0" distB="0" distL="114300" distR="114300">
                  <wp:extent cx="5713095" cy="3587750"/>
                  <wp:effectExtent l="0" t="0" r="1905" b="1270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5"/>
                          <a:stretch>
                            <a:fillRect/>
                          </a:stretch>
                        </pic:blipFill>
                        <pic:spPr>
                          <a:xfrm>
                            <a:off x="0" y="0"/>
                            <a:ext cx="5713095" cy="3587750"/>
                          </a:xfrm>
                          <a:prstGeom prst="rect">
                            <a:avLst/>
                          </a:prstGeom>
                          <a:noFill/>
                          <a:ln>
                            <a:noFill/>
                          </a:ln>
                        </pic:spPr>
                      </pic:pic>
                    </a:graphicData>
                  </a:graphic>
                </wp:inline>
              </w:drawing>
            </w:r>
          </w:p>
          <w:p>
            <w:pPr>
              <w:adjustRightInd w:val="0"/>
              <w:snapToGrid w:val="0"/>
              <w:spacing w:line="360" w:lineRule="auto"/>
              <w:jc w:val="center"/>
              <w:rPr>
                <w:b/>
                <w:sz w:val="24"/>
              </w:rPr>
            </w:pPr>
            <w:r>
              <w:rPr>
                <w:rFonts w:hint="eastAsia"/>
                <w:b/>
                <w:sz w:val="24"/>
              </w:rPr>
              <w:t>图一  项目周边环境图</w:t>
            </w:r>
          </w:p>
          <w:p>
            <w:pPr>
              <w:adjustRightInd w:val="0"/>
              <w:snapToGrid w:val="0"/>
              <w:spacing w:line="360" w:lineRule="auto"/>
              <w:rPr>
                <w:b/>
                <w:sz w:val="24"/>
              </w:rPr>
            </w:pPr>
            <w:r>
              <w:rPr>
                <w:b/>
                <w:sz w:val="24"/>
              </w:rPr>
              <w:t>三、工程内容</w:t>
            </w:r>
          </w:p>
          <w:p>
            <w:pPr>
              <w:adjustRightInd w:val="0"/>
              <w:snapToGrid w:val="0"/>
              <w:spacing w:line="360" w:lineRule="auto"/>
              <w:ind w:firstLine="482" w:firstLineChars="200"/>
              <w:rPr>
                <w:b/>
                <w:sz w:val="24"/>
              </w:rPr>
            </w:pPr>
            <w:r>
              <w:rPr>
                <w:b/>
                <w:sz w:val="24"/>
              </w:rPr>
              <w:t>1、项目概况</w:t>
            </w:r>
          </w:p>
          <w:p>
            <w:pPr>
              <w:adjustRightInd w:val="0"/>
              <w:snapToGrid w:val="0"/>
              <w:spacing w:line="360" w:lineRule="auto"/>
              <w:ind w:firstLine="480" w:firstLineChars="200"/>
              <w:rPr>
                <w:sz w:val="24"/>
              </w:rPr>
            </w:pPr>
            <w:r>
              <w:rPr>
                <w:sz w:val="24"/>
              </w:rPr>
              <w:t>项目的基本情况见表1：</w:t>
            </w:r>
          </w:p>
          <w:p>
            <w:pPr>
              <w:pStyle w:val="95"/>
              <w:adjustRightInd w:val="0"/>
              <w:snapToGrid w:val="0"/>
              <w:spacing w:line="240" w:lineRule="auto"/>
              <w:ind w:firstLine="0"/>
              <w:jc w:val="center"/>
              <w:rPr>
                <w:rFonts w:ascii="Times New Roman" w:hAnsi="Times New Roman" w:eastAsia="黑体" w:cs="Times New Roman"/>
                <w:sz w:val="24"/>
              </w:rPr>
            </w:pPr>
            <w:r>
              <w:rPr>
                <w:rFonts w:ascii="Times New Roman" w:hAnsi="Times New Roman" w:eastAsia="黑体" w:cs="Times New Roman"/>
                <w:sz w:val="24"/>
              </w:rPr>
              <w:t>表1  本项目基本情况</w:t>
            </w:r>
          </w:p>
          <w:tbl>
            <w:tblPr>
              <w:tblStyle w:val="23"/>
              <w:tblW w:w="850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440"/>
              <w:gridCol w:w="642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vAlign w:val="center"/>
                </w:tcPr>
                <w:p>
                  <w:pPr>
                    <w:jc w:val="center"/>
                  </w:pPr>
                  <w:r>
                    <w:t>序号</w:t>
                  </w:r>
                </w:p>
              </w:tc>
              <w:tc>
                <w:tcPr>
                  <w:tcW w:w="1440" w:type="dxa"/>
                  <w:vAlign w:val="center"/>
                </w:tcPr>
                <w:p>
                  <w:pPr>
                    <w:jc w:val="center"/>
                  </w:pPr>
                  <w:r>
                    <w:t>项目</w:t>
                  </w:r>
                </w:p>
              </w:tc>
              <w:tc>
                <w:tcPr>
                  <w:tcW w:w="6424" w:type="dxa"/>
                  <w:vAlign w:val="center"/>
                </w:tcPr>
                <w:p>
                  <w:pPr>
                    <w:jc w:val="center"/>
                  </w:pPr>
                  <w:r>
                    <w:t>内容</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vAlign w:val="center"/>
                </w:tcPr>
                <w:p>
                  <w:pPr>
                    <w:jc w:val="center"/>
                  </w:pPr>
                  <w:r>
                    <w:t>1</w:t>
                  </w:r>
                </w:p>
              </w:tc>
              <w:tc>
                <w:tcPr>
                  <w:tcW w:w="1440" w:type="dxa"/>
                  <w:vAlign w:val="center"/>
                </w:tcPr>
                <w:p>
                  <w:pPr>
                    <w:jc w:val="center"/>
                  </w:pPr>
                  <w:r>
                    <w:t>项目名称</w:t>
                  </w:r>
                </w:p>
              </w:tc>
              <w:tc>
                <w:tcPr>
                  <w:tcW w:w="642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年产</w:t>
                  </w:r>
                  <w:r>
                    <w:rPr>
                      <w:rFonts w:eastAsiaTheme="minorEastAsia"/>
                      <w:szCs w:val="21"/>
                    </w:rPr>
                    <w:t>10</w:t>
                  </w:r>
                  <w:r>
                    <w:rPr>
                      <w:rFonts w:hint="eastAsia" w:asciiTheme="minorEastAsia" w:hAnsiTheme="minorEastAsia" w:eastAsiaTheme="minorEastAsia"/>
                      <w:szCs w:val="21"/>
                    </w:rPr>
                    <w:t>万套塑料配件项目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vAlign w:val="center"/>
                </w:tcPr>
                <w:p>
                  <w:pPr>
                    <w:jc w:val="center"/>
                  </w:pPr>
                  <w:r>
                    <w:t>2</w:t>
                  </w:r>
                </w:p>
              </w:tc>
              <w:tc>
                <w:tcPr>
                  <w:tcW w:w="1440" w:type="dxa"/>
                  <w:vAlign w:val="center"/>
                </w:tcPr>
                <w:p>
                  <w:pPr>
                    <w:jc w:val="center"/>
                  </w:pPr>
                  <w:r>
                    <w:t>总投资</w:t>
                  </w:r>
                </w:p>
              </w:tc>
              <w:tc>
                <w:tcPr>
                  <w:tcW w:w="6424" w:type="dxa"/>
                  <w:vAlign w:val="center"/>
                </w:tcPr>
                <w:p>
                  <w:pPr>
                    <w:jc w:val="center"/>
                  </w:pPr>
                  <w:r>
                    <w:rPr>
                      <w:rFonts w:hint="eastAsia"/>
                      <w:lang w:val="en-US" w:eastAsia="zh-CN"/>
                    </w:rPr>
                    <w:t>80</w:t>
                  </w:r>
                  <w:r>
                    <w:t>万元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vAlign w:val="center"/>
                </w:tcPr>
                <w:p>
                  <w:pPr>
                    <w:jc w:val="center"/>
                  </w:pPr>
                  <w:r>
                    <w:t>3</w:t>
                  </w:r>
                </w:p>
              </w:tc>
              <w:tc>
                <w:tcPr>
                  <w:tcW w:w="1440" w:type="dxa"/>
                  <w:vAlign w:val="center"/>
                </w:tcPr>
                <w:p>
                  <w:pPr>
                    <w:jc w:val="center"/>
                  </w:pPr>
                  <w:r>
                    <w:rPr>
                      <w:rFonts w:hint="eastAsia"/>
                    </w:rPr>
                    <w:t>建设单位</w:t>
                  </w:r>
                </w:p>
              </w:tc>
              <w:tc>
                <w:tcPr>
                  <w:tcW w:w="6424" w:type="dxa"/>
                  <w:vAlign w:val="center"/>
                </w:tcPr>
                <w:p>
                  <w:pPr>
                    <w:jc w:val="center"/>
                    <w:rPr>
                      <w:szCs w:val="21"/>
                    </w:rPr>
                  </w:pPr>
                  <w:r>
                    <w:rPr>
                      <w:rFonts w:hint="eastAsia"/>
                      <w:bCs/>
                      <w:szCs w:val="21"/>
                    </w:rPr>
                    <w:t>新乡县七里营镇信之达塑料制品厂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vAlign w:val="center"/>
                </w:tcPr>
                <w:p>
                  <w:pPr>
                    <w:jc w:val="center"/>
                  </w:pPr>
                  <w:r>
                    <w:t>4</w:t>
                  </w:r>
                </w:p>
              </w:tc>
              <w:tc>
                <w:tcPr>
                  <w:tcW w:w="1440" w:type="dxa"/>
                  <w:vAlign w:val="center"/>
                </w:tcPr>
                <w:p>
                  <w:pPr>
                    <w:jc w:val="center"/>
                  </w:pPr>
                  <w:r>
                    <w:t>项目选址</w:t>
                  </w:r>
                </w:p>
              </w:tc>
              <w:tc>
                <w:tcPr>
                  <w:tcW w:w="6424" w:type="dxa"/>
                  <w:vAlign w:val="center"/>
                </w:tcPr>
                <w:p>
                  <w:pPr>
                    <w:jc w:val="center"/>
                  </w:pPr>
                  <w:r>
                    <w:rPr>
                      <w:rFonts w:hint="eastAsia"/>
                    </w:rPr>
                    <w:t>新乡市新乡县七里营镇刘庄路与新远路交叉口向西路南38号</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vAlign w:val="center"/>
                </w:tcPr>
                <w:p>
                  <w:pPr>
                    <w:jc w:val="center"/>
                  </w:pPr>
                  <w:r>
                    <w:t>5</w:t>
                  </w:r>
                </w:p>
              </w:tc>
              <w:tc>
                <w:tcPr>
                  <w:tcW w:w="1440" w:type="dxa"/>
                  <w:vAlign w:val="center"/>
                </w:tcPr>
                <w:p>
                  <w:pPr>
                    <w:jc w:val="center"/>
                  </w:pPr>
                  <w:r>
                    <w:t>占地面积</w:t>
                  </w:r>
                </w:p>
              </w:tc>
              <w:tc>
                <w:tcPr>
                  <w:tcW w:w="6424" w:type="dxa"/>
                  <w:vAlign w:val="center"/>
                </w:tcPr>
                <w:p>
                  <w:pPr>
                    <w:jc w:val="center"/>
                  </w:pPr>
                  <w:r>
                    <w:rPr>
                      <w:rFonts w:hint="eastAsia"/>
                      <w:lang w:val="en-US" w:eastAsia="zh-CN"/>
                    </w:rPr>
                    <w:t>810</w:t>
                  </w:r>
                  <w:r>
                    <w:t>m</w:t>
                  </w:r>
                  <w:r>
                    <w:rPr>
                      <w:vertAlign w:val="superscript"/>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dxa"/>
                  <w:vAlign w:val="center"/>
                </w:tcPr>
                <w:p>
                  <w:pPr>
                    <w:jc w:val="center"/>
                  </w:pPr>
                  <w:r>
                    <w:t>6</w:t>
                  </w:r>
                </w:p>
              </w:tc>
              <w:tc>
                <w:tcPr>
                  <w:tcW w:w="1440" w:type="dxa"/>
                  <w:vAlign w:val="center"/>
                </w:tcPr>
                <w:p>
                  <w:pPr>
                    <w:jc w:val="center"/>
                  </w:pPr>
                  <w:r>
                    <w:t>劳动定员与制度</w:t>
                  </w:r>
                </w:p>
              </w:tc>
              <w:tc>
                <w:tcPr>
                  <w:tcW w:w="6424" w:type="dxa"/>
                  <w:vAlign w:val="center"/>
                </w:tcPr>
                <w:p>
                  <w:pPr>
                    <w:jc w:val="center"/>
                  </w:pPr>
                  <w:r>
                    <w:t>职工</w:t>
                  </w:r>
                  <w:r>
                    <w:rPr>
                      <w:rFonts w:hint="eastAsia"/>
                    </w:rPr>
                    <w:t>8</w:t>
                  </w:r>
                  <w:r>
                    <w:t>人，单班生产，</w:t>
                  </w:r>
                  <w:r>
                    <w:rPr>
                      <w:rFonts w:hint="eastAsia"/>
                    </w:rPr>
                    <w:t>10</w:t>
                  </w:r>
                  <w:r>
                    <w:t>小时工作制，年工作日为300天</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b/>
                <w:sz w:val="24"/>
              </w:rPr>
            </w:pP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b/>
                <w:sz w:val="24"/>
              </w:rPr>
            </w:pPr>
            <w:r>
              <w:rPr>
                <w:b/>
                <w:sz w:val="24"/>
              </w:rPr>
              <w:t>2、项目组成</w:t>
            </w:r>
          </w:p>
          <w:p>
            <w:pPr>
              <w:adjustRightInd w:val="0"/>
              <w:snapToGrid w:val="0"/>
              <w:spacing w:line="360" w:lineRule="auto"/>
              <w:ind w:firstLine="463" w:firstLineChars="193"/>
              <w:rPr>
                <w:sz w:val="24"/>
              </w:rPr>
            </w:pPr>
            <w:r>
              <w:rPr>
                <w:sz w:val="24"/>
              </w:rPr>
              <w:t>本项目组成一览表如下：</w:t>
            </w:r>
          </w:p>
          <w:p>
            <w:pPr>
              <w:pStyle w:val="95"/>
              <w:spacing w:line="240" w:lineRule="auto"/>
              <w:ind w:firstLine="0"/>
              <w:jc w:val="center"/>
              <w:rPr>
                <w:rFonts w:ascii="Times New Roman" w:hAnsi="Times New Roman" w:eastAsia="黑体" w:cs="Times New Roman"/>
                <w:sz w:val="24"/>
              </w:rPr>
            </w:pPr>
            <w:r>
              <w:rPr>
                <w:rFonts w:ascii="Times New Roman" w:hAnsi="Times New Roman" w:eastAsia="黑体" w:cs="Times New Roman"/>
                <w:sz w:val="24"/>
              </w:rPr>
              <w:t>表2  本项目组成一览表</w:t>
            </w:r>
          </w:p>
          <w:tbl>
            <w:tblPr>
              <w:tblStyle w:val="23"/>
              <w:tblW w:w="850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
              <w:gridCol w:w="683"/>
              <w:gridCol w:w="1276"/>
              <w:gridCol w:w="1199"/>
              <w:gridCol w:w="532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9" w:type="dxa"/>
                <w:cantSplit/>
                <w:trHeight w:val="454" w:hRule="atLeast"/>
                <w:jc w:val="center"/>
              </w:trPr>
              <w:tc>
                <w:tcPr>
                  <w:tcW w:w="683" w:type="dxa"/>
                  <w:vAlign w:val="center"/>
                </w:tcPr>
                <w:p>
                  <w:pPr>
                    <w:jc w:val="center"/>
                    <w:rPr>
                      <w:kern w:val="36"/>
                      <w:szCs w:val="21"/>
                    </w:rPr>
                  </w:pPr>
                  <w:r>
                    <w:rPr>
                      <w:kern w:val="36"/>
                      <w:szCs w:val="21"/>
                    </w:rPr>
                    <w:t>序号</w:t>
                  </w:r>
                </w:p>
              </w:tc>
              <w:tc>
                <w:tcPr>
                  <w:tcW w:w="1276" w:type="dxa"/>
                  <w:vAlign w:val="center"/>
                </w:tcPr>
                <w:p>
                  <w:pPr>
                    <w:jc w:val="center"/>
                    <w:rPr>
                      <w:kern w:val="36"/>
                      <w:szCs w:val="21"/>
                    </w:rPr>
                  </w:pPr>
                  <w:r>
                    <w:rPr>
                      <w:kern w:val="36"/>
                      <w:szCs w:val="21"/>
                    </w:rPr>
                    <w:t>项目</w:t>
                  </w:r>
                </w:p>
              </w:tc>
              <w:tc>
                <w:tcPr>
                  <w:tcW w:w="1199" w:type="dxa"/>
                  <w:vAlign w:val="center"/>
                </w:tcPr>
                <w:p>
                  <w:pPr>
                    <w:jc w:val="center"/>
                    <w:rPr>
                      <w:kern w:val="36"/>
                      <w:szCs w:val="21"/>
                    </w:rPr>
                  </w:pPr>
                  <w:r>
                    <w:rPr>
                      <w:kern w:val="36"/>
                      <w:szCs w:val="21"/>
                    </w:rPr>
                    <w:t>建设内容</w:t>
                  </w:r>
                </w:p>
              </w:tc>
              <w:tc>
                <w:tcPr>
                  <w:tcW w:w="5326" w:type="dxa"/>
                  <w:vAlign w:val="center"/>
                </w:tcPr>
                <w:p>
                  <w:pPr>
                    <w:jc w:val="center"/>
                    <w:rPr>
                      <w:kern w:val="36"/>
                      <w:szCs w:val="21"/>
                    </w:rPr>
                  </w:pPr>
                  <w:r>
                    <w:rPr>
                      <w:kern w:val="36"/>
                      <w:szCs w:val="21"/>
                    </w:rPr>
                    <w:t>规模面积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9" w:type="dxa"/>
                <w:cantSplit/>
                <w:trHeight w:val="454" w:hRule="atLeast"/>
                <w:jc w:val="center"/>
              </w:trPr>
              <w:tc>
                <w:tcPr>
                  <w:tcW w:w="683" w:type="dxa"/>
                  <w:vAlign w:val="center"/>
                </w:tcPr>
                <w:p>
                  <w:pPr>
                    <w:jc w:val="center"/>
                    <w:rPr>
                      <w:kern w:val="36"/>
                      <w:szCs w:val="21"/>
                    </w:rPr>
                  </w:pPr>
                  <w:r>
                    <w:rPr>
                      <w:kern w:val="36"/>
                      <w:szCs w:val="21"/>
                    </w:rPr>
                    <w:t>1</w:t>
                  </w:r>
                </w:p>
              </w:tc>
              <w:tc>
                <w:tcPr>
                  <w:tcW w:w="1276" w:type="dxa"/>
                  <w:vAlign w:val="center"/>
                </w:tcPr>
                <w:p>
                  <w:pPr>
                    <w:jc w:val="center"/>
                    <w:rPr>
                      <w:kern w:val="36"/>
                      <w:szCs w:val="21"/>
                    </w:rPr>
                  </w:pPr>
                  <w:r>
                    <w:rPr>
                      <w:kern w:val="36"/>
                      <w:szCs w:val="21"/>
                    </w:rPr>
                    <w:t>主体工程</w:t>
                  </w:r>
                </w:p>
              </w:tc>
              <w:tc>
                <w:tcPr>
                  <w:tcW w:w="1199" w:type="dxa"/>
                  <w:vAlign w:val="center"/>
                </w:tcPr>
                <w:p>
                  <w:pPr>
                    <w:ind w:firstLine="132"/>
                    <w:jc w:val="center"/>
                    <w:rPr>
                      <w:kern w:val="36"/>
                      <w:szCs w:val="21"/>
                    </w:rPr>
                  </w:pPr>
                  <w:r>
                    <w:rPr>
                      <w:szCs w:val="21"/>
                    </w:rPr>
                    <w:t>生产车间</w:t>
                  </w:r>
                </w:p>
              </w:tc>
              <w:tc>
                <w:tcPr>
                  <w:tcW w:w="5326" w:type="dxa"/>
                  <w:vAlign w:val="center"/>
                </w:tcPr>
                <w:p>
                  <w:pPr>
                    <w:adjustRightInd w:val="0"/>
                    <w:snapToGrid w:val="0"/>
                    <w:jc w:val="center"/>
                    <w:rPr>
                      <w:kern w:val="36"/>
                      <w:szCs w:val="21"/>
                    </w:rPr>
                  </w:pPr>
                  <w:r>
                    <w:rPr>
                      <w:szCs w:val="21"/>
                    </w:rPr>
                    <w:t>1栋1层钢构厂房，占地面积</w:t>
                  </w:r>
                  <w:r>
                    <w:rPr>
                      <w:rFonts w:hint="eastAsia"/>
                      <w:szCs w:val="21"/>
                    </w:rPr>
                    <w:t>500</w:t>
                  </w:r>
                  <w:r>
                    <w:rPr>
                      <w:szCs w:val="21"/>
                    </w:rPr>
                    <w:t>m</w:t>
                  </w:r>
                  <w:r>
                    <w:rPr>
                      <w:szCs w:val="21"/>
                      <w:vertAlign w:val="superscript"/>
                    </w:rPr>
                    <w:t>2</w:t>
                  </w:r>
                  <w:r>
                    <w:rPr>
                      <w:rFonts w:hint="eastAsia"/>
                      <w:szCs w:val="21"/>
                    </w:rPr>
                    <w:t>，内有注塑机、塑料挤出机、破碎机，搅拌机，用于生产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9" w:type="dxa"/>
                <w:cantSplit/>
                <w:trHeight w:val="454" w:hRule="atLeast"/>
                <w:jc w:val="center"/>
              </w:trPr>
              <w:tc>
                <w:tcPr>
                  <w:tcW w:w="683" w:type="dxa"/>
                  <w:vAlign w:val="center"/>
                </w:tcPr>
                <w:p>
                  <w:pPr>
                    <w:jc w:val="center"/>
                    <w:rPr>
                      <w:kern w:val="36"/>
                      <w:szCs w:val="21"/>
                    </w:rPr>
                  </w:pPr>
                  <w:r>
                    <w:rPr>
                      <w:rFonts w:hint="eastAsia"/>
                      <w:kern w:val="36"/>
                      <w:szCs w:val="21"/>
                    </w:rPr>
                    <w:t>2</w:t>
                  </w:r>
                </w:p>
              </w:tc>
              <w:tc>
                <w:tcPr>
                  <w:tcW w:w="1276" w:type="dxa"/>
                  <w:vAlign w:val="center"/>
                </w:tcPr>
                <w:p>
                  <w:pPr>
                    <w:jc w:val="center"/>
                    <w:rPr>
                      <w:kern w:val="36"/>
                      <w:szCs w:val="21"/>
                    </w:rPr>
                  </w:pPr>
                  <w:r>
                    <w:rPr>
                      <w:rFonts w:hint="eastAsia"/>
                      <w:kern w:val="36"/>
                      <w:szCs w:val="21"/>
                    </w:rPr>
                    <w:t>辅助</w:t>
                  </w:r>
                  <w:r>
                    <w:rPr>
                      <w:kern w:val="36"/>
                      <w:szCs w:val="21"/>
                    </w:rPr>
                    <w:t>工程</w:t>
                  </w:r>
                </w:p>
              </w:tc>
              <w:tc>
                <w:tcPr>
                  <w:tcW w:w="1199" w:type="dxa"/>
                  <w:vAlign w:val="center"/>
                </w:tcPr>
                <w:p>
                  <w:pPr>
                    <w:ind w:firstLine="132"/>
                    <w:jc w:val="center"/>
                    <w:rPr>
                      <w:szCs w:val="21"/>
                    </w:rPr>
                  </w:pPr>
                  <w:r>
                    <w:rPr>
                      <w:rFonts w:hint="eastAsia"/>
                      <w:szCs w:val="21"/>
                    </w:rPr>
                    <w:t>办公室</w:t>
                  </w:r>
                </w:p>
              </w:tc>
              <w:tc>
                <w:tcPr>
                  <w:tcW w:w="5326" w:type="dxa"/>
                  <w:vAlign w:val="center"/>
                </w:tcPr>
                <w:p>
                  <w:pPr>
                    <w:ind w:firstLine="132"/>
                    <w:jc w:val="center"/>
                    <w:rPr>
                      <w:szCs w:val="21"/>
                    </w:rPr>
                  </w:pPr>
                  <w:r>
                    <w:rPr>
                      <w:szCs w:val="21"/>
                    </w:rPr>
                    <w:t>占地面积</w:t>
                  </w:r>
                  <w:r>
                    <w:rPr>
                      <w:rFonts w:hint="eastAsia"/>
                      <w:szCs w:val="21"/>
                    </w:rPr>
                    <w:t>150</w:t>
                  </w:r>
                  <w:r>
                    <w:rPr>
                      <w:szCs w:val="21"/>
                    </w:rPr>
                    <w:t>m</w:t>
                  </w:r>
                  <w:r>
                    <w:rPr>
                      <w:szCs w:val="21"/>
                      <w:vertAlign w:val="superscript"/>
                    </w:rPr>
                    <w:t>2</w:t>
                  </w:r>
                  <w:r>
                    <w:rPr>
                      <w:rFonts w:hint="eastAsia"/>
                      <w:szCs w:val="21"/>
                    </w:rPr>
                    <w:t>，用于办公</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9" w:type="dxa"/>
                <w:cantSplit/>
                <w:trHeight w:val="454" w:hRule="atLeast"/>
                <w:jc w:val="center"/>
              </w:trPr>
              <w:tc>
                <w:tcPr>
                  <w:tcW w:w="683" w:type="dxa"/>
                  <w:vMerge w:val="restart"/>
                  <w:vAlign w:val="center"/>
                </w:tcPr>
                <w:p>
                  <w:pPr>
                    <w:jc w:val="center"/>
                    <w:rPr>
                      <w:kern w:val="36"/>
                      <w:szCs w:val="21"/>
                    </w:rPr>
                  </w:pPr>
                  <w:r>
                    <w:rPr>
                      <w:rFonts w:hint="eastAsia"/>
                      <w:kern w:val="36"/>
                      <w:szCs w:val="21"/>
                    </w:rPr>
                    <w:t>3</w:t>
                  </w:r>
                </w:p>
              </w:tc>
              <w:tc>
                <w:tcPr>
                  <w:tcW w:w="1276" w:type="dxa"/>
                  <w:vMerge w:val="restart"/>
                  <w:vAlign w:val="center"/>
                </w:tcPr>
                <w:p>
                  <w:pPr>
                    <w:jc w:val="center"/>
                    <w:rPr>
                      <w:kern w:val="36"/>
                      <w:szCs w:val="21"/>
                    </w:rPr>
                  </w:pPr>
                  <w:r>
                    <w:rPr>
                      <w:kern w:val="36"/>
                      <w:szCs w:val="21"/>
                    </w:rPr>
                    <w:t>环保工程</w:t>
                  </w:r>
                </w:p>
              </w:tc>
              <w:tc>
                <w:tcPr>
                  <w:tcW w:w="1199" w:type="dxa"/>
                  <w:vAlign w:val="center"/>
                </w:tcPr>
                <w:p>
                  <w:pPr>
                    <w:ind w:firstLine="132"/>
                    <w:jc w:val="center"/>
                    <w:rPr>
                      <w:kern w:val="36"/>
                      <w:szCs w:val="21"/>
                    </w:rPr>
                  </w:pPr>
                  <w:r>
                    <w:rPr>
                      <w:rFonts w:hint="eastAsia"/>
                      <w:kern w:val="36"/>
                      <w:szCs w:val="21"/>
                    </w:rPr>
                    <w:t>废气治理措施</w:t>
                  </w:r>
                </w:p>
              </w:tc>
              <w:tc>
                <w:tcPr>
                  <w:tcW w:w="5326" w:type="dxa"/>
                  <w:vAlign w:val="center"/>
                </w:tcPr>
                <w:p>
                  <w:pPr>
                    <w:ind w:firstLine="132"/>
                    <w:jc w:val="center"/>
                    <w:rPr>
                      <w:rFonts w:hint="default" w:eastAsia="宋体"/>
                      <w:kern w:val="36"/>
                      <w:szCs w:val="21"/>
                      <w:lang w:val="en-US" w:eastAsia="zh-CN"/>
                    </w:rPr>
                  </w:pPr>
                  <w:r>
                    <w:rPr>
                      <w:rFonts w:hint="eastAsia"/>
                      <w:kern w:val="36"/>
                      <w:szCs w:val="21"/>
                    </w:rPr>
                    <w:t>注塑废气经集气罩收集后由一套UV光催化氧化设备+活性炭吸附装置处理后，经15米高排气筒排放</w:t>
                  </w:r>
                  <w:r>
                    <w:rPr>
                      <w:rFonts w:hint="eastAsia"/>
                      <w:kern w:val="36"/>
                      <w:szCs w:val="21"/>
                      <w:lang w:eastAsia="zh-CN"/>
                    </w:rPr>
                    <w:t>，为</w:t>
                  </w:r>
                  <w:r>
                    <w:rPr>
                      <w:rFonts w:hint="eastAsia"/>
                      <w:kern w:val="36"/>
                      <w:szCs w:val="21"/>
                      <w:lang w:val="en-US" w:eastAsia="zh-CN"/>
                    </w:rPr>
                    <w:t>P1排放口</w:t>
                  </w:r>
                  <w:r>
                    <w:rPr>
                      <w:rFonts w:hint="eastAsia"/>
                      <w:kern w:val="36"/>
                      <w:szCs w:val="21"/>
                    </w:rPr>
                    <w:t>；破碎粉尘经集气罩收集后由袋式除尘器处理，经15米高排气筒排放</w:t>
                  </w:r>
                  <w:r>
                    <w:rPr>
                      <w:rFonts w:hint="eastAsia"/>
                      <w:kern w:val="36"/>
                      <w:szCs w:val="21"/>
                      <w:lang w:eastAsia="zh-CN"/>
                    </w:rPr>
                    <w:t>，为</w:t>
                  </w:r>
                  <w:r>
                    <w:rPr>
                      <w:rFonts w:hint="eastAsia"/>
                      <w:kern w:val="36"/>
                      <w:szCs w:val="21"/>
                      <w:lang w:val="en-US" w:eastAsia="zh-CN"/>
                    </w:rPr>
                    <w:t>P2排放口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9" w:type="dxa"/>
                <w:cantSplit/>
                <w:trHeight w:val="454" w:hRule="atLeast"/>
                <w:jc w:val="center"/>
              </w:trPr>
              <w:tc>
                <w:tcPr>
                  <w:tcW w:w="683" w:type="dxa"/>
                  <w:vMerge w:val="continue"/>
                  <w:vAlign w:val="center"/>
                </w:tcPr>
                <w:p>
                  <w:pPr>
                    <w:jc w:val="center"/>
                    <w:rPr>
                      <w:kern w:val="36"/>
                      <w:szCs w:val="21"/>
                    </w:rPr>
                  </w:pPr>
                </w:p>
              </w:tc>
              <w:tc>
                <w:tcPr>
                  <w:tcW w:w="1276" w:type="dxa"/>
                  <w:vMerge w:val="continue"/>
                  <w:vAlign w:val="center"/>
                </w:tcPr>
                <w:p>
                  <w:pPr>
                    <w:jc w:val="center"/>
                    <w:rPr>
                      <w:kern w:val="36"/>
                      <w:szCs w:val="21"/>
                    </w:rPr>
                  </w:pPr>
                </w:p>
              </w:tc>
              <w:tc>
                <w:tcPr>
                  <w:tcW w:w="1199" w:type="dxa"/>
                  <w:vAlign w:val="center"/>
                </w:tcPr>
                <w:p>
                  <w:pPr>
                    <w:ind w:firstLine="132"/>
                    <w:jc w:val="center"/>
                    <w:rPr>
                      <w:kern w:val="36"/>
                      <w:szCs w:val="21"/>
                    </w:rPr>
                  </w:pPr>
                  <w:r>
                    <w:rPr>
                      <w:kern w:val="36"/>
                      <w:szCs w:val="21"/>
                    </w:rPr>
                    <w:t>废水治理措施</w:t>
                  </w:r>
                </w:p>
              </w:tc>
              <w:tc>
                <w:tcPr>
                  <w:tcW w:w="5326" w:type="dxa"/>
                  <w:vAlign w:val="center"/>
                </w:tcPr>
                <w:p>
                  <w:pPr>
                    <w:ind w:firstLine="132"/>
                    <w:jc w:val="center"/>
                    <w:rPr>
                      <w:color w:val="FF0000"/>
                      <w:szCs w:val="21"/>
                    </w:rPr>
                  </w:pPr>
                  <w:r>
                    <w:rPr>
                      <w:rFonts w:hint="eastAsia"/>
                      <w:color w:val="000000" w:themeColor="text1"/>
                      <w:szCs w:val="21"/>
                      <w14:textFill>
                        <w14:solidFill>
                          <w14:schemeClr w14:val="tx1"/>
                        </w14:solidFill>
                      </w14:textFill>
                    </w:rPr>
                    <w:t>经</w:t>
                  </w:r>
                  <w:r>
                    <w:rPr>
                      <w:rFonts w:hint="eastAsia"/>
                      <w:color w:val="000000" w:themeColor="text1"/>
                      <w:kern w:val="36"/>
                      <w:szCs w:val="21"/>
                      <w14:textFill>
                        <w14:solidFill>
                          <w14:schemeClr w14:val="tx1"/>
                        </w14:solidFill>
                      </w14:textFill>
                    </w:rPr>
                    <w:t>化粪池处理后排入市政管网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9" w:type="dxa"/>
                <w:cantSplit/>
                <w:trHeight w:val="454" w:hRule="atLeast"/>
                <w:jc w:val="center"/>
              </w:trPr>
              <w:tc>
                <w:tcPr>
                  <w:tcW w:w="683" w:type="dxa"/>
                  <w:vMerge w:val="continue"/>
                  <w:vAlign w:val="center"/>
                </w:tcPr>
                <w:p>
                  <w:pPr>
                    <w:jc w:val="center"/>
                    <w:rPr>
                      <w:kern w:val="36"/>
                      <w:szCs w:val="21"/>
                    </w:rPr>
                  </w:pPr>
                </w:p>
              </w:tc>
              <w:tc>
                <w:tcPr>
                  <w:tcW w:w="1276" w:type="dxa"/>
                  <w:vMerge w:val="continue"/>
                  <w:vAlign w:val="center"/>
                </w:tcPr>
                <w:p>
                  <w:pPr>
                    <w:jc w:val="center"/>
                    <w:rPr>
                      <w:kern w:val="36"/>
                      <w:szCs w:val="21"/>
                    </w:rPr>
                  </w:pPr>
                </w:p>
              </w:tc>
              <w:tc>
                <w:tcPr>
                  <w:tcW w:w="1199" w:type="dxa"/>
                  <w:vAlign w:val="center"/>
                </w:tcPr>
                <w:p>
                  <w:pPr>
                    <w:ind w:firstLine="132"/>
                    <w:jc w:val="center"/>
                    <w:rPr>
                      <w:kern w:val="36"/>
                      <w:szCs w:val="21"/>
                    </w:rPr>
                  </w:pPr>
                  <w:r>
                    <w:rPr>
                      <w:kern w:val="36"/>
                      <w:szCs w:val="21"/>
                    </w:rPr>
                    <w:t>噪声治理措施</w:t>
                  </w:r>
                </w:p>
              </w:tc>
              <w:tc>
                <w:tcPr>
                  <w:tcW w:w="5326" w:type="dxa"/>
                  <w:vAlign w:val="center"/>
                </w:tcPr>
                <w:p>
                  <w:pPr>
                    <w:ind w:firstLine="132"/>
                    <w:jc w:val="center"/>
                    <w:rPr>
                      <w:szCs w:val="21"/>
                    </w:rPr>
                  </w:pPr>
                  <w:r>
                    <w:rPr>
                      <w:szCs w:val="21"/>
                    </w:rPr>
                    <w:t>设备减振、厂房隔声、距离衰减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9" w:type="dxa"/>
                <w:cantSplit/>
                <w:trHeight w:val="454" w:hRule="atLeast"/>
                <w:jc w:val="center"/>
              </w:trPr>
              <w:tc>
                <w:tcPr>
                  <w:tcW w:w="683" w:type="dxa"/>
                  <w:vMerge w:val="continue"/>
                  <w:vAlign w:val="center"/>
                </w:tcPr>
                <w:p>
                  <w:pPr>
                    <w:jc w:val="center"/>
                    <w:rPr>
                      <w:kern w:val="36"/>
                      <w:szCs w:val="21"/>
                    </w:rPr>
                  </w:pPr>
                </w:p>
              </w:tc>
              <w:tc>
                <w:tcPr>
                  <w:tcW w:w="1276" w:type="dxa"/>
                  <w:vMerge w:val="continue"/>
                  <w:vAlign w:val="center"/>
                </w:tcPr>
                <w:p>
                  <w:pPr>
                    <w:jc w:val="center"/>
                    <w:rPr>
                      <w:kern w:val="36"/>
                      <w:szCs w:val="21"/>
                    </w:rPr>
                  </w:pPr>
                </w:p>
              </w:tc>
              <w:tc>
                <w:tcPr>
                  <w:tcW w:w="1199" w:type="dxa"/>
                  <w:vAlign w:val="center"/>
                </w:tcPr>
                <w:p>
                  <w:pPr>
                    <w:ind w:firstLine="132"/>
                    <w:jc w:val="center"/>
                    <w:rPr>
                      <w:kern w:val="36"/>
                      <w:szCs w:val="21"/>
                    </w:rPr>
                  </w:pPr>
                  <w:r>
                    <w:rPr>
                      <w:kern w:val="36"/>
                      <w:szCs w:val="21"/>
                    </w:rPr>
                    <w:t>固废治理措施</w:t>
                  </w:r>
                </w:p>
              </w:tc>
              <w:tc>
                <w:tcPr>
                  <w:tcW w:w="5326" w:type="dxa"/>
                  <w:vAlign w:val="center"/>
                </w:tcPr>
                <w:p>
                  <w:pPr>
                    <w:ind w:firstLine="132"/>
                    <w:jc w:val="center"/>
                    <w:rPr>
                      <w:szCs w:val="21"/>
                    </w:rPr>
                  </w:pPr>
                  <w:r>
                    <w:rPr>
                      <w:szCs w:val="21"/>
                    </w:rPr>
                    <w:t>设置</w:t>
                  </w:r>
                  <w:r>
                    <w:rPr>
                      <w:rFonts w:hint="eastAsia"/>
                      <w:szCs w:val="21"/>
                    </w:rPr>
                    <w:t>一般固废暂存间</w:t>
                  </w:r>
                  <w:r>
                    <w:rPr>
                      <w:szCs w:val="21"/>
                    </w:rPr>
                    <w:t>1座</w:t>
                  </w:r>
                  <w:r>
                    <w:rPr>
                      <w:rFonts w:hint="eastAsia"/>
                      <w:szCs w:val="21"/>
                    </w:rPr>
                    <w:t>10</w:t>
                  </w:r>
                  <w:r>
                    <w:rPr>
                      <w:szCs w:val="21"/>
                    </w:rPr>
                    <w:t>m</w:t>
                  </w:r>
                  <w:r>
                    <w:rPr>
                      <w:szCs w:val="21"/>
                      <w:vertAlign w:val="superscript"/>
                    </w:rPr>
                    <w:t>2</w:t>
                  </w:r>
                  <w:r>
                    <w:rPr>
                      <w:szCs w:val="21"/>
                    </w:rPr>
                    <w:t>、设置危废暂存间1座</w:t>
                  </w:r>
                  <w:r>
                    <w:rPr>
                      <w:rFonts w:hint="eastAsia"/>
                      <w:szCs w:val="21"/>
                    </w:rPr>
                    <w:t>10</w:t>
                  </w:r>
                  <w:r>
                    <w:rPr>
                      <w:szCs w:val="21"/>
                    </w:rPr>
                    <w:t>m</w:t>
                  </w:r>
                  <w:r>
                    <w:rPr>
                      <w:szCs w:val="21"/>
                      <w:vertAlign w:val="superscript"/>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2" w:type="dxa"/>
                  <w:gridSpan w:val="2"/>
                  <w:vMerge w:val="restart"/>
                  <w:vAlign w:val="center"/>
                </w:tcPr>
                <w:p>
                  <w:pPr>
                    <w:jc w:val="center"/>
                    <w:rPr>
                      <w:kern w:val="36"/>
                      <w:szCs w:val="21"/>
                    </w:rPr>
                  </w:pPr>
                  <w:r>
                    <w:rPr>
                      <w:rFonts w:hint="eastAsia"/>
                      <w:kern w:val="36"/>
                      <w:szCs w:val="21"/>
                    </w:rPr>
                    <w:t>4</w:t>
                  </w:r>
                </w:p>
              </w:tc>
              <w:tc>
                <w:tcPr>
                  <w:tcW w:w="1276" w:type="dxa"/>
                  <w:vMerge w:val="restart"/>
                  <w:vAlign w:val="center"/>
                </w:tcPr>
                <w:p>
                  <w:pPr>
                    <w:jc w:val="center"/>
                    <w:rPr>
                      <w:kern w:val="36"/>
                      <w:szCs w:val="21"/>
                    </w:rPr>
                  </w:pPr>
                  <w:r>
                    <w:rPr>
                      <w:kern w:val="36"/>
                      <w:szCs w:val="21"/>
                    </w:rPr>
                    <w:t>公用工程</w:t>
                  </w:r>
                </w:p>
              </w:tc>
              <w:tc>
                <w:tcPr>
                  <w:tcW w:w="1199" w:type="dxa"/>
                  <w:vAlign w:val="center"/>
                </w:tcPr>
                <w:p>
                  <w:pPr>
                    <w:ind w:firstLine="132"/>
                    <w:jc w:val="center"/>
                    <w:rPr>
                      <w:kern w:val="36"/>
                      <w:szCs w:val="21"/>
                    </w:rPr>
                  </w:pPr>
                  <w:r>
                    <w:rPr>
                      <w:kern w:val="36"/>
                      <w:szCs w:val="21"/>
                    </w:rPr>
                    <w:t>给水</w:t>
                  </w:r>
                </w:p>
              </w:tc>
              <w:tc>
                <w:tcPr>
                  <w:tcW w:w="5326" w:type="dxa"/>
                  <w:vAlign w:val="center"/>
                </w:tcPr>
                <w:p>
                  <w:pPr>
                    <w:ind w:firstLine="132"/>
                    <w:jc w:val="center"/>
                    <w:rPr>
                      <w:kern w:val="36"/>
                      <w:szCs w:val="21"/>
                    </w:rPr>
                  </w:pPr>
                  <w:r>
                    <w:rPr>
                      <w:rFonts w:hint="eastAsia"/>
                      <w:kern w:val="36"/>
                      <w:szCs w:val="21"/>
                    </w:rPr>
                    <w:t>市政</w:t>
                  </w:r>
                  <w:r>
                    <w:rPr>
                      <w:szCs w:val="21"/>
                    </w:rPr>
                    <w:t>供给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2" w:type="dxa"/>
                  <w:gridSpan w:val="2"/>
                  <w:vMerge w:val="continue"/>
                  <w:vAlign w:val="center"/>
                </w:tcPr>
                <w:p>
                  <w:pPr>
                    <w:jc w:val="center"/>
                    <w:rPr>
                      <w:kern w:val="36"/>
                      <w:szCs w:val="21"/>
                    </w:rPr>
                  </w:pPr>
                </w:p>
              </w:tc>
              <w:tc>
                <w:tcPr>
                  <w:tcW w:w="1276" w:type="dxa"/>
                  <w:vMerge w:val="continue"/>
                  <w:vAlign w:val="center"/>
                </w:tcPr>
                <w:p>
                  <w:pPr>
                    <w:jc w:val="center"/>
                    <w:rPr>
                      <w:kern w:val="36"/>
                      <w:szCs w:val="21"/>
                    </w:rPr>
                  </w:pPr>
                </w:p>
              </w:tc>
              <w:tc>
                <w:tcPr>
                  <w:tcW w:w="1199" w:type="dxa"/>
                  <w:vAlign w:val="center"/>
                </w:tcPr>
                <w:p>
                  <w:pPr>
                    <w:ind w:firstLine="132"/>
                    <w:jc w:val="center"/>
                    <w:rPr>
                      <w:kern w:val="36"/>
                      <w:szCs w:val="21"/>
                    </w:rPr>
                  </w:pPr>
                  <w:r>
                    <w:rPr>
                      <w:kern w:val="36"/>
                      <w:szCs w:val="21"/>
                    </w:rPr>
                    <w:t>供电</w:t>
                  </w:r>
                </w:p>
              </w:tc>
              <w:tc>
                <w:tcPr>
                  <w:tcW w:w="5326" w:type="dxa"/>
                  <w:vAlign w:val="center"/>
                </w:tcPr>
                <w:p>
                  <w:pPr>
                    <w:jc w:val="center"/>
                    <w:rPr>
                      <w:kern w:val="36"/>
                      <w:szCs w:val="21"/>
                    </w:rPr>
                  </w:pPr>
                  <w:r>
                    <w:rPr>
                      <w:szCs w:val="21"/>
                    </w:rPr>
                    <w:t>国家电网供给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2" w:type="dxa"/>
                  <w:gridSpan w:val="2"/>
                  <w:vMerge w:val="continue"/>
                  <w:vAlign w:val="center"/>
                </w:tcPr>
                <w:p>
                  <w:pPr>
                    <w:jc w:val="center"/>
                    <w:rPr>
                      <w:kern w:val="36"/>
                      <w:szCs w:val="21"/>
                    </w:rPr>
                  </w:pPr>
                </w:p>
              </w:tc>
              <w:tc>
                <w:tcPr>
                  <w:tcW w:w="1276" w:type="dxa"/>
                  <w:vMerge w:val="continue"/>
                  <w:vAlign w:val="center"/>
                </w:tcPr>
                <w:p>
                  <w:pPr>
                    <w:jc w:val="center"/>
                    <w:rPr>
                      <w:kern w:val="36"/>
                      <w:szCs w:val="21"/>
                    </w:rPr>
                  </w:pPr>
                </w:p>
              </w:tc>
              <w:tc>
                <w:tcPr>
                  <w:tcW w:w="1199" w:type="dxa"/>
                  <w:vAlign w:val="center"/>
                </w:tcPr>
                <w:p>
                  <w:pPr>
                    <w:ind w:firstLine="132"/>
                    <w:jc w:val="center"/>
                    <w:rPr>
                      <w:kern w:val="36"/>
                      <w:szCs w:val="21"/>
                    </w:rPr>
                  </w:pPr>
                  <w:r>
                    <w:rPr>
                      <w:kern w:val="36"/>
                      <w:szCs w:val="21"/>
                    </w:rPr>
                    <w:t>排水</w:t>
                  </w:r>
                </w:p>
              </w:tc>
              <w:tc>
                <w:tcPr>
                  <w:tcW w:w="5326" w:type="dxa"/>
                  <w:vAlign w:val="center"/>
                </w:tcPr>
                <w:p>
                  <w:pPr>
                    <w:jc w:val="center"/>
                    <w:rPr>
                      <w:kern w:val="36"/>
                      <w:szCs w:val="21"/>
                    </w:rPr>
                  </w:pPr>
                  <w:r>
                    <w:rPr>
                      <w:rFonts w:hint="eastAsia"/>
                      <w:szCs w:val="21"/>
                    </w:rPr>
                    <w:t>经</w:t>
                  </w:r>
                  <w:r>
                    <w:rPr>
                      <w:szCs w:val="21"/>
                    </w:rPr>
                    <w:t>化粪池处理后</w:t>
                  </w:r>
                  <w:r>
                    <w:rPr>
                      <w:rFonts w:hint="eastAsia"/>
                      <w:szCs w:val="21"/>
                    </w:rPr>
                    <w:t>排入市政管网</w:t>
                  </w:r>
                </w:p>
              </w:tc>
            </w:tr>
          </w:tbl>
          <w:p>
            <w:pPr>
              <w:keepNext w:val="0"/>
              <w:keepLines w:val="0"/>
              <w:pageBreakBefore w:val="0"/>
              <w:widowControl w:val="0"/>
              <w:kinsoku/>
              <w:wordWrap/>
              <w:overflowPunct/>
              <w:topLinePunct w:val="0"/>
              <w:autoSpaceDE/>
              <w:autoSpaceDN/>
              <w:bidi w:val="0"/>
              <w:spacing w:line="240" w:lineRule="auto"/>
              <w:ind w:firstLine="422" w:firstLineChars="200"/>
              <w:textAlignment w:val="auto"/>
              <w:rPr>
                <w:b/>
              </w:rPr>
            </w:pP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b/>
                <w:sz w:val="24"/>
              </w:rPr>
            </w:pPr>
            <w:r>
              <w:rPr>
                <w:rFonts w:hint="eastAsia"/>
                <w:b/>
                <w:sz w:val="24"/>
              </w:rPr>
              <w:t>3、产品</w:t>
            </w:r>
          </w:p>
          <w:p>
            <w:pPr>
              <w:pStyle w:val="95"/>
              <w:adjustRightInd w:val="0"/>
              <w:snapToGrid w:val="0"/>
              <w:spacing w:line="240" w:lineRule="auto"/>
              <w:ind w:firstLine="0"/>
              <w:jc w:val="center"/>
              <w:rPr>
                <w:rFonts w:ascii="Times New Roman" w:hAnsi="Times New Roman" w:cs="Times New Roman"/>
                <w:b/>
                <w:lang w:val="pt-BR"/>
              </w:rPr>
            </w:pPr>
            <w:r>
              <w:rPr>
                <w:rFonts w:ascii="Times New Roman" w:hAnsi="Times New Roman" w:eastAsia="黑体" w:cs="Times New Roman"/>
                <w:sz w:val="24"/>
              </w:rPr>
              <w:t>表</w:t>
            </w:r>
            <w:r>
              <w:rPr>
                <w:rFonts w:hint="eastAsia" w:ascii="Times New Roman" w:hAnsi="Times New Roman" w:eastAsia="黑体" w:cs="Times New Roman"/>
                <w:sz w:val="24"/>
              </w:rPr>
              <w:t xml:space="preserve">3 </w:t>
            </w:r>
            <w:r>
              <w:rPr>
                <w:rFonts w:ascii="Times New Roman" w:hAnsi="Times New Roman" w:eastAsia="黑体" w:cs="Times New Roman"/>
                <w:sz w:val="24"/>
              </w:rPr>
              <w:t xml:space="preserve"> 产品规格一览表</w:t>
            </w:r>
          </w:p>
          <w:tbl>
            <w:tblPr>
              <w:tblStyle w:val="23"/>
              <w:tblW w:w="850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521"/>
              <w:gridCol w:w="2130"/>
              <w:gridCol w:w="290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Align w:val="center"/>
                </w:tcPr>
                <w:p>
                  <w:pPr>
                    <w:adjustRightInd w:val="0"/>
                    <w:snapToGrid w:val="0"/>
                    <w:jc w:val="center"/>
                    <w:rPr>
                      <w:snapToGrid w:val="0"/>
                      <w:kern w:val="21"/>
                      <w:szCs w:val="21"/>
                    </w:rPr>
                  </w:pPr>
                  <w:r>
                    <w:rPr>
                      <w:snapToGrid w:val="0"/>
                      <w:kern w:val="21"/>
                      <w:szCs w:val="21"/>
                    </w:rPr>
                    <w:t>序号</w:t>
                  </w:r>
                </w:p>
              </w:tc>
              <w:tc>
                <w:tcPr>
                  <w:tcW w:w="2521" w:type="dxa"/>
                  <w:vAlign w:val="center"/>
                </w:tcPr>
                <w:p>
                  <w:pPr>
                    <w:adjustRightInd w:val="0"/>
                    <w:snapToGrid w:val="0"/>
                    <w:jc w:val="center"/>
                    <w:rPr>
                      <w:snapToGrid w:val="0"/>
                      <w:kern w:val="21"/>
                      <w:szCs w:val="21"/>
                    </w:rPr>
                  </w:pPr>
                  <w:r>
                    <w:rPr>
                      <w:snapToGrid w:val="0"/>
                      <w:kern w:val="21"/>
                      <w:szCs w:val="21"/>
                    </w:rPr>
                    <w:t>名称</w:t>
                  </w:r>
                </w:p>
              </w:tc>
              <w:tc>
                <w:tcPr>
                  <w:tcW w:w="2130" w:type="dxa"/>
                  <w:vAlign w:val="center"/>
                </w:tcPr>
                <w:p>
                  <w:pPr>
                    <w:adjustRightInd w:val="0"/>
                    <w:snapToGrid w:val="0"/>
                    <w:jc w:val="center"/>
                    <w:rPr>
                      <w:snapToGrid w:val="0"/>
                      <w:kern w:val="21"/>
                      <w:szCs w:val="21"/>
                    </w:rPr>
                  </w:pPr>
                  <w:r>
                    <w:rPr>
                      <w:snapToGrid w:val="0"/>
                      <w:kern w:val="21"/>
                      <w:szCs w:val="21"/>
                    </w:rPr>
                    <w:t>数量</w:t>
                  </w:r>
                </w:p>
              </w:tc>
              <w:tc>
                <w:tcPr>
                  <w:tcW w:w="2909" w:type="dxa"/>
                  <w:vAlign w:val="center"/>
                </w:tcPr>
                <w:p>
                  <w:pPr>
                    <w:adjustRightInd w:val="0"/>
                    <w:snapToGrid w:val="0"/>
                    <w:jc w:val="center"/>
                    <w:rPr>
                      <w:snapToGrid w:val="0"/>
                      <w:kern w:val="21"/>
                      <w:szCs w:val="21"/>
                    </w:rPr>
                  </w:pPr>
                  <w:r>
                    <w:rPr>
                      <w:snapToGrid w:val="0"/>
                      <w:kern w:val="21"/>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Align w:val="center"/>
                </w:tcPr>
                <w:p>
                  <w:pPr>
                    <w:adjustRightInd w:val="0"/>
                    <w:snapToGrid w:val="0"/>
                    <w:jc w:val="center"/>
                    <w:rPr>
                      <w:snapToGrid w:val="0"/>
                      <w:kern w:val="21"/>
                      <w:szCs w:val="21"/>
                    </w:rPr>
                  </w:pPr>
                  <w:r>
                    <w:rPr>
                      <w:snapToGrid w:val="0"/>
                      <w:kern w:val="21"/>
                      <w:szCs w:val="21"/>
                    </w:rPr>
                    <w:t>1</w:t>
                  </w:r>
                </w:p>
              </w:tc>
              <w:tc>
                <w:tcPr>
                  <w:tcW w:w="2521" w:type="dxa"/>
                  <w:vAlign w:val="center"/>
                </w:tcPr>
                <w:p>
                  <w:pPr>
                    <w:adjustRightInd w:val="0"/>
                    <w:snapToGrid w:val="0"/>
                    <w:jc w:val="center"/>
                    <w:rPr>
                      <w:snapToGrid w:val="0"/>
                      <w:kern w:val="21"/>
                      <w:szCs w:val="21"/>
                    </w:rPr>
                  </w:pPr>
                  <w:r>
                    <w:rPr>
                      <w:rFonts w:hint="eastAsia"/>
                    </w:rPr>
                    <w:t>塑料配件</w:t>
                  </w:r>
                </w:p>
              </w:tc>
              <w:tc>
                <w:tcPr>
                  <w:tcW w:w="2130" w:type="dxa"/>
                  <w:vAlign w:val="center"/>
                </w:tcPr>
                <w:p>
                  <w:pPr>
                    <w:adjustRightInd w:val="0"/>
                    <w:snapToGrid w:val="0"/>
                    <w:jc w:val="center"/>
                    <w:rPr>
                      <w:snapToGrid w:val="0"/>
                      <w:kern w:val="21"/>
                      <w:szCs w:val="21"/>
                    </w:rPr>
                  </w:pPr>
                  <w:r>
                    <w:rPr>
                      <w:rFonts w:hint="eastAsia"/>
                      <w:snapToGrid w:val="0"/>
                      <w:kern w:val="21"/>
                      <w:szCs w:val="21"/>
                    </w:rPr>
                    <w:t>10万套</w:t>
                  </w:r>
                </w:p>
              </w:tc>
              <w:tc>
                <w:tcPr>
                  <w:tcW w:w="2909" w:type="dxa"/>
                  <w:vAlign w:val="center"/>
                </w:tcPr>
                <w:p>
                  <w:pPr>
                    <w:adjustRightInd w:val="0"/>
                    <w:snapToGrid w:val="0"/>
                    <w:jc w:val="center"/>
                    <w:rPr>
                      <w:snapToGrid w:val="0"/>
                      <w:kern w:val="21"/>
                      <w:szCs w:val="21"/>
                    </w:rPr>
                  </w:pPr>
                  <w:r>
                    <w:rPr>
                      <w:rFonts w:hint="eastAsia"/>
                      <w:snapToGrid w:val="0"/>
                      <w:kern w:val="21"/>
                      <w:szCs w:val="21"/>
                    </w:rPr>
                    <w:t>/</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rPr>
                <w:b/>
                <w:sz w:val="24"/>
              </w:rPr>
            </w:pP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bCs/>
                <w:sz w:val="24"/>
              </w:rPr>
            </w:pPr>
            <w:r>
              <w:rPr>
                <w:rFonts w:hint="eastAsia"/>
                <w:b/>
                <w:sz w:val="24"/>
              </w:rPr>
              <w:t>4</w:t>
            </w:r>
            <w:r>
              <w:rPr>
                <w:b/>
                <w:sz w:val="24"/>
              </w:rPr>
              <w:t>、主要生产设备</w:t>
            </w:r>
          </w:p>
          <w:p>
            <w:pPr>
              <w:adjustRightInd w:val="0"/>
              <w:snapToGrid w:val="0"/>
              <w:spacing w:line="360" w:lineRule="auto"/>
              <w:ind w:firstLine="480" w:firstLineChars="200"/>
              <w:rPr>
                <w:rFonts w:eastAsia="黑体"/>
                <w:sz w:val="24"/>
              </w:rPr>
            </w:pPr>
            <w:r>
              <w:rPr>
                <w:sz w:val="24"/>
              </w:rPr>
              <w:t>本项目主要生产设备如下表：</w:t>
            </w:r>
          </w:p>
          <w:p>
            <w:pPr>
              <w:pStyle w:val="95"/>
              <w:adjustRightInd w:val="0"/>
              <w:snapToGrid w:val="0"/>
              <w:spacing w:line="240" w:lineRule="auto"/>
              <w:ind w:firstLine="0"/>
              <w:jc w:val="center"/>
              <w:rPr>
                <w:rFonts w:ascii="Times New Roman" w:hAnsi="Times New Roman" w:eastAsia="黑体" w:cs="Times New Roman"/>
                <w:sz w:val="24"/>
              </w:rPr>
            </w:pPr>
            <w:r>
              <w:rPr>
                <w:rFonts w:ascii="Times New Roman" w:hAnsi="Times New Roman" w:eastAsia="黑体" w:cs="Times New Roman"/>
                <w:sz w:val="24"/>
              </w:rPr>
              <w:t>表</w:t>
            </w:r>
            <w:r>
              <w:rPr>
                <w:rFonts w:hint="eastAsia" w:ascii="Times New Roman" w:hAnsi="Times New Roman" w:eastAsia="黑体" w:cs="Times New Roman"/>
                <w:sz w:val="24"/>
              </w:rPr>
              <w:t>4</w:t>
            </w:r>
            <w:r>
              <w:rPr>
                <w:rFonts w:ascii="Times New Roman" w:hAnsi="Times New Roman" w:eastAsia="黑体" w:cs="Times New Roman"/>
                <w:sz w:val="24"/>
              </w:rPr>
              <w:t xml:space="preserve">  主要设备一览表</w:t>
            </w:r>
          </w:p>
          <w:tbl>
            <w:tblPr>
              <w:tblStyle w:val="23"/>
              <w:tblW w:w="8504"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80"/>
              <w:gridCol w:w="2112"/>
              <w:gridCol w:w="2472"/>
              <w:gridCol w:w="1032"/>
              <w:gridCol w:w="2008"/>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0" w:type="dxa"/>
                  <w:vAlign w:val="center"/>
                </w:tcPr>
                <w:p>
                  <w:pPr>
                    <w:jc w:val="center"/>
                    <w:rPr>
                      <w:caps/>
                      <w:szCs w:val="21"/>
                    </w:rPr>
                  </w:pPr>
                  <w:r>
                    <w:rPr>
                      <w:caps/>
                      <w:szCs w:val="21"/>
                    </w:rPr>
                    <w:t>序号</w:t>
                  </w:r>
                </w:p>
              </w:tc>
              <w:tc>
                <w:tcPr>
                  <w:tcW w:w="2112" w:type="dxa"/>
                  <w:vAlign w:val="center"/>
                </w:tcPr>
                <w:p>
                  <w:pPr>
                    <w:jc w:val="center"/>
                    <w:rPr>
                      <w:caps/>
                      <w:szCs w:val="21"/>
                    </w:rPr>
                  </w:pPr>
                  <w:r>
                    <w:rPr>
                      <w:caps/>
                      <w:szCs w:val="21"/>
                    </w:rPr>
                    <w:t>设备名称</w:t>
                  </w:r>
                </w:p>
              </w:tc>
              <w:tc>
                <w:tcPr>
                  <w:tcW w:w="2472" w:type="dxa"/>
                  <w:vAlign w:val="center"/>
                </w:tcPr>
                <w:p>
                  <w:pPr>
                    <w:jc w:val="center"/>
                    <w:rPr>
                      <w:caps/>
                      <w:szCs w:val="21"/>
                    </w:rPr>
                  </w:pPr>
                  <w:r>
                    <w:rPr>
                      <w:caps/>
                      <w:szCs w:val="21"/>
                    </w:rPr>
                    <w:t>型号</w:t>
                  </w:r>
                </w:p>
              </w:tc>
              <w:tc>
                <w:tcPr>
                  <w:tcW w:w="1032" w:type="dxa"/>
                  <w:vAlign w:val="center"/>
                </w:tcPr>
                <w:p>
                  <w:pPr>
                    <w:jc w:val="center"/>
                    <w:rPr>
                      <w:caps/>
                      <w:szCs w:val="21"/>
                    </w:rPr>
                  </w:pPr>
                  <w:r>
                    <w:rPr>
                      <w:caps/>
                      <w:szCs w:val="21"/>
                    </w:rPr>
                    <w:t>数量</w:t>
                  </w:r>
                </w:p>
              </w:tc>
              <w:tc>
                <w:tcPr>
                  <w:tcW w:w="2008" w:type="dxa"/>
                  <w:vAlign w:val="center"/>
                </w:tcPr>
                <w:p>
                  <w:pPr>
                    <w:jc w:val="center"/>
                    <w:rPr>
                      <w:caps/>
                      <w:szCs w:val="21"/>
                    </w:rPr>
                  </w:pPr>
                  <w:r>
                    <w:rPr>
                      <w:rFonts w:hint="eastAsia"/>
                      <w:caps/>
                      <w:szCs w:val="21"/>
                    </w:rPr>
                    <w:t>备注</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880" w:type="dxa"/>
                  <w:vAlign w:val="center"/>
                </w:tcPr>
                <w:p>
                  <w:pPr>
                    <w:jc w:val="center"/>
                  </w:pPr>
                  <w:r>
                    <w:rPr>
                      <w:rFonts w:hint="eastAsia"/>
                    </w:rPr>
                    <w:t>1</w:t>
                  </w:r>
                </w:p>
              </w:tc>
              <w:tc>
                <w:tcPr>
                  <w:tcW w:w="2112" w:type="dxa"/>
                  <w:vAlign w:val="center"/>
                </w:tcPr>
                <w:p>
                  <w:pPr>
                    <w:widowControl/>
                    <w:adjustRightInd w:val="0"/>
                    <w:snapToGrid w:val="0"/>
                    <w:jc w:val="center"/>
                    <w:textAlignment w:val="center"/>
                    <w:rPr>
                      <w:szCs w:val="21"/>
                    </w:rPr>
                  </w:pPr>
                  <w:r>
                    <w:rPr>
                      <w:rFonts w:hint="eastAsia"/>
                      <w:szCs w:val="21"/>
                    </w:rPr>
                    <w:t>塑料注塑机</w:t>
                  </w:r>
                </w:p>
              </w:tc>
              <w:tc>
                <w:tcPr>
                  <w:tcW w:w="2472" w:type="dxa"/>
                  <w:vAlign w:val="center"/>
                </w:tcPr>
                <w:p>
                  <w:pPr>
                    <w:widowControl/>
                    <w:adjustRightInd w:val="0"/>
                    <w:snapToGrid w:val="0"/>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032" w:type="dxa"/>
                  <w:vAlign w:val="center"/>
                </w:tcPr>
                <w:p>
                  <w:pPr>
                    <w:adjustRightInd w:val="0"/>
                    <w:snapToGrid w:val="0"/>
                    <w:jc w:val="center"/>
                  </w:pPr>
                  <w:r>
                    <w:rPr>
                      <w:rFonts w:hint="eastAsia"/>
                      <w:lang w:val="en-US" w:eastAsia="zh-CN"/>
                    </w:rPr>
                    <w:t>2</w:t>
                  </w:r>
                  <w:r>
                    <w:rPr>
                      <w:rFonts w:hint="eastAsia"/>
                    </w:rPr>
                    <w:t>台</w:t>
                  </w:r>
                </w:p>
              </w:tc>
              <w:tc>
                <w:tcPr>
                  <w:tcW w:w="2008" w:type="dxa"/>
                  <w:vAlign w:val="center"/>
                </w:tcPr>
                <w:p>
                  <w:pPr>
                    <w:adjustRightInd w:val="0"/>
                    <w:snapToGrid w:val="0"/>
                    <w:jc w:val="center"/>
                  </w:pPr>
                  <w:r>
                    <w:rPr>
                      <w:rFonts w:hint="eastAsia"/>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880" w:type="dxa"/>
                  <w:vMerge w:val="restart"/>
                  <w:vAlign w:val="center"/>
                </w:tcPr>
                <w:p>
                  <w:pPr>
                    <w:jc w:val="center"/>
                    <w:rPr>
                      <w:caps/>
                      <w:szCs w:val="21"/>
                    </w:rPr>
                  </w:pPr>
                  <w:r>
                    <w:rPr>
                      <w:rFonts w:hint="eastAsia"/>
                      <w:caps/>
                      <w:szCs w:val="21"/>
                    </w:rPr>
                    <w:t>2</w:t>
                  </w:r>
                </w:p>
              </w:tc>
              <w:tc>
                <w:tcPr>
                  <w:tcW w:w="2112" w:type="dxa"/>
                  <w:vMerge w:val="restart"/>
                  <w:vAlign w:val="center"/>
                </w:tcPr>
                <w:p>
                  <w:pPr>
                    <w:widowControl/>
                    <w:adjustRightInd w:val="0"/>
                    <w:snapToGrid w:val="0"/>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塑料挤出机</w:t>
                  </w:r>
                </w:p>
              </w:tc>
              <w:tc>
                <w:tcPr>
                  <w:tcW w:w="2472" w:type="dxa"/>
                  <w:vAlign w:val="center"/>
                </w:tcPr>
                <w:p>
                  <w:pPr>
                    <w:widowControl/>
                    <w:adjustRightInd w:val="0"/>
                    <w:snapToGrid w:val="0"/>
                    <w:jc w:val="center"/>
                    <w:textAlignment w:val="center"/>
                    <w:rPr>
                      <w:color w:val="000000" w:themeColor="text1"/>
                      <w:kern w:val="0"/>
                      <w:sz w:val="22"/>
                      <w:szCs w:val="22"/>
                      <w:lang w:bidi="ar"/>
                      <w14:textFill>
                        <w14:solidFill>
                          <w14:schemeClr w14:val="tx1"/>
                        </w14:solidFill>
                      </w14:textFill>
                    </w:rPr>
                  </w:pPr>
                  <w:r>
                    <w:rPr>
                      <w:rFonts w:hint="eastAsia"/>
                      <w:color w:val="000000" w:themeColor="text1"/>
                      <w:kern w:val="0"/>
                      <w:sz w:val="22"/>
                      <w:szCs w:val="22"/>
                      <w:lang w:bidi="ar"/>
                      <w14:textFill>
                        <w14:solidFill>
                          <w14:schemeClr w14:val="tx1"/>
                        </w14:solidFill>
                      </w14:textFill>
                    </w:rPr>
                    <w:t>PE65-3</w:t>
                  </w:r>
                </w:p>
              </w:tc>
              <w:tc>
                <w:tcPr>
                  <w:tcW w:w="1032"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2台</w:t>
                  </w:r>
                </w:p>
              </w:tc>
              <w:tc>
                <w:tcPr>
                  <w:tcW w:w="2008" w:type="dxa"/>
                  <w:vMerge w:val="restart"/>
                  <w:vAlign w:val="center"/>
                </w:tcPr>
                <w:p>
                  <w:pPr>
                    <w:adjustRightInd w:val="0"/>
                    <w:snapToGrid w:val="0"/>
                    <w:jc w:val="center"/>
                  </w:pPr>
                  <w:r>
                    <w:rPr>
                      <w:rFonts w:hint="eastAsia"/>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880" w:type="dxa"/>
                  <w:vMerge w:val="continue"/>
                  <w:vAlign w:val="center"/>
                </w:tcPr>
                <w:p>
                  <w:pPr>
                    <w:widowControl/>
                    <w:adjustRightInd w:val="0"/>
                    <w:snapToGrid w:val="0"/>
                    <w:jc w:val="center"/>
                    <w:textAlignment w:val="center"/>
                  </w:pPr>
                </w:p>
              </w:tc>
              <w:tc>
                <w:tcPr>
                  <w:tcW w:w="2112" w:type="dxa"/>
                  <w:vMerge w:val="continue"/>
                  <w:vAlign w:val="center"/>
                </w:tcPr>
                <w:p>
                  <w:pPr>
                    <w:widowControl/>
                    <w:adjustRightInd w:val="0"/>
                    <w:snapToGrid w:val="0"/>
                    <w:jc w:val="center"/>
                    <w:textAlignment w:val="center"/>
                  </w:pPr>
                </w:p>
              </w:tc>
              <w:tc>
                <w:tcPr>
                  <w:tcW w:w="2472" w:type="dxa"/>
                  <w:vAlign w:val="center"/>
                </w:tcPr>
                <w:p>
                  <w:pPr>
                    <w:widowControl/>
                    <w:adjustRightInd w:val="0"/>
                    <w:snapToGrid w:val="0"/>
                    <w:jc w:val="center"/>
                    <w:textAlignment w:val="center"/>
                    <w:rPr>
                      <w:rFonts w:hint="eastAsia"/>
                      <w:color w:val="000000" w:themeColor="text1"/>
                      <w:kern w:val="0"/>
                      <w:sz w:val="22"/>
                      <w:szCs w:val="22"/>
                      <w:lang w:bidi="ar"/>
                      <w14:textFill>
                        <w14:solidFill>
                          <w14:schemeClr w14:val="tx1"/>
                        </w14:solidFill>
                      </w14:textFill>
                    </w:rPr>
                  </w:pPr>
                  <w:r>
                    <w:rPr>
                      <w:rFonts w:hint="eastAsia"/>
                      <w:color w:val="000000" w:themeColor="text1"/>
                      <w:kern w:val="0"/>
                      <w:sz w:val="22"/>
                      <w:szCs w:val="22"/>
                      <w:lang w:bidi="ar"/>
                      <w14:textFill>
                        <w14:solidFill>
                          <w14:schemeClr w14:val="tx1"/>
                        </w14:solidFill>
                      </w14:textFill>
                    </w:rPr>
                    <w:t>PE55-3</w:t>
                  </w:r>
                </w:p>
              </w:tc>
              <w:tc>
                <w:tcPr>
                  <w:tcW w:w="1032" w:type="dxa"/>
                  <w:vAlign w:val="center"/>
                </w:tcPr>
                <w:p>
                  <w:pPr>
                    <w:widowControl/>
                    <w:adjustRightInd w:val="0"/>
                    <w:snapToGrid w:val="0"/>
                    <w:jc w:val="center"/>
                    <w:textAlignment w:val="center"/>
                    <w:rPr>
                      <w:rFonts w:hint="eastAsia" w:eastAsia="宋体"/>
                      <w:color w:val="000000" w:themeColor="text1"/>
                      <w:kern w:val="0"/>
                      <w:sz w:val="22"/>
                      <w:szCs w:val="22"/>
                      <w:lang w:val="en-US" w:eastAsia="zh-CN" w:bidi="ar"/>
                      <w14:textFill>
                        <w14:solidFill>
                          <w14:schemeClr w14:val="tx1"/>
                        </w14:solidFill>
                      </w14:textFill>
                    </w:rPr>
                  </w:pPr>
                  <w:r>
                    <w:rPr>
                      <w:rFonts w:hint="eastAsia"/>
                      <w:color w:val="000000" w:themeColor="text1"/>
                      <w:kern w:val="0"/>
                      <w:sz w:val="22"/>
                      <w:szCs w:val="22"/>
                      <w:lang w:val="en-US" w:eastAsia="zh-CN" w:bidi="ar"/>
                      <w14:textFill>
                        <w14:solidFill>
                          <w14:schemeClr w14:val="tx1"/>
                        </w14:solidFill>
                      </w14:textFill>
                    </w:rPr>
                    <w:t>1台</w:t>
                  </w:r>
                </w:p>
              </w:tc>
              <w:tc>
                <w:tcPr>
                  <w:tcW w:w="2008" w:type="dxa"/>
                  <w:vMerge w:val="continue"/>
                  <w:vAlign w:val="center"/>
                </w:tcPr>
                <w:p>
                  <w:pPr>
                    <w:widowControl/>
                    <w:adjustRightInd w:val="0"/>
                    <w:snapToGrid w:val="0"/>
                    <w:jc w:val="center"/>
                    <w:textAlignment w:val="center"/>
                    <w:rPr>
                      <w:rFonts w:hint="eastAsia"/>
                      <w:color w:val="FF0000"/>
                      <w:kern w:val="0"/>
                      <w:sz w:val="22"/>
                      <w:szCs w:val="22"/>
                      <w:lang w:bidi="ar"/>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880" w:type="dxa"/>
                  <w:vMerge w:val="restart"/>
                  <w:vAlign w:val="center"/>
                </w:tcPr>
                <w:p>
                  <w:pPr>
                    <w:jc w:val="center"/>
                    <w:rPr>
                      <w:caps/>
                      <w:szCs w:val="21"/>
                    </w:rPr>
                  </w:pPr>
                  <w:r>
                    <w:rPr>
                      <w:rFonts w:hint="eastAsia"/>
                      <w:caps/>
                      <w:szCs w:val="21"/>
                    </w:rPr>
                    <w:t>3</w:t>
                  </w:r>
                </w:p>
              </w:tc>
              <w:tc>
                <w:tcPr>
                  <w:tcW w:w="2112" w:type="dxa"/>
                  <w:vMerge w:val="restart"/>
                  <w:vAlign w:val="center"/>
                </w:tcPr>
                <w:p>
                  <w:pPr>
                    <w:widowControl/>
                    <w:adjustRightInd w:val="0"/>
                    <w:snapToGrid w:val="0"/>
                    <w:jc w:val="center"/>
                    <w:textAlignment w:val="center"/>
                    <w:rPr>
                      <w:rFonts w:hint="default"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吹瓶机</w:t>
                  </w:r>
                </w:p>
              </w:tc>
              <w:tc>
                <w:tcPr>
                  <w:tcW w:w="2472" w:type="dxa"/>
                  <w:vAlign w:val="center"/>
                </w:tcPr>
                <w:p>
                  <w:pPr>
                    <w:widowControl/>
                    <w:adjustRightInd w:val="0"/>
                    <w:snapToGrid w:val="0"/>
                    <w:jc w:val="center"/>
                    <w:textAlignment w:val="center"/>
                    <w:rPr>
                      <w:rFonts w:hint="eastAsia" w:eastAsia="宋体"/>
                      <w:color w:val="000000" w:themeColor="text1"/>
                      <w:kern w:val="0"/>
                      <w:sz w:val="22"/>
                      <w:szCs w:val="22"/>
                      <w:lang w:eastAsia="zh-CN" w:bidi="ar"/>
                      <w14:textFill>
                        <w14:solidFill>
                          <w14:schemeClr w14:val="tx1"/>
                        </w14:solidFill>
                      </w14:textFill>
                    </w:rPr>
                  </w:pPr>
                  <w:r>
                    <w:rPr>
                      <w:rFonts w:hint="eastAsia" w:eastAsia="宋体"/>
                      <w:color w:val="000000" w:themeColor="text1"/>
                      <w:kern w:val="0"/>
                      <w:sz w:val="22"/>
                      <w:szCs w:val="22"/>
                      <w:lang w:eastAsia="zh-CN" w:bidi="ar"/>
                      <w14:textFill>
                        <w14:solidFill>
                          <w14:schemeClr w14:val="tx1"/>
                        </w14:solidFill>
                      </w14:textFill>
                    </w:rPr>
                    <w:t>BX-35</w:t>
                  </w:r>
                </w:p>
              </w:tc>
              <w:tc>
                <w:tcPr>
                  <w:tcW w:w="1032" w:type="dxa"/>
                  <w:vAlign w:val="center"/>
                </w:tcPr>
                <w:p>
                  <w:pPr>
                    <w:adjustRightInd w:val="0"/>
                    <w:snapToGrid w:val="0"/>
                    <w:jc w:val="center"/>
                    <w:rPr>
                      <w:rFonts w:hint="eastAsia" w:eastAsia="宋体"/>
                      <w:lang w:val="en-US" w:eastAsia="zh-CN"/>
                    </w:rPr>
                  </w:pPr>
                  <w:r>
                    <w:rPr>
                      <w:rFonts w:hint="eastAsia"/>
                      <w:lang w:val="en-US" w:eastAsia="zh-CN"/>
                    </w:rPr>
                    <w:t>1台</w:t>
                  </w:r>
                </w:p>
              </w:tc>
              <w:tc>
                <w:tcPr>
                  <w:tcW w:w="2008" w:type="dxa"/>
                  <w:vMerge w:val="restart"/>
                  <w:vAlign w:val="center"/>
                </w:tcPr>
                <w:p>
                  <w:pPr>
                    <w:adjustRightInd w:val="0"/>
                    <w:snapToGrid w:val="0"/>
                    <w:jc w:val="center"/>
                  </w:pPr>
                  <w:r>
                    <w:rPr>
                      <w:rFonts w:hint="eastAsia"/>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880" w:type="dxa"/>
                  <w:vMerge w:val="continue"/>
                  <w:vAlign w:val="center"/>
                </w:tcPr>
                <w:p>
                  <w:pPr>
                    <w:widowControl/>
                    <w:adjustRightInd w:val="0"/>
                    <w:snapToGrid w:val="0"/>
                    <w:jc w:val="center"/>
                    <w:textAlignment w:val="center"/>
                  </w:pPr>
                </w:p>
              </w:tc>
              <w:tc>
                <w:tcPr>
                  <w:tcW w:w="2112" w:type="dxa"/>
                  <w:vMerge w:val="continue"/>
                  <w:vAlign w:val="center"/>
                </w:tcPr>
                <w:p>
                  <w:pPr>
                    <w:widowControl/>
                    <w:adjustRightInd w:val="0"/>
                    <w:snapToGrid w:val="0"/>
                    <w:jc w:val="center"/>
                    <w:textAlignment w:val="center"/>
                  </w:pPr>
                </w:p>
              </w:tc>
              <w:tc>
                <w:tcPr>
                  <w:tcW w:w="2472" w:type="dxa"/>
                  <w:vAlign w:val="center"/>
                </w:tcPr>
                <w:p>
                  <w:pPr>
                    <w:widowControl/>
                    <w:adjustRightInd w:val="0"/>
                    <w:snapToGrid w:val="0"/>
                    <w:jc w:val="center"/>
                    <w:textAlignment w:val="center"/>
                    <w:rPr>
                      <w:rFonts w:hint="eastAsia" w:eastAsia="宋体"/>
                      <w:color w:val="000000" w:themeColor="text1"/>
                      <w:kern w:val="0"/>
                      <w:sz w:val="22"/>
                      <w:szCs w:val="22"/>
                      <w:lang w:eastAsia="zh-CN" w:bidi="ar"/>
                      <w14:textFill>
                        <w14:solidFill>
                          <w14:schemeClr w14:val="tx1"/>
                        </w14:solidFill>
                      </w14:textFill>
                    </w:rPr>
                  </w:pPr>
                  <w:r>
                    <w:rPr>
                      <w:rFonts w:hint="eastAsia" w:eastAsia="宋体"/>
                      <w:color w:val="000000" w:themeColor="text1"/>
                      <w:kern w:val="0"/>
                      <w:sz w:val="22"/>
                      <w:szCs w:val="22"/>
                      <w:lang w:eastAsia="zh-CN" w:bidi="ar"/>
                      <w14:textFill>
                        <w14:solidFill>
                          <w14:schemeClr w14:val="tx1"/>
                        </w14:solidFill>
                      </w14:textFill>
                    </w:rPr>
                    <w:t>Jx-25</w:t>
                  </w:r>
                </w:p>
              </w:tc>
              <w:tc>
                <w:tcPr>
                  <w:tcW w:w="1032" w:type="dxa"/>
                  <w:vAlign w:val="center"/>
                </w:tcPr>
                <w:p>
                  <w:pPr>
                    <w:widowControl/>
                    <w:adjustRightInd w:val="0"/>
                    <w:snapToGrid w:val="0"/>
                    <w:jc w:val="center"/>
                    <w:textAlignment w:val="center"/>
                    <w:rPr>
                      <w:rFonts w:hint="default" w:eastAsia="宋体"/>
                      <w:color w:val="FF0000"/>
                      <w:kern w:val="0"/>
                      <w:sz w:val="22"/>
                      <w:szCs w:val="22"/>
                      <w:lang w:val="en-US" w:eastAsia="zh-CN" w:bidi="ar"/>
                    </w:rPr>
                  </w:pPr>
                  <w:r>
                    <w:rPr>
                      <w:rFonts w:hint="eastAsia"/>
                      <w:color w:val="000000" w:themeColor="text1"/>
                      <w:kern w:val="0"/>
                      <w:sz w:val="22"/>
                      <w:szCs w:val="22"/>
                      <w:lang w:val="en-US" w:eastAsia="zh-CN" w:bidi="ar"/>
                      <w14:textFill>
                        <w14:solidFill>
                          <w14:schemeClr w14:val="tx1"/>
                        </w14:solidFill>
                      </w14:textFill>
                    </w:rPr>
                    <w:t>1台</w:t>
                  </w:r>
                </w:p>
              </w:tc>
              <w:tc>
                <w:tcPr>
                  <w:tcW w:w="2008" w:type="dxa"/>
                  <w:vMerge w:val="continue"/>
                  <w:vAlign w:val="center"/>
                </w:tcPr>
                <w:p>
                  <w:pPr>
                    <w:widowControl/>
                    <w:adjustRightInd w:val="0"/>
                    <w:snapToGrid w:val="0"/>
                    <w:jc w:val="center"/>
                    <w:textAlignment w:val="center"/>
                    <w:rPr>
                      <w:rFonts w:hint="eastAsia" w:eastAsia="宋体"/>
                      <w:color w:val="FF0000"/>
                      <w:kern w:val="0"/>
                      <w:sz w:val="22"/>
                      <w:szCs w:val="22"/>
                      <w:lang w:eastAsia="zh-CN" w:bidi="ar"/>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0" w:type="dxa"/>
                  <w:vAlign w:val="center"/>
                </w:tcPr>
                <w:p>
                  <w:pPr>
                    <w:jc w:val="center"/>
                    <w:rPr>
                      <w:caps/>
                      <w:szCs w:val="21"/>
                    </w:rPr>
                  </w:pPr>
                  <w:r>
                    <w:rPr>
                      <w:rFonts w:hint="eastAsia"/>
                      <w:caps/>
                      <w:szCs w:val="21"/>
                    </w:rPr>
                    <w:t>4</w:t>
                  </w:r>
                </w:p>
              </w:tc>
              <w:tc>
                <w:tcPr>
                  <w:tcW w:w="2112" w:type="dxa"/>
                  <w:vAlign w:val="center"/>
                </w:tcPr>
                <w:p>
                  <w:pPr>
                    <w:widowControl/>
                    <w:adjustRightInd w:val="0"/>
                    <w:snapToGrid w:val="0"/>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破碎机</w:t>
                  </w:r>
                </w:p>
              </w:tc>
              <w:tc>
                <w:tcPr>
                  <w:tcW w:w="2472" w:type="dxa"/>
                  <w:vAlign w:val="center"/>
                </w:tcPr>
                <w:p>
                  <w:pPr>
                    <w:widowControl/>
                    <w:adjustRightInd w:val="0"/>
                    <w:snapToGrid w:val="0"/>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w:t>
                  </w:r>
                </w:p>
              </w:tc>
              <w:tc>
                <w:tcPr>
                  <w:tcW w:w="1032" w:type="dxa"/>
                  <w:vAlign w:val="center"/>
                </w:tcPr>
                <w:p>
                  <w:pPr>
                    <w:adjustRightInd w:val="0"/>
                    <w:snapToGrid w:val="0"/>
                    <w:jc w:val="center"/>
                  </w:pPr>
                  <w:r>
                    <w:rPr>
                      <w:rFonts w:hint="eastAsia"/>
                    </w:rPr>
                    <w:t>1台</w:t>
                  </w:r>
                </w:p>
              </w:tc>
              <w:tc>
                <w:tcPr>
                  <w:tcW w:w="2008" w:type="dxa"/>
                  <w:vAlign w:val="center"/>
                </w:tcPr>
                <w:p>
                  <w:pPr>
                    <w:adjustRightInd w:val="0"/>
                    <w:snapToGrid w:val="0"/>
                    <w:jc w:val="center"/>
                  </w:pPr>
                  <w:r>
                    <w:rPr>
                      <w:rFonts w:hint="eastAsia"/>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80" w:type="dxa"/>
                  <w:vAlign w:val="center"/>
                </w:tcPr>
                <w:p>
                  <w:pPr>
                    <w:jc w:val="center"/>
                    <w:rPr>
                      <w:rFonts w:hint="eastAsia" w:eastAsia="宋体"/>
                      <w:caps/>
                      <w:szCs w:val="21"/>
                      <w:lang w:val="en-US" w:eastAsia="zh-CN"/>
                    </w:rPr>
                  </w:pPr>
                  <w:r>
                    <w:rPr>
                      <w:rFonts w:hint="eastAsia"/>
                      <w:caps/>
                      <w:szCs w:val="21"/>
                      <w:lang w:val="en-US" w:eastAsia="zh-CN"/>
                    </w:rPr>
                    <w:t>5</w:t>
                  </w:r>
                </w:p>
              </w:tc>
              <w:tc>
                <w:tcPr>
                  <w:tcW w:w="2112" w:type="dxa"/>
                  <w:vAlign w:val="center"/>
                </w:tcPr>
                <w:p>
                  <w:pPr>
                    <w:widowControl/>
                    <w:adjustRightInd w:val="0"/>
                    <w:snapToGrid w:val="0"/>
                    <w:jc w:val="center"/>
                    <w:textAlignment w:val="center"/>
                    <w:rPr>
                      <w:rFonts w:hint="eastAsia" w:ascii="宋体" w:hAnsi="宋体" w:cs="宋体"/>
                      <w:color w:val="000000"/>
                      <w:kern w:val="0"/>
                      <w:sz w:val="22"/>
                      <w:szCs w:val="22"/>
                      <w:lang w:bidi="ar"/>
                    </w:rPr>
                  </w:pPr>
                  <w:r>
                    <w:rPr>
                      <w:rFonts w:ascii="宋体" w:hAnsi="宋体" w:cs="宋体"/>
                      <w:color w:val="000000"/>
                      <w:kern w:val="0"/>
                      <w:sz w:val="22"/>
                      <w:szCs w:val="22"/>
                      <w:lang w:bidi="ar"/>
                    </w:rPr>
                    <w:t>搅拌机</w:t>
                  </w:r>
                </w:p>
              </w:tc>
              <w:tc>
                <w:tcPr>
                  <w:tcW w:w="2472" w:type="dxa"/>
                  <w:vAlign w:val="center"/>
                </w:tcPr>
                <w:p>
                  <w:pPr>
                    <w:widowControl/>
                    <w:adjustRightInd w:val="0"/>
                    <w:snapToGrid w:val="0"/>
                    <w:jc w:val="center"/>
                    <w:textAlignment w:val="center"/>
                    <w:rPr>
                      <w:rFonts w:hint="default"/>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w:t>
                  </w:r>
                </w:p>
              </w:tc>
              <w:tc>
                <w:tcPr>
                  <w:tcW w:w="1032" w:type="dxa"/>
                  <w:vAlign w:val="center"/>
                </w:tcPr>
                <w:p>
                  <w:pPr>
                    <w:adjustRightInd w:val="0"/>
                    <w:snapToGrid w:val="0"/>
                    <w:jc w:val="center"/>
                    <w:rPr>
                      <w:rFonts w:hint="eastAsia"/>
                    </w:rPr>
                  </w:pPr>
                  <w:r>
                    <w:rPr>
                      <w:rFonts w:hint="eastAsia"/>
                    </w:rPr>
                    <w:t>1台</w:t>
                  </w:r>
                </w:p>
              </w:tc>
              <w:tc>
                <w:tcPr>
                  <w:tcW w:w="2008" w:type="dxa"/>
                  <w:vAlign w:val="center"/>
                </w:tcPr>
                <w:p>
                  <w:pPr>
                    <w:adjustRightInd w:val="0"/>
                    <w:snapToGrid w:val="0"/>
                    <w:jc w:val="center"/>
                    <w:rPr>
                      <w:rFonts w:hint="eastAsia"/>
                    </w:rPr>
                  </w:pPr>
                </w:p>
              </w:tc>
            </w:tr>
          </w:tbl>
          <w:p>
            <w:pPr>
              <w:adjustRightInd w:val="0"/>
              <w:snapToGrid w:val="0"/>
              <w:spacing w:line="360" w:lineRule="auto"/>
              <w:ind w:firstLine="480" w:firstLineChars="200"/>
              <w:rPr>
                <w:bCs/>
                <w:sz w:val="24"/>
              </w:rPr>
            </w:pPr>
            <w:r>
              <w:rPr>
                <w:bCs/>
                <w:sz w:val="24"/>
              </w:rPr>
              <w:t>本项目所用设备均不属于2013年国家发展和改革委员会第21号令公布的</w:t>
            </w:r>
            <w:r>
              <w:rPr>
                <w:sz w:val="24"/>
              </w:rPr>
              <w:t>《产业结构调整指导目录（2011年本）》（2013年修正）</w:t>
            </w:r>
            <w:r>
              <w:rPr>
                <w:bCs/>
                <w:sz w:val="24"/>
              </w:rPr>
              <w:t>中淘汰类、限制类设备。</w:t>
            </w:r>
          </w:p>
          <w:p>
            <w:pPr>
              <w:adjustRightInd w:val="0"/>
              <w:snapToGrid w:val="0"/>
              <w:spacing w:line="360" w:lineRule="auto"/>
              <w:ind w:firstLine="482" w:firstLineChars="200"/>
              <w:rPr>
                <w:b/>
                <w:sz w:val="24"/>
                <w:lang w:val="pt-BR"/>
              </w:rPr>
            </w:pPr>
            <w:r>
              <w:rPr>
                <w:rFonts w:hint="eastAsia"/>
                <w:b/>
                <w:sz w:val="24"/>
              </w:rPr>
              <w:t>5</w:t>
            </w:r>
            <w:r>
              <w:rPr>
                <w:b/>
                <w:sz w:val="24"/>
              </w:rPr>
              <w:t>、原辅材料种类及用量</w:t>
            </w:r>
          </w:p>
          <w:p>
            <w:pPr>
              <w:adjustRightInd w:val="0"/>
              <w:snapToGrid w:val="0"/>
              <w:spacing w:line="360" w:lineRule="auto"/>
              <w:ind w:firstLine="480" w:firstLineChars="200"/>
              <w:rPr>
                <w:sz w:val="24"/>
              </w:rPr>
            </w:pPr>
            <w:r>
              <w:rPr>
                <w:sz w:val="24"/>
              </w:rPr>
              <w:t>本项目原辅材料如下表：</w:t>
            </w:r>
          </w:p>
          <w:p>
            <w:pPr>
              <w:pStyle w:val="95"/>
              <w:adjustRightInd w:val="0"/>
              <w:snapToGrid w:val="0"/>
              <w:spacing w:line="240" w:lineRule="auto"/>
              <w:ind w:firstLine="0"/>
              <w:jc w:val="center"/>
              <w:rPr>
                <w:rFonts w:ascii="Times New Roman" w:hAnsi="Times New Roman" w:eastAsia="黑体" w:cs="Times New Roman"/>
                <w:sz w:val="24"/>
              </w:rPr>
            </w:pPr>
            <w:r>
              <w:rPr>
                <w:rFonts w:ascii="Times New Roman" w:hAnsi="Times New Roman" w:eastAsia="黑体" w:cs="Times New Roman"/>
                <w:sz w:val="24"/>
              </w:rPr>
              <w:t>表</w:t>
            </w:r>
            <w:r>
              <w:rPr>
                <w:rFonts w:hint="eastAsia" w:ascii="Times New Roman" w:hAnsi="Times New Roman" w:eastAsia="黑体" w:cs="Times New Roman"/>
                <w:sz w:val="24"/>
              </w:rPr>
              <w:t>5</w:t>
            </w:r>
            <w:r>
              <w:rPr>
                <w:rFonts w:ascii="Times New Roman" w:hAnsi="Times New Roman" w:eastAsia="黑体" w:cs="Times New Roman"/>
                <w:sz w:val="24"/>
              </w:rPr>
              <w:t xml:space="preserve">  主要原辅材料一览表</w:t>
            </w:r>
          </w:p>
          <w:tbl>
            <w:tblPr>
              <w:tblStyle w:val="23"/>
              <w:tblW w:w="850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22"/>
              <w:gridCol w:w="3023"/>
              <w:gridCol w:w="1320"/>
              <w:gridCol w:w="22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adjustRightInd w:val="0"/>
                    <w:snapToGrid w:val="0"/>
                    <w:jc w:val="center"/>
                    <w:rPr>
                      <w:snapToGrid w:val="0"/>
                      <w:kern w:val="21"/>
                      <w:szCs w:val="21"/>
                    </w:rPr>
                  </w:pPr>
                  <w:r>
                    <w:rPr>
                      <w:snapToGrid w:val="0"/>
                      <w:kern w:val="21"/>
                      <w:szCs w:val="21"/>
                    </w:rPr>
                    <w:t>序号</w:t>
                  </w:r>
                </w:p>
              </w:tc>
              <w:tc>
                <w:tcPr>
                  <w:tcW w:w="1222" w:type="dxa"/>
                  <w:vAlign w:val="center"/>
                </w:tcPr>
                <w:p>
                  <w:pPr>
                    <w:adjustRightInd w:val="0"/>
                    <w:snapToGrid w:val="0"/>
                    <w:jc w:val="center"/>
                    <w:rPr>
                      <w:snapToGrid w:val="0"/>
                      <w:kern w:val="21"/>
                      <w:szCs w:val="21"/>
                    </w:rPr>
                  </w:pPr>
                  <w:r>
                    <w:rPr>
                      <w:snapToGrid w:val="0"/>
                      <w:kern w:val="21"/>
                      <w:szCs w:val="21"/>
                    </w:rPr>
                    <w:t>名称</w:t>
                  </w:r>
                </w:p>
              </w:tc>
              <w:tc>
                <w:tcPr>
                  <w:tcW w:w="3023" w:type="dxa"/>
                  <w:vAlign w:val="center"/>
                </w:tcPr>
                <w:p>
                  <w:pPr>
                    <w:adjustRightInd w:val="0"/>
                    <w:snapToGrid w:val="0"/>
                    <w:jc w:val="center"/>
                    <w:rPr>
                      <w:snapToGrid w:val="0"/>
                      <w:kern w:val="21"/>
                      <w:szCs w:val="21"/>
                    </w:rPr>
                  </w:pPr>
                  <w:r>
                    <w:rPr>
                      <w:rFonts w:hint="eastAsia"/>
                      <w:snapToGrid w:val="0"/>
                      <w:kern w:val="21"/>
                      <w:szCs w:val="21"/>
                    </w:rPr>
                    <w:t>型号</w:t>
                  </w:r>
                </w:p>
              </w:tc>
              <w:tc>
                <w:tcPr>
                  <w:tcW w:w="1320" w:type="dxa"/>
                  <w:vAlign w:val="center"/>
                </w:tcPr>
                <w:p>
                  <w:pPr>
                    <w:adjustRightInd w:val="0"/>
                    <w:snapToGrid w:val="0"/>
                    <w:jc w:val="center"/>
                    <w:rPr>
                      <w:snapToGrid w:val="0"/>
                      <w:kern w:val="21"/>
                      <w:szCs w:val="21"/>
                    </w:rPr>
                  </w:pPr>
                  <w:r>
                    <w:rPr>
                      <w:snapToGrid w:val="0"/>
                      <w:kern w:val="21"/>
                      <w:szCs w:val="21"/>
                    </w:rPr>
                    <w:t>消耗量</w:t>
                  </w:r>
                </w:p>
              </w:tc>
              <w:tc>
                <w:tcPr>
                  <w:tcW w:w="2219" w:type="dxa"/>
                  <w:vAlign w:val="center"/>
                </w:tcPr>
                <w:p>
                  <w:pPr>
                    <w:adjustRightInd w:val="0"/>
                    <w:snapToGrid w:val="0"/>
                    <w:jc w:val="center"/>
                    <w:rPr>
                      <w:snapToGrid w:val="0"/>
                      <w:kern w:val="21"/>
                      <w:szCs w:val="21"/>
                    </w:rPr>
                  </w:pPr>
                  <w:r>
                    <w:rPr>
                      <w:snapToGrid w:val="0"/>
                      <w:kern w:val="21"/>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adjustRightInd w:val="0"/>
                    <w:snapToGrid w:val="0"/>
                    <w:jc w:val="center"/>
                    <w:rPr>
                      <w:snapToGrid w:val="0"/>
                      <w:kern w:val="21"/>
                      <w:szCs w:val="21"/>
                    </w:rPr>
                  </w:pPr>
                  <w:r>
                    <w:rPr>
                      <w:rFonts w:hint="eastAsia"/>
                      <w:snapToGrid w:val="0"/>
                      <w:kern w:val="21"/>
                      <w:szCs w:val="21"/>
                    </w:rPr>
                    <w:t>1</w:t>
                  </w:r>
                </w:p>
              </w:tc>
              <w:tc>
                <w:tcPr>
                  <w:tcW w:w="1222" w:type="dxa"/>
                  <w:vAlign w:val="center"/>
                </w:tcPr>
                <w:p>
                  <w:pPr>
                    <w:adjustRightInd w:val="0"/>
                    <w:snapToGrid w:val="0"/>
                    <w:jc w:val="center"/>
                    <w:rPr>
                      <w:snapToGrid w:val="0"/>
                      <w:kern w:val="21"/>
                      <w:szCs w:val="21"/>
                    </w:rPr>
                  </w:pPr>
                  <w:r>
                    <w:rPr>
                      <w:rFonts w:hint="eastAsia" w:asciiTheme="minorEastAsia" w:hAnsiTheme="minorEastAsia" w:eastAsiaTheme="minorEastAsia" w:cstheme="minorEastAsia"/>
                      <w:bCs/>
                      <w:sz w:val="24"/>
                      <w:szCs w:val="24"/>
                    </w:rPr>
                    <w:t>聚丙烯</w:t>
                  </w:r>
                  <w:r>
                    <w:rPr>
                      <w:rFonts w:hint="eastAsia" w:asciiTheme="minorEastAsia" w:hAnsiTheme="minorEastAsia" w:eastAsiaTheme="minorEastAsia" w:cstheme="minorEastAsia"/>
                      <w:bCs/>
                      <w:sz w:val="24"/>
                      <w:szCs w:val="24"/>
                      <w:lang w:eastAsia="zh-CN"/>
                    </w:rPr>
                    <w:t>（</w:t>
                  </w:r>
                  <w:r>
                    <w:rPr>
                      <w:rFonts w:hint="eastAsia"/>
                      <w:snapToGrid w:val="0"/>
                      <w:kern w:val="21"/>
                      <w:szCs w:val="21"/>
                    </w:rPr>
                    <w:t>PP</w:t>
                  </w:r>
                  <w:r>
                    <w:rPr>
                      <w:rFonts w:hint="eastAsia" w:asciiTheme="minorEastAsia" w:hAnsiTheme="minorEastAsia" w:eastAsiaTheme="minorEastAsia" w:cstheme="minorEastAsia"/>
                      <w:bCs/>
                      <w:sz w:val="24"/>
                      <w:szCs w:val="24"/>
                      <w:lang w:eastAsia="zh-CN"/>
                    </w:rPr>
                    <w:t>）</w:t>
                  </w:r>
                </w:p>
              </w:tc>
              <w:tc>
                <w:tcPr>
                  <w:tcW w:w="3023" w:type="dxa"/>
                  <w:shd w:val="clear" w:color="auto" w:fill="auto"/>
                  <w:vAlign w:val="center"/>
                </w:tcPr>
                <w:p>
                  <w:pPr>
                    <w:tabs>
                      <w:tab w:val="left" w:pos="5710"/>
                    </w:tabs>
                    <w:adjustRightInd w:val="0"/>
                    <w:snapToGrid w:val="0"/>
                    <w:jc w:val="center"/>
                    <w:rPr>
                      <w:snapToGrid w:val="0"/>
                      <w:kern w:val="21"/>
                      <w:szCs w:val="21"/>
                    </w:rPr>
                  </w:pPr>
                  <w:r>
                    <w:rPr>
                      <w:rFonts w:hint="eastAsia"/>
                      <w:snapToGrid w:val="0"/>
                      <w:kern w:val="21"/>
                      <w:szCs w:val="21"/>
                    </w:rPr>
                    <w:t>/</w:t>
                  </w:r>
                </w:p>
              </w:tc>
              <w:tc>
                <w:tcPr>
                  <w:tcW w:w="1320" w:type="dxa"/>
                  <w:vAlign w:val="center"/>
                </w:tcPr>
                <w:p>
                  <w:pPr>
                    <w:tabs>
                      <w:tab w:val="left" w:pos="5710"/>
                    </w:tabs>
                    <w:adjustRightInd w:val="0"/>
                    <w:snapToGrid w:val="0"/>
                    <w:jc w:val="center"/>
                    <w:rPr>
                      <w:snapToGrid w:val="0"/>
                      <w:kern w:val="21"/>
                      <w:szCs w:val="21"/>
                    </w:rPr>
                  </w:pPr>
                  <w:r>
                    <w:rPr>
                      <w:rFonts w:hint="eastAsia"/>
                    </w:rPr>
                    <w:t>60</w:t>
                  </w:r>
                  <w:r>
                    <w:rPr>
                      <w:snapToGrid w:val="0"/>
                      <w:kern w:val="21"/>
                      <w:szCs w:val="21"/>
                    </w:rPr>
                    <w:t>t/a</w:t>
                  </w:r>
                </w:p>
              </w:tc>
              <w:tc>
                <w:tcPr>
                  <w:tcW w:w="2219" w:type="dxa"/>
                  <w:vAlign w:val="center"/>
                </w:tcPr>
                <w:p>
                  <w:pPr>
                    <w:adjustRightInd w:val="0"/>
                    <w:snapToGrid w:val="0"/>
                    <w:jc w:val="center"/>
                    <w:rPr>
                      <w:snapToGrid w:val="0"/>
                      <w:kern w:val="21"/>
                      <w:szCs w:val="21"/>
                    </w:rPr>
                  </w:pPr>
                  <w:r>
                    <w:rPr>
                      <w:rFonts w:hint="eastAsia"/>
                      <w:snapToGrid w:val="0"/>
                      <w:kern w:val="21"/>
                      <w:szCs w:val="21"/>
                    </w:rPr>
                    <w:t>袋装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adjustRightInd w:val="0"/>
                    <w:snapToGrid w:val="0"/>
                    <w:jc w:val="center"/>
                    <w:rPr>
                      <w:snapToGrid w:val="0"/>
                      <w:kern w:val="21"/>
                      <w:szCs w:val="21"/>
                    </w:rPr>
                  </w:pPr>
                  <w:r>
                    <w:rPr>
                      <w:rFonts w:hint="eastAsia"/>
                      <w:snapToGrid w:val="0"/>
                      <w:kern w:val="21"/>
                      <w:szCs w:val="21"/>
                    </w:rPr>
                    <w:t>2</w:t>
                  </w:r>
                </w:p>
              </w:tc>
              <w:tc>
                <w:tcPr>
                  <w:tcW w:w="1222" w:type="dxa"/>
                  <w:vAlign w:val="center"/>
                </w:tcPr>
                <w:p>
                  <w:pPr>
                    <w:adjustRightInd w:val="0"/>
                    <w:snapToGrid w:val="0"/>
                    <w:jc w:val="center"/>
                    <w:rPr>
                      <w:snapToGrid w:val="0"/>
                      <w:color w:val="000000" w:themeColor="text1"/>
                      <w:kern w:val="21"/>
                      <w:szCs w:val="21"/>
                      <w14:textFill>
                        <w14:solidFill>
                          <w14:schemeClr w14:val="tx1"/>
                        </w14:solidFill>
                      </w14:textFill>
                    </w:rPr>
                  </w:pPr>
                  <w:r>
                    <w:rPr>
                      <w:rFonts w:hint="eastAsia" w:asciiTheme="minorEastAsia" w:hAnsiTheme="minorEastAsia" w:eastAsiaTheme="minorEastAsia" w:cstheme="minorEastAsia"/>
                      <w:bCs/>
                      <w:sz w:val="24"/>
                      <w:szCs w:val="24"/>
                    </w:rPr>
                    <w:t>聚乙烯</w:t>
                  </w:r>
                  <w:r>
                    <w:rPr>
                      <w:rFonts w:hint="eastAsia" w:asciiTheme="minorEastAsia" w:hAnsiTheme="minorEastAsia" w:eastAsiaTheme="minorEastAsia" w:cstheme="minorEastAsia"/>
                      <w:bCs/>
                      <w:sz w:val="24"/>
                      <w:szCs w:val="24"/>
                      <w:lang w:eastAsia="zh-CN"/>
                    </w:rPr>
                    <w:t>（</w:t>
                  </w:r>
                  <w:r>
                    <w:rPr>
                      <w:rFonts w:hint="eastAsia"/>
                      <w:snapToGrid w:val="0"/>
                      <w:color w:val="000000" w:themeColor="text1"/>
                      <w:kern w:val="21"/>
                      <w:szCs w:val="21"/>
                      <w14:textFill>
                        <w14:solidFill>
                          <w14:schemeClr w14:val="tx1"/>
                        </w14:solidFill>
                      </w14:textFill>
                    </w:rPr>
                    <w:t>PE</w:t>
                  </w:r>
                  <w:r>
                    <w:rPr>
                      <w:rFonts w:hint="eastAsia" w:asciiTheme="minorEastAsia" w:hAnsiTheme="minorEastAsia" w:eastAsiaTheme="minorEastAsia" w:cstheme="minorEastAsia"/>
                      <w:bCs/>
                      <w:sz w:val="24"/>
                      <w:szCs w:val="24"/>
                      <w:lang w:eastAsia="zh-CN"/>
                    </w:rPr>
                    <w:t>）</w:t>
                  </w:r>
                </w:p>
              </w:tc>
              <w:tc>
                <w:tcPr>
                  <w:tcW w:w="3023" w:type="dxa"/>
                  <w:shd w:val="clear" w:color="auto" w:fill="auto"/>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320" w:type="dxa"/>
                  <w:vAlign w:val="center"/>
                </w:tcPr>
                <w:p>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20</w:t>
                  </w:r>
                  <w:r>
                    <w:rPr>
                      <w:snapToGrid w:val="0"/>
                      <w:color w:val="000000" w:themeColor="text1"/>
                      <w:kern w:val="21"/>
                      <w:szCs w:val="21"/>
                      <w14:textFill>
                        <w14:solidFill>
                          <w14:schemeClr w14:val="tx1"/>
                        </w14:solidFill>
                      </w14:textFill>
                    </w:rPr>
                    <w:t>t/a</w:t>
                  </w:r>
                </w:p>
              </w:tc>
              <w:tc>
                <w:tcPr>
                  <w:tcW w:w="2219" w:type="dxa"/>
                  <w:vAlign w:val="center"/>
                </w:tcPr>
                <w:p>
                  <w:pPr>
                    <w:adjustRightInd w:val="0"/>
                    <w:snapToGrid w:val="0"/>
                    <w:ind w:firstLine="132"/>
                    <w:jc w:val="center"/>
                    <w:rPr>
                      <w:color w:val="000000" w:themeColor="text1"/>
                      <w:szCs w:val="21"/>
                      <w14:textFill>
                        <w14:solidFill>
                          <w14:schemeClr w14:val="tx1"/>
                        </w14:solidFill>
                      </w14:textFill>
                    </w:rPr>
                  </w:pPr>
                  <w:r>
                    <w:rPr>
                      <w:rFonts w:hint="eastAsia"/>
                      <w:snapToGrid w:val="0"/>
                      <w:kern w:val="21"/>
                      <w:szCs w:val="21"/>
                    </w:rPr>
                    <w:t>袋装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adjustRightInd w:val="0"/>
                    <w:snapToGrid w:val="0"/>
                    <w:jc w:val="center"/>
                    <w:rPr>
                      <w:snapToGrid w:val="0"/>
                      <w:kern w:val="21"/>
                      <w:szCs w:val="21"/>
                    </w:rPr>
                  </w:pPr>
                  <w:r>
                    <w:rPr>
                      <w:rFonts w:hint="eastAsia"/>
                      <w:snapToGrid w:val="0"/>
                      <w:kern w:val="21"/>
                      <w:szCs w:val="21"/>
                    </w:rPr>
                    <w:t>3</w:t>
                  </w:r>
                </w:p>
              </w:tc>
              <w:tc>
                <w:tcPr>
                  <w:tcW w:w="1222" w:type="dxa"/>
                  <w:vAlign w:val="center"/>
                </w:tcPr>
                <w:p>
                  <w:pPr>
                    <w:adjustRightInd w:val="0"/>
                    <w:snapToGrid w:val="0"/>
                    <w:jc w:val="center"/>
                    <w:rPr>
                      <w:snapToGrid w:val="0"/>
                      <w:kern w:val="21"/>
                      <w:szCs w:val="21"/>
                    </w:rPr>
                  </w:pPr>
                  <w:r>
                    <w:rPr>
                      <w:snapToGrid w:val="0"/>
                      <w:kern w:val="21"/>
                      <w:szCs w:val="21"/>
                    </w:rPr>
                    <w:t>水</w:t>
                  </w:r>
                </w:p>
              </w:tc>
              <w:tc>
                <w:tcPr>
                  <w:tcW w:w="3023" w:type="dxa"/>
                  <w:shd w:val="clear" w:color="auto" w:fill="auto"/>
                  <w:vAlign w:val="center"/>
                </w:tcPr>
                <w:p>
                  <w:pPr>
                    <w:adjustRightInd w:val="0"/>
                    <w:snapToGrid w:val="0"/>
                    <w:jc w:val="center"/>
                    <w:rPr>
                      <w:snapToGrid w:val="0"/>
                      <w:kern w:val="21"/>
                      <w:szCs w:val="21"/>
                    </w:rPr>
                  </w:pPr>
                  <w:r>
                    <w:rPr>
                      <w:snapToGrid w:val="0"/>
                      <w:kern w:val="21"/>
                      <w:szCs w:val="21"/>
                    </w:rPr>
                    <w:t>/</w:t>
                  </w:r>
                </w:p>
              </w:tc>
              <w:tc>
                <w:tcPr>
                  <w:tcW w:w="1320" w:type="dxa"/>
                  <w:vAlign w:val="center"/>
                </w:tcPr>
                <w:p>
                  <w:pPr>
                    <w:adjustRightInd w:val="0"/>
                    <w:snapToGrid w:val="0"/>
                    <w:jc w:val="center"/>
                    <w:rPr>
                      <w:snapToGrid w:val="0"/>
                      <w:kern w:val="21"/>
                      <w:szCs w:val="21"/>
                    </w:rPr>
                  </w:pPr>
                  <w:r>
                    <w:rPr>
                      <w:rFonts w:hint="eastAsia"/>
                      <w:snapToGrid w:val="0"/>
                      <w:kern w:val="21"/>
                      <w:szCs w:val="21"/>
                    </w:rPr>
                    <w:t>96m</w:t>
                  </w:r>
                  <w:r>
                    <w:rPr>
                      <w:rFonts w:hint="eastAsia"/>
                      <w:snapToGrid w:val="0"/>
                      <w:kern w:val="21"/>
                      <w:szCs w:val="21"/>
                      <w:vertAlign w:val="superscript"/>
                    </w:rPr>
                    <w:t>3</w:t>
                  </w:r>
                  <w:r>
                    <w:rPr>
                      <w:rFonts w:hint="eastAsia"/>
                      <w:snapToGrid w:val="0"/>
                      <w:kern w:val="21"/>
                      <w:szCs w:val="21"/>
                    </w:rPr>
                    <w:t>/a</w:t>
                  </w:r>
                </w:p>
              </w:tc>
              <w:tc>
                <w:tcPr>
                  <w:tcW w:w="2219" w:type="dxa"/>
                  <w:vAlign w:val="center"/>
                </w:tcPr>
                <w:p>
                  <w:pPr>
                    <w:adjustRightInd w:val="0"/>
                    <w:snapToGrid w:val="0"/>
                    <w:jc w:val="center"/>
                    <w:rPr>
                      <w:szCs w:val="21"/>
                    </w:rPr>
                  </w:pPr>
                  <w:r>
                    <w:rPr>
                      <w:color w:val="000000" w:themeColor="text1"/>
                      <w:kern w:val="36"/>
                      <w:szCs w:val="21"/>
                      <w14:textFill>
                        <w14:solidFill>
                          <w14:schemeClr w14:val="tx1"/>
                        </w14:solidFill>
                      </w14:textFill>
                    </w:rPr>
                    <w:t>市政</w:t>
                  </w:r>
                  <w:r>
                    <w:rPr>
                      <w:color w:val="000000" w:themeColor="text1"/>
                      <w:szCs w:val="21"/>
                      <w14:textFill>
                        <w14:solidFill>
                          <w14:schemeClr w14:val="tx1"/>
                        </w14:solidFill>
                      </w14:textFill>
                    </w:rPr>
                    <w:t>供给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pPr>
                    <w:adjustRightInd w:val="0"/>
                    <w:snapToGrid w:val="0"/>
                    <w:jc w:val="center"/>
                    <w:rPr>
                      <w:snapToGrid w:val="0"/>
                      <w:kern w:val="21"/>
                      <w:szCs w:val="21"/>
                    </w:rPr>
                  </w:pPr>
                  <w:r>
                    <w:rPr>
                      <w:rFonts w:hint="eastAsia"/>
                      <w:snapToGrid w:val="0"/>
                      <w:kern w:val="21"/>
                      <w:szCs w:val="21"/>
                    </w:rPr>
                    <w:t>4</w:t>
                  </w:r>
                </w:p>
              </w:tc>
              <w:tc>
                <w:tcPr>
                  <w:tcW w:w="1222" w:type="dxa"/>
                  <w:vAlign w:val="center"/>
                </w:tcPr>
                <w:p>
                  <w:pPr>
                    <w:adjustRightInd w:val="0"/>
                    <w:snapToGrid w:val="0"/>
                    <w:jc w:val="center"/>
                    <w:rPr>
                      <w:snapToGrid w:val="0"/>
                      <w:kern w:val="21"/>
                      <w:szCs w:val="21"/>
                    </w:rPr>
                  </w:pPr>
                  <w:r>
                    <w:rPr>
                      <w:snapToGrid w:val="0"/>
                      <w:kern w:val="21"/>
                      <w:szCs w:val="21"/>
                    </w:rPr>
                    <w:t>电</w:t>
                  </w:r>
                </w:p>
              </w:tc>
              <w:tc>
                <w:tcPr>
                  <w:tcW w:w="3023" w:type="dxa"/>
                  <w:shd w:val="clear" w:color="auto" w:fill="auto"/>
                  <w:vAlign w:val="center"/>
                </w:tcPr>
                <w:p>
                  <w:pPr>
                    <w:adjustRightInd w:val="0"/>
                    <w:snapToGrid w:val="0"/>
                    <w:jc w:val="center"/>
                    <w:rPr>
                      <w:snapToGrid w:val="0"/>
                      <w:kern w:val="21"/>
                      <w:szCs w:val="21"/>
                    </w:rPr>
                  </w:pPr>
                  <w:r>
                    <w:rPr>
                      <w:rFonts w:hint="eastAsia"/>
                      <w:snapToGrid w:val="0"/>
                      <w:kern w:val="21"/>
                      <w:szCs w:val="21"/>
                    </w:rPr>
                    <w:t>/</w:t>
                  </w:r>
                </w:p>
              </w:tc>
              <w:tc>
                <w:tcPr>
                  <w:tcW w:w="1320" w:type="dxa"/>
                  <w:vAlign w:val="center"/>
                </w:tcPr>
                <w:p>
                  <w:pPr>
                    <w:adjustRightInd w:val="0"/>
                    <w:snapToGrid w:val="0"/>
                    <w:jc w:val="center"/>
                    <w:rPr>
                      <w:snapToGrid w:val="0"/>
                      <w:kern w:val="21"/>
                      <w:szCs w:val="21"/>
                    </w:rPr>
                  </w:pPr>
                  <w:r>
                    <w:rPr>
                      <w:rFonts w:hint="eastAsia"/>
                      <w:snapToGrid w:val="0"/>
                      <w:kern w:val="21"/>
                      <w:szCs w:val="21"/>
                    </w:rPr>
                    <w:t>4万</w:t>
                  </w:r>
                  <w:r>
                    <w:rPr>
                      <w:snapToGrid w:val="0"/>
                      <w:kern w:val="21"/>
                      <w:szCs w:val="21"/>
                    </w:rPr>
                    <w:t>kwh</w:t>
                  </w:r>
                  <w:r>
                    <w:rPr>
                      <w:rFonts w:hint="eastAsia"/>
                      <w:snapToGrid w:val="0"/>
                      <w:kern w:val="21"/>
                      <w:szCs w:val="21"/>
                    </w:rPr>
                    <w:t>/a</w:t>
                  </w:r>
                </w:p>
              </w:tc>
              <w:tc>
                <w:tcPr>
                  <w:tcW w:w="2219" w:type="dxa"/>
                  <w:vAlign w:val="center"/>
                </w:tcPr>
                <w:p>
                  <w:pPr>
                    <w:adjustRightInd w:val="0"/>
                    <w:snapToGrid w:val="0"/>
                    <w:jc w:val="center"/>
                    <w:rPr>
                      <w:szCs w:val="21"/>
                    </w:rPr>
                  </w:pPr>
                  <w:r>
                    <w:rPr>
                      <w:szCs w:val="21"/>
                    </w:rPr>
                    <w:t>国家电网供给</w:t>
                  </w:r>
                </w:p>
              </w:tc>
            </w:tr>
          </w:tbl>
          <w:p>
            <w:pPr>
              <w:pStyle w:val="95"/>
              <w:spacing w:line="360" w:lineRule="auto"/>
              <w:ind w:firstLine="480" w:firstLineChars="200"/>
              <w:rPr>
                <w:rFonts w:hint="eastAsia" w:asciiTheme="minorEastAsia" w:hAnsiTheme="minorEastAsia" w:eastAsiaTheme="minorEastAsia" w:cstheme="minorEastAsia"/>
                <w:bCs/>
                <w:sz w:val="24"/>
                <w:szCs w:val="24"/>
                <w:lang w:val="en-US" w:eastAsia="zh-CN"/>
              </w:rPr>
            </w:pPr>
            <w:r>
              <w:rPr>
                <w:rFonts w:hint="default" w:ascii="Times New Roman" w:hAnsi="Times New Roman" w:cs="Times New Roman" w:eastAsiaTheme="minorEastAsia"/>
                <w:bCs/>
                <w:sz w:val="24"/>
                <w:szCs w:val="24"/>
              </w:rPr>
              <w:t>PP</w:t>
            </w:r>
            <w:r>
              <w:rPr>
                <w:rFonts w:hint="eastAsia" w:asciiTheme="minorEastAsia" w:hAnsiTheme="minorEastAsia" w:eastAsiaTheme="minorEastAsia" w:cstheme="minorEastAsia"/>
                <w:bCs/>
                <w:sz w:val="24"/>
                <w:szCs w:val="24"/>
              </w:rPr>
              <w:t>：聚丙烯（</w:t>
            </w:r>
            <w:r>
              <w:rPr>
                <w:rFonts w:hint="default" w:ascii="Times New Roman" w:hAnsi="Times New Roman" w:cs="Times New Roman" w:eastAsiaTheme="minorEastAsia"/>
                <w:bCs/>
                <w:sz w:val="24"/>
                <w:szCs w:val="24"/>
              </w:rPr>
              <w:t>Polypropylene</w:t>
            </w:r>
            <w:r>
              <w:rPr>
                <w:rFonts w:hint="eastAsia" w:asciiTheme="minorEastAsia" w:hAnsiTheme="minorEastAsia" w:eastAsiaTheme="minorEastAsia" w:cstheme="minorEastAsia"/>
                <w:bCs/>
                <w:sz w:val="24"/>
                <w:szCs w:val="24"/>
              </w:rPr>
              <w:t>，简称</w:t>
            </w:r>
            <w:r>
              <w:rPr>
                <w:rFonts w:hint="default" w:ascii="Times New Roman" w:hAnsi="Times New Roman" w:cs="Times New Roman" w:eastAsiaTheme="minorEastAsia"/>
                <w:bCs/>
                <w:sz w:val="24"/>
                <w:szCs w:val="24"/>
              </w:rPr>
              <w:t>PP</w:t>
            </w:r>
            <w:r>
              <w:rPr>
                <w:rFonts w:hint="eastAsia" w:asciiTheme="minorEastAsia" w:hAnsiTheme="minorEastAsia" w:eastAsiaTheme="minorEastAsia" w:cstheme="minorEastAsia"/>
                <w:bCs/>
                <w:sz w:val="24"/>
                <w:szCs w:val="24"/>
              </w:rPr>
              <w:t>）是一种半结晶的热塑性塑料。</w:t>
            </w:r>
            <w:r>
              <w:rPr>
                <w:rFonts w:hint="eastAsia" w:asciiTheme="minorEastAsia" w:hAnsiTheme="minorEastAsia" w:eastAsiaTheme="minorEastAsia" w:cstheme="minorEastAsia"/>
                <w:b w:val="0"/>
                <w:i w:val="0"/>
                <w:caps w:val="0"/>
                <w:color w:val="333333"/>
                <w:spacing w:val="0"/>
                <w:sz w:val="24"/>
                <w:szCs w:val="24"/>
                <w:shd w:val="clear" w:fill="FFFFFF"/>
              </w:rPr>
              <w:t>为结晶型高聚物，常用塑料中</w:t>
            </w:r>
            <w:r>
              <w:rPr>
                <w:rFonts w:hint="default" w:ascii="Times New Roman" w:hAnsi="Times New Roman" w:cs="Times New Roman" w:eastAsiaTheme="minorEastAsia"/>
                <w:b w:val="0"/>
                <w:i w:val="0"/>
                <w:caps w:val="0"/>
                <w:color w:val="333333"/>
                <w:spacing w:val="0"/>
                <w:sz w:val="24"/>
                <w:szCs w:val="24"/>
                <w:shd w:val="clear" w:fill="FFFFFF"/>
              </w:rPr>
              <w:t>PP</w:t>
            </w:r>
            <w:r>
              <w:rPr>
                <w:rFonts w:hint="eastAsia" w:asciiTheme="minorEastAsia" w:hAnsiTheme="minorEastAsia" w:eastAsiaTheme="minorEastAsia" w:cstheme="minorEastAsia"/>
                <w:b w:val="0"/>
                <w:i w:val="0"/>
                <w:caps w:val="0"/>
                <w:color w:val="333333"/>
                <w:spacing w:val="0"/>
                <w:sz w:val="24"/>
                <w:szCs w:val="24"/>
                <w:shd w:val="clear" w:fill="FFFFFF"/>
              </w:rPr>
              <w:t>最轻，密度仅为</w:t>
            </w:r>
            <w:r>
              <w:rPr>
                <w:rFonts w:hint="default" w:ascii="Times New Roman" w:hAnsi="Times New Roman" w:cs="Times New Roman" w:eastAsiaTheme="minorEastAsia"/>
                <w:b w:val="0"/>
                <w:i w:val="0"/>
                <w:caps w:val="0"/>
                <w:color w:val="333333"/>
                <w:spacing w:val="0"/>
                <w:sz w:val="24"/>
                <w:szCs w:val="24"/>
                <w:shd w:val="clear" w:fill="FFFFFF"/>
              </w:rPr>
              <w:t>0.91g/cm</w:t>
            </w:r>
            <w:r>
              <w:rPr>
                <w:rFonts w:hint="default" w:ascii="Times New Roman" w:hAnsi="Times New Roman" w:cs="Times New Roman" w:eastAsiaTheme="minorEastAsia"/>
                <w:b w:val="0"/>
                <w:i w:val="0"/>
                <w:caps w:val="0"/>
                <w:color w:val="333333"/>
                <w:spacing w:val="0"/>
                <w:sz w:val="24"/>
                <w:szCs w:val="24"/>
                <w:shd w:val="clear" w:fill="FFFFFF"/>
                <w:vertAlign w:val="superscript"/>
              </w:rPr>
              <w:t>3</w:t>
            </w:r>
            <w:r>
              <w:rPr>
                <w:rFonts w:hint="eastAsia" w:asciiTheme="minorEastAsia" w:hAnsiTheme="minorEastAsia" w:eastAsiaTheme="minorEastAsia" w:cstheme="minorEastAsia"/>
                <w:b w:val="0"/>
                <w:i w:val="0"/>
                <w:caps w:val="0"/>
                <w:color w:val="333333"/>
                <w:spacing w:val="0"/>
                <w:sz w:val="24"/>
                <w:szCs w:val="24"/>
                <w:shd w:val="clear" w:fill="FFFFFF"/>
              </w:rPr>
              <w:t>（比水小）。通用塑料中，</w:t>
            </w:r>
            <w:r>
              <w:rPr>
                <w:rFonts w:hint="default" w:ascii="Times New Roman" w:hAnsi="Times New Roman" w:cs="Times New Roman" w:eastAsiaTheme="minorEastAsia"/>
                <w:b w:val="0"/>
                <w:i w:val="0"/>
                <w:caps w:val="0"/>
                <w:color w:val="333333"/>
                <w:spacing w:val="0"/>
                <w:sz w:val="24"/>
                <w:szCs w:val="24"/>
                <w:shd w:val="clear" w:fill="FFFFFF"/>
              </w:rPr>
              <w:t>PP</w:t>
            </w:r>
            <w:r>
              <w:rPr>
                <w:rFonts w:hint="eastAsia" w:asciiTheme="minorEastAsia" w:hAnsiTheme="minorEastAsia" w:eastAsiaTheme="minorEastAsia" w:cstheme="minorEastAsia"/>
                <w:b w:val="0"/>
                <w:i w:val="0"/>
                <w:caps w:val="0"/>
                <w:color w:val="333333"/>
                <w:spacing w:val="0"/>
                <w:sz w:val="24"/>
                <w:szCs w:val="24"/>
                <w:shd w:val="clear" w:fill="FFFFFF"/>
              </w:rPr>
              <w:t>的耐热性最好，其热变形温度为</w:t>
            </w:r>
            <w:r>
              <w:rPr>
                <w:rFonts w:hint="default" w:ascii="Times New Roman" w:hAnsi="Times New Roman" w:cs="Times New Roman" w:eastAsiaTheme="minorEastAsia"/>
                <w:b w:val="0"/>
                <w:i w:val="0"/>
                <w:caps w:val="0"/>
                <w:color w:val="333333"/>
                <w:spacing w:val="0"/>
                <w:sz w:val="24"/>
                <w:szCs w:val="24"/>
                <w:shd w:val="clear" w:fill="FFFFFF"/>
              </w:rPr>
              <w:t>80-100℃</w:t>
            </w:r>
            <w:r>
              <w:rPr>
                <w:rFonts w:hint="eastAsia" w:asciiTheme="minorEastAsia" w:hAnsiTheme="minorEastAsia" w:eastAsiaTheme="minorEastAsia" w:cstheme="minorEastAsia"/>
                <w:b w:val="0"/>
                <w:i w:val="0"/>
                <w:caps w:val="0"/>
                <w:color w:val="333333"/>
                <w:spacing w:val="0"/>
                <w:sz w:val="24"/>
                <w:szCs w:val="24"/>
                <w:shd w:val="clear" w:fill="FFFFFF"/>
              </w:rPr>
              <w:t>，能在沸水中煮。</w:t>
            </w:r>
            <w:r>
              <w:rPr>
                <w:rFonts w:hint="default" w:ascii="Times New Roman" w:hAnsi="Times New Roman" w:cs="Times New Roman" w:eastAsiaTheme="minorEastAsia"/>
                <w:b w:val="0"/>
                <w:i w:val="0"/>
                <w:caps w:val="0"/>
                <w:color w:val="333333"/>
                <w:spacing w:val="0"/>
                <w:sz w:val="24"/>
                <w:szCs w:val="24"/>
                <w:shd w:val="clear" w:fill="FFFFFF"/>
              </w:rPr>
              <w:t>PP</w:t>
            </w:r>
            <w:r>
              <w:rPr>
                <w:rFonts w:hint="eastAsia" w:asciiTheme="minorEastAsia" w:hAnsiTheme="minorEastAsia" w:eastAsiaTheme="minorEastAsia" w:cstheme="minorEastAsia"/>
                <w:b w:val="0"/>
                <w:i w:val="0"/>
                <w:caps w:val="0"/>
                <w:color w:val="333333"/>
                <w:spacing w:val="0"/>
                <w:sz w:val="24"/>
                <w:szCs w:val="24"/>
                <w:shd w:val="clear" w:fill="FFFFFF"/>
              </w:rPr>
              <w:t>有良好的耐应力开裂性，有很高的弯曲疲劳寿命，俗称“百折胶”。</w:t>
            </w:r>
            <w:r>
              <w:rPr>
                <w:rFonts w:hint="default" w:ascii="Times New Roman" w:hAnsi="Times New Roman" w:cs="Times New Roman" w:eastAsiaTheme="minorEastAsia"/>
                <w:b w:val="0"/>
                <w:i w:val="0"/>
                <w:caps w:val="0"/>
                <w:color w:val="333333"/>
                <w:spacing w:val="0"/>
                <w:sz w:val="24"/>
                <w:szCs w:val="24"/>
                <w:shd w:val="clear" w:fill="FFFFFF"/>
              </w:rPr>
              <w:t>PP</w:t>
            </w:r>
            <w:r>
              <w:rPr>
                <w:rFonts w:hint="eastAsia" w:asciiTheme="minorEastAsia" w:hAnsiTheme="minorEastAsia" w:eastAsiaTheme="minorEastAsia" w:cstheme="minorEastAsia"/>
                <w:b w:val="0"/>
                <w:i w:val="0"/>
                <w:caps w:val="0"/>
                <w:color w:val="333333"/>
                <w:spacing w:val="0"/>
                <w:sz w:val="24"/>
                <w:szCs w:val="24"/>
                <w:shd w:val="clear" w:fill="FFFFFF"/>
              </w:rPr>
              <w:t>的综合性能优于</w:t>
            </w:r>
            <w:r>
              <w:rPr>
                <w:rFonts w:hint="default" w:ascii="Times New Roman" w:hAnsi="Times New Roman" w:cs="Times New Roman" w:eastAsiaTheme="minorEastAsia"/>
                <w:b w:val="0"/>
                <w:i w:val="0"/>
                <w:caps w:val="0"/>
                <w:color w:val="333333"/>
                <w:spacing w:val="0"/>
                <w:sz w:val="24"/>
                <w:szCs w:val="24"/>
                <w:shd w:val="clear" w:fill="FFFFFF"/>
              </w:rPr>
              <w:t>PE</w:t>
            </w:r>
            <w:r>
              <w:rPr>
                <w:rFonts w:hint="eastAsia" w:asciiTheme="minorEastAsia" w:hAnsiTheme="minorEastAsia" w:eastAsiaTheme="minorEastAsia" w:cstheme="minorEastAsia"/>
                <w:b w:val="0"/>
                <w:i w:val="0"/>
                <w:caps w:val="0"/>
                <w:color w:val="333333"/>
                <w:spacing w:val="0"/>
                <w:sz w:val="24"/>
                <w:szCs w:val="24"/>
                <w:shd w:val="clear" w:fill="FFFFFF"/>
              </w:rPr>
              <w:t>料。</w:t>
            </w:r>
            <w:r>
              <w:rPr>
                <w:rFonts w:hint="default" w:ascii="Times New Roman" w:hAnsi="Times New Roman" w:cs="Times New Roman" w:eastAsiaTheme="minorEastAsia"/>
                <w:b w:val="0"/>
                <w:i w:val="0"/>
                <w:caps w:val="0"/>
                <w:color w:val="333333"/>
                <w:spacing w:val="0"/>
                <w:sz w:val="24"/>
                <w:szCs w:val="24"/>
                <w:shd w:val="clear" w:fill="FFFFFF"/>
              </w:rPr>
              <w:t>PP</w:t>
            </w:r>
            <w:r>
              <w:rPr>
                <w:rFonts w:hint="eastAsia" w:asciiTheme="minorEastAsia" w:hAnsiTheme="minorEastAsia" w:eastAsiaTheme="minorEastAsia" w:cstheme="minorEastAsia"/>
                <w:b w:val="0"/>
                <w:i w:val="0"/>
                <w:caps w:val="0"/>
                <w:color w:val="333333"/>
                <w:spacing w:val="0"/>
                <w:sz w:val="24"/>
                <w:szCs w:val="24"/>
                <w:shd w:val="clear" w:fill="FFFFFF"/>
              </w:rPr>
              <w:t>产品质轻、韧性好、耐化学性好。</w:t>
            </w:r>
            <w:r>
              <w:rPr>
                <w:rFonts w:hint="default" w:ascii="Times New Roman" w:hAnsi="Times New Roman" w:cs="Times New Roman" w:eastAsiaTheme="minorEastAsia"/>
                <w:b w:val="0"/>
                <w:i w:val="0"/>
                <w:caps w:val="0"/>
                <w:color w:val="333333"/>
                <w:spacing w:val="0"/>
                <w:sz w:val="24"/>
                <w:szCs w:val="24"/>
                <w:shd w:val="clear" w:fill="FFFFFF"/>
              </w:rPr>
              <w:t>PP</w:t>
            </w:r>
            <w:r>
              <w:rPr>
                <w:rFonts w:hint="eastAsia" w:asciiTheme="minorEastAsia" w:hAnsiTheme="minorEastAsia" w:eastAsiaTheme="minorEastAsia" w:cstheme="minorEastAsia"/>
                <w:b w:val="0"/>
                <w:i w:val="0"/>
                <w:caps w:val="0"/>
                <w:color w:val="333333"/>
                <w:spacing w:val="0"/>
                <w:sz w:val="24"/>
                <w:szCs w:val="24"/>
                <w:shd w:val="clear" w:fill="FFFFFF"/>
              </w:rPr>
              <w:t>的缺点：尺寸精度低、刚性不足、耐候性差、易产生“铜害”，它具有后收缩现象，脱模后，易老化、变脆、易变形。</w:t>
            </w:r>
            <w:r>
              <w:rPr>
                <w:rFonts w:hint="eastAsia" w:asciiTheme="minorEastAsia" w:hAnsiTheme="minorEastAsia" w:eastAsiaTheme="minorEastAsia" w:cstheme="minorEastAsia"/>
                <w:bCs/>
                <w:sz w:val="24"/>
                <w:szCs w:val="24"/>
              </w:rPr>
              <w:t>在工业界有广泛的应用，是平常常见的高分子材料之一</w:t>
            </w:r>
            <w:r>
              <w:rPr>
                <w:rFonts w:hint="eastAsia" w:asciiTheme="minorEastAsia" w:hAnsiTheme="minorEastAsia" w:eastAsiaTheme="minorEastAsia" w:cstheme="minorEastAsia"/>
                <w:bCs/>
                <w:sz w:val="24"/>
                <w:szCs w:val="24"/>
                <w:lang w:eastAsia="zh-CN"/>
              </w:rPr>
              <w:t>。</w:t>
            </w:r>
          </w:p>
          <w:p>
            <w:pPr>
              <w:pStyle w:val="95"/>
              <w:spacing w:line="360" w:lineRule="auto"/>
              <w:ind w:firstLine="480" w:firstLineChars="200"/>
              <w:rPr>
                <w:rFonts w:hint="eastAsia" w:asciiTheme="minorEastAsia" w:hAnsiTheme="minorEastAsia" w:eastAsiaTheme="minorEastAsia" w:cstheme="minorEastAsia"/>
                <w:bCs/>
                <w:sz w:val="24"/>
                <w:szCs w:val="24"/>
              </w:rPr>
            </w:pPr>
            <w:r>
              <w:rPr>
                <w:rFonts w:hint="default" w:ascii="Times New Roman" w:hAnsi="Times New Roman" w:cs="Times New Roman" w:eastAsiaTheme="minorEastAsia"/>
                <w:bCs/>
                <w:sz w:val="24"/>
                <w:szCs w:val="24"/>
              </w:rPr>
              <w:t>PE:</w:t>
            </w:r>
            <w:r>
              <w:rPr>
                <w:rFonts w:hint="eastAsia" w:asciiTheme="minorEastAsia" w:hAnsiTheme="minorEastAsia" w:eastAsiaTheme="minorEastAsia" w:cstheme="minorEastAsia"/>
                <w:bCs/>
                <w:sz w:val="24"/>
                <w:szCs w:val="24"/>
              </w:rPr>
              <w:t>即聚乙烯塑料，具有耐腐蚀性，电绝缘性(尤其高频绝缘性)，低压聚乙烯适于制作耐腐蚀零件和绝缘零件;高压聚乙烯适于制作薄膜等;超高分子量聚乙烯适于制作减震</w:t>
            </w:r>
            <w:r>
              <w:rPr>
                <w:rFonts w:hint="eastAsia" w:asciiTheme="minorEastAsia" w:hAnsiTheme="minorEastAsia" w:eastAsiaTheme="minorEastAsia" w:cstheme="minorEastAsia"/>
                <w:bCs/>
                <w:sz w:val="24"/>
                <w:szCs w:val="24"/>
                <w:lang w:val="en-US" w:eastAsia="zh-CN"/>
              </w:rPr>
              <w:t>,</w:t>
            </w:r>
            <w:r>
              <w:rPr>
                <w:rFonts w:hint="eastAsia" w:asciiTheme="minorEastAsia" w:hAnsiTheme="minorEastAsia" w:eastAsiaTheme="minorEastAsia" w:cstheme="minorEastAsia"/>
                <w:bCs/>
                <w:sz w:val="24"/>
                <w:szCs w:val="24"/>
              </w:rPr>
              <w:t>耐磨及传动零件</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rPr>
              <w:t>比重:</w:t>
            </w:r>
            <w:r>
              <w:rPr>
                <w:rFonts w:hint="default" w:ascii="Times New Roman" w:hAnsi="Times New Roman" w:cs="Times New Roman" w:eastAsiaTheme="minorEastAsia"/>
                <w:bCs/>
                <w:sz w:val="24"/>
                <w:szCs w:val="24"/>
              </w:rPr>
              <w:t>0.94-0.96</w:t>
            </w:r>
            <w:r>
              <w:rPr>
                <w:rFonts w:hint="default" w:ascii="Times New Roman" w:hAnsi="Times New Roman" w:cs="Times New Roman" w:eastAsiaTheme="minorEastAsia"/>
                <w:bCs/>
                <w:sz w:val="24"/>
                <w:szCs w:val="24"/>
                <w:lang w:val="en-US" w:eastAsia="zh-CN"/>
              </w:rPr>
              <w:t>g</w:t>
            </w:r>
            <w:r>
              <w:rPr>
                <w:rFonts w:hint="default" w:ascii="Times New Roman" w:hAnsi="Times New Roman" w:cs="Times New Roman" w:eastAsiaTheme="minorEastAsia"/>
                <w:bCs/>
                <w:sz w:val="24"/>
                <w:szCs w:val="24"/>
              </w:rPr>
              <w:t>/</w:t>
            </w:r>
            <w:r>
              <w:rPr>
                <w:rFonts w:hint="default" w:ascii="Times New Roman" w:hAnsi="Times New Roman" w:cs="Times New Roman" w:eastAsiaTheme="minorEastAsia"/>
                <w:bCs/>
                <w:sz w:val="24"/>
                <w:szCs w:val="24"/>
                <w:lang w:val="en-US" w:eastAsia="zh-CN"/>
              </w:rPr>
              <w:t>cm</w:t>
            </w:r>
            <w:r>
              <w:rPr>
                <w:rFonts w:hint="default" w:ascii="Times New Roman" w:hAnsi="Times New Roman" w:cs="Times New Roman" w:eastAsiaTheme="minorEastAsia"/>
                <w:bCs/>
                <w:sz w:val="24"/>
                <w:szCs w:val="24"/>
                <w:vertAlign w:val="superscript"/>
                <w:lang w:val="en-US" w:eastAsia="zh-CN"/>
              </w:rPr>
              <w:t>3</w:t>
            </w:r>
            <w:r>
              <w:rPr>
                <w:rFonts w:hint="eastAsia" w:asciiTheme="minorEastAsia" w:hAnsiTheme="minorEastAsia" w:eastAsiaTheme="minorEastAsia" w:cstheme="minorEastAsia"/>
                <w:bCs/>
                <w:sz w:val="24"/>
                <w:szCs w:val="24"/>
                <w:lang w:val="en-US" w:eastAsia="zh-CN"/>
              </w:rPr>
              <w:t>，</w:t>
            </w:r>
            <w:r>
              <w:rPr>
                <w:rFonts w:hint="eastAsia" w:asciiTheme="minorEastAsia" w:hAnsiTheme="minorEastAsia" w:eastAsiaTheme="minorEastAsia" w:cstheme="minorEastAsia"/>
                <w:bCs/>
                <w:sz w:val="24"/>
                <w:szCs w:val="24"/>
              </w:rPr>
              <w:t>成型收缩率:</w:t>
            </w:r>
            <w:r>
              <w:rPr>
                <w:rFonts w:hint="default" w:ascii="Times New Roman" w:hAnsi="Times New Roman" w:cs="Times New Roman" w:eastAsiaTheme="minorEastAsia"/>
                <w:bCs/>
                <w:sz w:val="24"/>
                <w:szCs w:val="24"/>
              </w:rPr>
              <w:t>1.5-3.6%</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rPr>
              <w:t>成型温度:</w:t>
            </w:r>
            <w:r>
              <w:rPr>
                <w:rFonts w:hint="default" w:ascii="Times New Roman" w:hAnsi="Times New Roman" w:cs="Times New Roman" w:eastAsiaTheme="minorEastAsia"/>
                <w:bCs/>
                <w:sz w:val="24"/>
                <w:szCs w:val="24"/>
              </w:rPr>
              <w:t xml:space="preserve">140-220℃ </w:t>
            </w:r>
            <w:r>
              <w:rPr>
                <w:rFonts w:hint="eastAsia" w:asciiTheme="minorEastAsia" w:hAnsiTheme="minorEastAsia" w:eastAsiaTheme="minorEastAsia" w:cstheme="minorEastAsia"/>
                <w:bCs/>
                <w:sz w:val="24"/>
                <w:szCs w:val="24"/>
              </w:rPr>
              <w:t>干燥条件:吸水率低，加工前可不用干燥处理。物料性能 耐腐蚀性，电绝缘性(尤其高频绝缘性)优良，可以氯化，辐照改性，可用玻璃纤维增强.低压聚乙烯的熔点，钢性，硬度和强度成型性能。</w:t>
            </w:r>
          </w:p>
          <w:p>
            <w:pPr>
              <w:pStyle w:val="95"/>
              <w:spacing w:line="360" w:lineRule="auto"/>
              <w:ind w:firstLine="480" w:firstLineChars="200"/>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rPr>
              <w:t>结晶料，吸湿小，不须充分干燥，流动性极</w:t>
            </w:r>
            <w:r>
              <w:rPr>
                <w:rFonts w:hint="eastAsia" w:asciiTheme="minorEastAsia" w:hAnsiTheme="minorEastAsia" w:eastAsiaTheme="minorEastAsia" w:cstheme="minorEastAsia"/>
                <w:bCs/>
                <w:color w:val="000000"/>
                <w:kern w:val="0"/>
                <w:sz w:val="24"/>
                <w:szCs w:val="24"/>
              </w:rPr>
              <w:t>好，流动性对压力敏感，成型时宜用高压注射，料温均匀，填充速度快，保压充分</w:t>
            </w:r>
            <w:r>
              <w:rPr>
                <w:rFonts w:hint="eastAsia" w:asciiTheme="minorEastAsia" w:hAnsiTheme="minorEastAsia" w:eastAsiaTheme="minorEastAsia" w:cstheme="minorEastAsia"/>
                <w:bCs/>
                <w:color w:val="000000"/>
                <w:kern w:val="0"/>
                <w:sz w:val="24"/>
                <w:szCs w:val="24"/>
                <w:lang w:eastAsia="zh-CN"/>
              </w:rPr>
              <w:t>；</w:t>
            </w:r>
            <w:r>
              <w:rPr>
                <w:rFonts w:hint="eastAsia" w:asciiTheme="minorEastAsia" w:hAnsiTheme="minorEastAsia" w:eastAsiaTheme="minorEastAsia" w:cstheme="minorEastAsia"/>
                <w:bCs/>
                <w:color w:val="000000"/>
                <w:kern w:val="0"/>
                <w:sz w:val="24"/>
                <w:szCs w:val="24"/>
              </w:rPr>
              <w:t>不宜用直接浇口，以防收缩不均，内应力增大</w:t>
            </w:r>
            <w:r>
              <w:rPr>
                <w:rFonts w:hint="eastAsia" w:asciiTheme="minorEastAsia" w:hAnsiTheme="minorEastAsia" w:eastAsiaTheme="minorEastAsia" w:cstheme="minorEastAsia"/>
                <w:bCs/>
                <w:color w:val="000000"/>
                <w:kern w:val="0"/>
                <w:sz w:val="24"/>
                <w:szCs w:val="24"/>
                <w:lang w:eastAsia="zh-CN"/>
              </w:rPr>
              <w:t>；</w:t>
            </w:r>
            <w:r>
              <w:rPr>
                <w:rFonts w:hint="eastAsia" w:asciiTheme="minorEastAsia" w:hAnsiTheme="minorEastAsia" w:eastAsiaTheme="minorEastAsia" w:cstheme="minorEastAsia"/>
                <w:bCs/>
                <w:color w:val="000000"/>
                <w:kern w:val="0"/>
                <w:sz w:val="24"/>
                <w:szCs w:val="24"/>
              </w:rPr>
              <w:t>注意选择浇口位置，防止产生缩孔和变形</w:t>
            </w:r>
            <w:r>
              <w:rPr>
                <w:rFonts w:hint="eastAsia" w:asciiTheme="minorEastAsia" w:hAnsiTheme="minorEastAsia" w:eastAsiaTheme="minorEastAsia" w:cstheme="minorEastAsia"/>
                <w:bCs/>
                <w:color w:val="000000"/>
                <w:kern w:val="0"/>
                <w:sz w:val="24"/>
                <w:szCs w:val="24"/>
                <w:lang w:eastAsia="zh-CN"/>
              </w:rPr>
              <w:t>；</w:t>
            </w:r>
            <w:r>
              <w:rPr>
                <w:rFonts w:hint="eastAsia" w:asciiTheme="minorEastAsia" w:hAnsiTheme="minorEastAsia" w:eastAsiaTheme="minorEastAsia" w:cstheme="minorEastAsia"/>
                <w:bCs/>
                <w:sz w:val="24"/>
                <w:szCs w:val="24"/>
              </w:rPr>
              <w:t>收缩范围和收缩值大，方向性明显，易变形翘曲</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rPr>
              <w:t>冷却速度宜慢，模具设冷料穴，并有冷却系统</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rPr>
              <w:t>加热时间不宜过长，否则会发生分解，灼伤</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rPr>
              <w:t>软质塑件有较浅的侧凹槽时，可强行脱模</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rPr>
              <w:t>可能发生融体破裂，不宜与有机溶剂接触，以防开裂</w:t>
            </w:r>
            <w:r>
              <w:rPr>
                <w:rFonts w:hint="eastAsia" w:asciiTheme="minorEastAsia" w:hAnsiTheme="minorEastAsia" w:eastAsiaTheme="minorEastAsia" w:cstheme="minorEastAsia"/>
                <w:bCs/>
                <w:sz w:val="24"/>
                <w:szCs w:val="24"/>
                <w:lang w:eastAsia="zh-CN"/>
              </w:rPr>
              <w:t>。</w:t>
            </w:r>
          </w:p>
          <w:p>
            <w:pPr>
              <w:pStyle w:val="95"/>
              <w:spacing w:line="360" w:lineRule="auto"/>
              <w:ind w:firstLine="480" w:firstLineChars="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本项目原料为颗粒状，储存于密闭原料库，不会产生粉尘。</w:t>
            </w:r>
          </w:p>
          <w:p>
            <w:pPr>
              <w:spacing w:line="360" w:lineRule="auto"/>
              <w:rPr>
                <w:b/>
                <w:bCs/>
                <w:sz w:val="24"/>
              </w:rPr>
            </w:pPr>
            <w:r>
              <w:rPr>
                <w:rFonts w:hint="eastAsia"/>
                <w:b/>
                <w:bCs/>
                <w:sz w:val="24"/>
              </w:rPr>
              <w:t>四</w:t>
            </w:r>
            <w:r>
              <w:rPr>
                <w:b/>
                <w:bCs/>
                <w:sz w:val="24"/>
              </w:rPr>
              <w:t>、给排水、供电</w:t>
            </w:r>
          </w:p>
          <w:p>
            <w:pPr>
              <w:spacing w:line="360" w:lineRule="auto"/>
              <w:ind w:firstLine="480" w:firstLineChars="200"/>
              <w:rPr>
                <w:color w:val="000000"/>
                <w:sz w:val="24"/>
              </w:rPr>
            </w:pPr>
            <w:r>
              <w:rPr>
                <w:color w:val="000000"/>
                <w:sz w:val="24"/>
              </w:rPr>
              <w:t>给排水：本项目职工</w:t>
            </w:r>
            <w:r>
              <w:rPr>
                <w:rFonts w:hint="eastAsia"/>
                <w:color w:val="000000"/>
                <w:sz w:val="24"/>
              </w:rPr>
              <w:t>8</w:t>
            </w:r>
            <w:r>
              <w:rPr>
                <w:color w:val="000000"/>
                <w:sz w:val="24"/>
              </w:rPr>
              <w:t>人，单班制，</w:t>
            </w:r>
            <w:r>
              <w:rPr>
                <w:rFonts w:hint="eastAsia"/>
                <w:color w:val="000000"/>
                <w:sz w:val="24"/>
              </w:rPr>
              <w:t>10</w:t>
            </w:r>
            <w:r>
              <w:rPr>
                <w:color w:val="000000"/>
                <w:sz w:val="24"/>
              </w:rPr>
              <w:t>小时工作制，全年有效工作日为300天，生活用水来自市政供水，经化粪池处理后</w:t>
            </w:r>
            <w:r>
              <w:rPr>
                <w:rFonts w:hint="eastAsia"/>
                <w:color w:val="000000"/>
                <w:sz w:val="24"/>
              </w:rPr>
              <w:t>排入市政管网</w:t>
            </w:r>
            <w:r>
              <w:rPr>
                <w:color w:val="000000"/>
                <w:sz w:val="24"/>
              </w:rPr>
              <w:t>。</w:t>
            </w:r>
          </w:p>
          <w:p>
            <w:pPr>
              <w:pStyle w:val="95"/>
              <w:spacing w:line="360" w:lineRule="auto"/>
              <w:ind w:firstLine="480" w:firstLineChars="200"/>
              <w:rPr>
                <w:rFonts w:ascii="Times New Roman" w:hAnsi="Times New Roman" w:cs="Times New Roman"/>
                <w:bCs/>
                <w:sz w:val="24"/>
                <w:szCs w:val="24"/>
              </w:rPr>
            </w:pPr>
            <w:r>
              <w:rPr>
                <w:rFonts w:ascii="Times New Roman" w:hAnsi="Times New Roman" w:cs="Times New Roman"/>
                <w:sz w:val="24"/>
                <w:szCs w:val="24"/>
              </w:rPr>
              <w:t>供电：本项目年用电量</w:t>
            </w:r>
            <w:r>
              <w:rPr>
                <w:rFonts w:hint="eastAsia" w:ascii="Times New Roman" w:hAnsi="Times New Roman" w:cs="Times New Roman"/>
                <w:sz w:val="24"/>
                <w:szCs w:val="24"/>
              </w:rPr>
              <w:t>4</w:t>
            </w:r>
            <w:r>
              <w:rPr>
                <w:rFonts w:ascii="Times New Roman" w:hAnsi="Times New Roman" w:cs="Times New Roman"/>
                <w:sz w:val="24"/>
                <w:szCs w:val="24"/>
              </w:rPr>
              <w:t>万度，由国家电网供电。</w:t>
            </w:r>
          </w:p>
          <w:p>
            <w:pPr>
              <w:spacing w:line="360" w:lineRule="auto"/>
              <w:rPr>
                <w:b/>
                <w:sz w:val="24"/>
              </w:rPr>
            </w:pPr>
            <w:r>
              <w:rPr>
                <w:rFonts w:hint="eastAsia"/>
                <w:b/>
                <w:sz w:val="24"/>
              </w:rPr>
              <w:t>五</w:t>
            </w:r>
            <w:r>
              <w:rPr>
                <w:b/>
                <w:sz w:val="24"/>
              </w:rPr>
              <w:t>、与有关政策相符性分析</w:t>
            </w:r>
          </w:p>
          <w:p>
            <w:pPr>
              <w:spacing w:line="360" w:lineRule="auto"/>
              <w:rPr>
                <w:b/>
                <w:bCs/>
                <w:sz w:val="24"/>
              </w:rPr>
            </w:pPr>
            <w:r>
              <w:rPr>
                <w:rFonts w:hint="eastAsia"/>
                <w:b/>
                <w:bCs/>
                <w:sz w:val="24"/>
              </w:rPr>
              <w:t>1、</w:t>
            </w:r>
            <w:r>
              <w:rPr>
                <w:b/>
                <w:bCs/>
                <w:sz w:val="24"/>
              </w:rPr>
              <w:t>产业政策相符性分析</w:t>
            </w:r>
          </w:p>
          <w:p>
            <w:pPr>
              <w:spacing w:line="360" w:lineRule="auto"/>
              <w:ind w:firstLine="480" w:firstLineChars="200"/>
              <w:rPr>
                <w:sz w:val="24"/>
              </w:rPr>
            </w:pPr>
            <w:r>
              <w:rPr>
                <w:sz w:val="24"/>
              </w:rPr>
              <w:t>根据《国民经济行业分类》（GB/T4754-2017），本项目属于</w:t>
            </w:r>
            <w:r>
              <w:rPr>
                <w:rFonts w:hint="eastAsia"/>
                <w:sz w:val="24"/>
                <w:lang w:val="en-GB"/>
              </w:rPr>
              <w:t>C</w:t>
            </w:r>
            <w:r>
              <w:rPr>
                <w:rFonts w:hint="eastAsia"/>
                <w:sz w:val="24"/>
              </w:rPr>
              <w:t>2929</w:t>
            </w:r>
            <w:r>
              <w:rPr>
                <w:rFonts w:hint="eastAsia"/>
                <w:sz w:val="24"/>
                <w:lang w:val="en-GB"/>
              </w:rPr>
              <w:t>塑料零件及其他塑料制品制造</w:t>
            </w:r>
            <w:r>
              <w:rPr>
                <w:sz w:val="24"/>
              </w:rPr>
              <w:t>。</w:t>
            </w:r>
            <w:r>
              <w:rPr>
                <w:rFonts w:hint="eastAsia"/>
                <w:sz w:val="24"/>
              </w:rPr>
              <w:t>经查阅</w:t>
            </w:r>
            <w:r>
              <w:rPr>
                <w:sz w:val="24"/>
              </w:rPr>
              <w:t>《产业结构调整指导目录（2011年本）》（2013年修正），本项目</w:t>
            </w:r>
            <w:r>
              <w:rPr>
                <w:rFonts w:hint="eastAsia"/>
                <w:sz w:val="24"/>
              </w:rPr>
              <w:t>与目录对照如下：</w:t>
            </w:r>
          </w:p>
          <w:p>
            <w:pPr>
              <w:adjustRightInd w:val="0"/>
              <w:snapToGrid w:val="0"/>
              <w:ind w:firstLine="480" w:firstLineChars="200"/>
              <w:jc w:val="center"/>
              <w:rPr>
                <w:rFonts w:eastAsia="黑体"/>
                <w:sz w:val="24"/>
              </w:rPr>
            </w:pPr>
            <w:r>
              <w:rPr>
                <w:rFonts w:eastAsia="黑体"/>
                <w:bCs/>
                <w:sz w:val="24"/>
              </w:rPr>
              <w:t>表</w:t>
            </w:r>
            <w:r>
              <w:rPr>
                <w:rFonts w:hint="eastAsia" w:eastAsia="黑体"/>
                <w:bCs/>
                <w:sz w:val="24"/>
              </w:rPr>
              <w:t xml:space="preserve">6  </w:t>
            </w:r>
            <w:r>
              <w:rPr>
                <w:rFonts w:eastAsia="黑体"/>
                <w:bCs/>
                <w:sz w:val="24"/>
              </w:rPr>
              <w:t>产业政策相符性分析表</w:t>
            </w:r>
          </w:p>
          <w:tbl>
            <w:tblPr>
              <w:tblStyle w:val="24"/>
              <w:tblW w:w="806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109"/>
              <w:gridCol w:w="3151"/>
              <w:gridCol w:w="2148"/>
              <w:gridCol w:w="11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641" w:type="dxa"/>
                  <w:gridSpan w:val="2"/>
                  <w:tcBorders>
                    <w:tl2br w:val="nil"/>
                    <w:tr2bl w:val="nil"/>
                  </w:tcBorders>
                  <w:vAlign w:val="center"/>
                </w:tcPr>
                <w:p>
                  <w:pPr>
                    <w:adjustRightInd w:val="0"/>
                    <w:snapToGrid w:val="0"/>
                    <w:jc w:val="center"/>
                    <w:rPr>
                      <w:bCs/>
                      <w:szCs w:val="21"/>
                    </w:rPr>
                  </w:pPr>
                  <w:r>
                    <w:rPr>
                      <w:bCs/>
                      <w:szCs w:val="21"/>
                    </w:rPr>
                    <w:t>类别</w:t>
                  </w:r>
                </w:p>
              </w:tc>
              <w:tc>
                <w:tcPr>
                  <w:tcW w:w="3151" w:type="dxa"/>
                  <w:tcBorders>
                    <w:tl2br w:val="nil"/>
                    <w:tr2bl w:val="nil"/>
                  </w:tcBorders>
                  <w:vAlign w:val="center"/>
                </w:tcPr>
                <w:p>
                  <w:pPr>
                    <w:adjustRightInd w:val="0"/>
                    <w:snapToGrid w:val="0"/>
                    <w:jc w:val="center"/>
                    <w:rPr>
                      <w:bCs/>
                      <w:szCs w:val="21"/>
                    </w:rPr>
                  </w:pPr>
                  <w:r>
                    <w:rPr>
                      <w:bCs/>
                      <w:szCs w:val="21"/>
                    </w:rPr>
                    <w:t>产业政策条款</w:t>
                  </w:r>
                </w:p>
              </w:tc>
              <w:tc>
                <w:tcPr>
                  <w:tcW w:w="2148" w:type="dxa"/>
                  <w:tcBorders>
                    <w:tl2br w:val="nil"/>
                    <w:tr2bl w:val="nil"/>
                  </w:tcBorders>
                  <w:vAlign w:val="center"/>
                </w:tcPr>
                <w:p>
                  <w:pPr>
                    <w:adjustRightInd w:val="0"/>
                    <w:snapToGrid w:val="0"/>
                    <w:jc w:val="center"/>
                    <w:rPr>
                      <w:bCs/>
                      <w:szCs w:val="21"/>
                    </w:rPr>
                  </w:pPr>
                  <w:r>
                    <w:rPr>
                      <w:bCs/>
                      <w:szCs w:val="21"/>
                    </w:rPr>
                    <w:t>本项目情况</w:t>
                  </w:r>
                </w:p>
              </w:tc>
              <w:tc>
                <w:tcPr>
                  <w:tcW w:w="1120" w:type="dxa"/>
                  <w:tcBorders>
                    <w:tl2br w:val="nil"/>
                    <w:tr2bl w:val="nil"/>
                  </w:tcBorders>
                  <w:vAlign w:val="center"/>
                </w:tcPr>
                <w:p>
                  <w:pPr>
                    <w:adjustRightInd w:val="0"/>
                    <w:snapToGrid w:val="0"/>
                    <w:jc w:val="center"/>
                    <w:rPr>
                      <w:bCs/>
                      <w:szCs w:val="21"/>
                    </w:rPr>
                  </w:pPr>
                  <w:r>
                    <w:rPr>
                      <w:bCs/>
                      <w:szCs w:val="21"/>
                    </w:rPr>
                    <w:t>对照结果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641" w:type="dxa"/>
                  <w:gridSpan w:val="2"/>
                  <w:tcBorders>
                    <w:tl2br w:val="nil"/>
                    <w:tr2bl w:val="nil"/>
                  </w:tcBorders>
                  <w:vAlign w:val="center"/>
                </w:tcPr>
                <w:p>
                  <w:pPr>
                    <w:adjustRightInd w:val="0"/>
                    <w:snapToGrid w:val="0"/>
                    <w:jc w:val="center"/>
                    <w:rPr>
                      <w:bCs/>
                      <w:szCs w:val="21"/>
                    </w:rPr>
                  </w:pPr>
                  <w:r>
                    <w:rPr>
                      <w:bCs/>
                      <w:szCs w:val="21"/>
                    </w:rPr>
                    <w:t>鼓励类</w:t>
                  </w:r>
                </w:p>
              </w:tc>
              <w:tc>
                <w:tcPr>
                  <w:tcW w:w="3151" w:type="dxa"/>
                  <w:tcBorders>
                    <w:tl2br w:val="nil"/>
                    <w:tr2bl w:val="nil"/>
                  </w:tcBorders>
                  <w:vAlign w:val="center"/>
                </w:tcPr>
                <w:p>
                  <w:pPr>
                    <w:adjustRightInd w:val="0"/>
                    <w:snapToGrid w:val="0"/>
                    <w:jc w:val="center"/>
                    <w:rPr>
                      <w:bCs/>
                      <w:szCs w:val="21"/>
                    </w:rPr>
                  </w:pPr>
                  <w:r>
                    <w:rPr>
                      <w:rFonts w:hint="eastAsia"/>
                      <w:bCs/>
                      <w:szCs w:val="21"/>
                    </w:rPr>
                    <w:t>/</w:t>
                  </w:r>
                </w:p>
              </w:tc>
              <w:tc>
                <w:tcPr>
                  <w:tcW w:w="2148" w:type="dxa"/>
                  <w:tcBorders>
                    <w:tl2br w:val="nil"/>
                    <w:tr2bl w:val="nil"/>
                  </w:tcBorders>
                  <w:vAlign w:val="center"/>
                </w:tcPr>
                <w:p>
                  <w:pPr>
                    <w:adjustRightInd w:val="0"/>
                    <w:snapToGrid w:val="0"/>
                    <w:jc w:val="center"/>
                    <w:rPr>
                      <w:b/>
                      <w:szCs w:val="21"/>
                    </w:rPr>
                  </w:pPr>
                  <w:r>
                    <w:rPr>
                      <w:rFonts w:hint="eastAsia"/>
                      <w:bCs/>
                      <w:szCs w:val="21"/>
                    </w:rPr>
                    <w:t>/</w:t>
                  </w:r>
                </w:p>
              </w:tc>
              <w:tc>
                <w:tcPr>
                  <w:tcW w:w="1120" w:type="dxa"/>
                  <w:tcBorders>
                    <w:tl2br w:val="nil"/>
                    <w:tr2bl w:val="nil"/>
                  </w:tcBorders>
                  <w:vAlign w:val="center"/>
                </w:tcPr>
                <w:p>
                  <w:pPr>
                    <w:adjustRightInd w:val="0"/>
                    <w:snapToGrid w:val="0"/>
                    <w:jc w:val="center"/>
                    <w:rPr>
                      <w:bCs/>
                      <w:szCs w:val="21"/>
                    </w:rPr>
                  </w:pPr>
                  <w:r>
                    <w:rPr>
                      <w:rFonts w:hint="eastAsia"/>
                      <w:bCs/>
                      <w:szCs w:val="21"/>
                    </w:rPr>
                    <w:t>无对照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641" w:type="dxa"/>
                  <w:gridSpan w:val="2"/>
                  <w:tcBorders>
                    <w:tl2br w:val="nil"/>
                    <w:tr2bl w:val="nil"/>
                  </w:tcBorders>
                  <w:vAlign w:val="center"/>
                </w:tcPr>
                <w:p>
                  <w:pPr>
                    <w:adjustRightInd w:val="0"/>
                    <w:snapToGrid w:val="0"/>
                    <w:jc w:val="center"/>
                    <w:rPr>
                      <w:bCs/>
                      <w:szCs w:val="21"/>
                    </w:rPr>
                  </w:pPr>
                  <w:r>
                    <w:rPr>
                      <w:bCs/>
                      <w:szCs w:val="21"/>
                    </w:rPr>
                    <w:t>限制类</w:t>
                  </w:r>
                </w:p>
              </w:tc>
              <w:tc>
                <w:tcPr>
                  <w:tcW w:w="3151" w:type="dxa"/>
                  <w:tcBorders>
                    <w:tl2br w:val="nil"/>
                    <w:tr2bl w:val="nil"/>
                  </w:tcBorders>
                  <w:vAlign w:val="center"/>
                </w:tcPr>
                <w:p>
                  <w:pPr>
                    <w:adjustRightInd w:val="0"/>
                    <w:snapToGrid w:val="0"/>
                    <w:jc w:val="center"/>
                    <w:rPr>
                      <w:bCs/>
                      <w:szCs w:val="21"/>
                    </w:rPr>
                  </w:pPr>
                  <w:r>
                    <w:rPr>
                      <w:rFonts w:hint="eastAsia"/>
                      <w:bCs/>
                      <w:szCs w:val="21"/>
                    </w:rPr>
                    <w:t>/</w:t>
                  </w:r>
                </w:p>
              </w:tc>
              <w:tc>
                <w:tcPr>
                  <w:tcW w:w="2148" w:type="dxa"/>
                  <w:tcBorders>
                    <w:tl2br w:val="nil"/>
                    <w:tr2bl w:val="nil"/>
                  </w:tcBorders>
                  <w:vAlign w:val="center"/>
                </w:tcPr>
                <w:p>
                  <w:pPr>
                    <w:adjustRightInd w:val="0"/>
                    <w:snapToGrid w:val="0"/>
                    <w:jc w:val="center"/>
                    <w:rPr>
                      <w:bCs/>
                      <w:szCs w:val="21"/>
                    </w:rPr>
                  </w:pPr>
                  <w:r>
                    <w:rPr>
                      <w:rFonts w:hint="eastAsia"/>
                      <w:bCs/>
                      <w:szCs w:val="21"/>
                    </w:rPr>
                    <w:t>/</w:t>
                  </w:r>
                </w:p>
              </w:tc>
              <w:tc>
                <w:tcPr>
                  <w:tcW w:w="1120" w:type="dxa"/>
                  <w:tcBorders>
                    <w:tl2br w:val="nil"/>
                    <w:tr2bl w:val="nil"/>
                  </w:tcBorders>
                  <w:vAlign w:val="center"/>
                </w:tcPr>
                <w:p>
                  <w:pPr>
                    <w:adjustRightInd w:val="0"/>
                    <w:snapToGrid w:val="0"/>
                    <w:jc w:val="center"/>
                    <w:rPr>
                      <w:bCs/>
                      <w:szCs w:val="21"/>
                    </w:rPr>
                  </w:pPr>
                  <w:r>
                    <w:rPr>
                      <w:rFonts w:hint="eastAsia"/>
                      <w:bCs/>
                      <w:szCs w:val="21"/>
                    </w:rPr>
                    <w:t>无对照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32" w:type="dxa"/>
                  <w:vMerge w:val="restart"/>
                  <w:tcBorders>
                    <w:tl2br w:val="nil"/>
                    <w:tr2bl w:val="nil"/>
                  </w:tcBorders>
                  <w:vAlign w:val="center"/>
                </w:tcPr>
                <w:p>
                  <w:pPr>
                    <w:adjustRightInd w:val="0"/>
                    <w:snapToGrid w:val="0"/>
                    <w:jc w:val="center"/>
                    <w:rPr>
                      <w:bCs/>
                      <w:szCs w:val="21"/>
                    </w:rPr>
                  </w:pPr>
                  <w:r>
                    <w:rPr>
                      <w:bCs/>
                      <w:szCs w:val="21"/>
                    </w:rPr>
                    <w:t>淘汰类</w:t>
                  </w:r>
                </w:p>
              </w:tc>
              <w:tc>
                <w:tcPr>
                  <w:tcW w:w="1109" w:type="dxa"/>
                  <w:tcBorders>
                    <w:tl2br w:val="nil"/>
                    <w:tr2bl w:val="nil"/>
                  </w:tcBorders>
                  <w:vAlign w:val="center"/>
                </w:tcPr>
                <w:p>
                  <w:pPr>
                    <w:adjustRightInd w:val="0"/>
                    <w:snapToGrid w:val="0"/>
                    <w:jc w:val="center"/>
                    <w:rPr>
                      <w:szCs w:val="21"/>
                    </w:rPr>
                  </w:pPr>
                  <w:r>
                    <w:rPr>
                      <w:bCs/>
                      <w:szCs w:val="21"/>
                    </w:rPr>
                    <w:t>落后生产工艺装备</w:t>
                  </w:r>
                </w:p>
              </w:tc>
              <w:tc>
                <w:tcPr>
                  <w:tcW w:w="3151" w:type="dxa"/>
                  <w:tcBorders>
                    <w:tl2br w:val="nil"/>
                    <w:tr2bl w:val="nil"/>
                  </w:tcBorders>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2148" w:type="dxa"/>
                  <w:tcBorders>
                    <w:tl2br w:val="nil"/>
                    <w:tr2bl w:val="nil"/>
                  </w:tcBorders>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20" w:type="dxa"/>
                  <w:tcBorders>
                    <w:tl2br w:val="nil"/>
                    <w:tr2bl w:val="nil"/>
                  </w:tcBorders>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无对照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32" w:type="dxa"/>
                  <w:vMerge w:val="continue"/>
                  <w:tcBorders>
                    <w:tl2br w:val="nil"/>
                    <w:tr2bl w:val="nil"/>
                  </w:tcBorders>
                  <w:vAlign w:val="center"/>
                </w:tcPr>
                <w:p>
                  <w:pPr>
                    <w:adjustRightInd w:val="0"/>
                    <w:snapToGrid w:val="0"/>
                    <w:jc w:val="center"/>
                    <w:rPr>
                      <w:bCs/>
                      <w:szCs w:val="21"/>
                    </w:rPr>
                  </w:pPr>
                </w:p>
              </w:tc>
              <w:tc>
                <w:tcPr>
                  <w:tcW w:w="1109" w:type="dxa"/>
                  <w:tcBorders>
                    <w:tl2br w:val="nil"/>
                    <w:tr2bl w:val="nil"/>
                  </w:tcBorders>
                  <w:vAlign w:val="center"/>
                </w:tcPr>
                <w:p>
                  <w:pPr>
                    <w:adjustRightInd w:val="0"/>
                    <w:snapToGrid w:val="0"/>
                    <w:jc w:val="center"/>
                    <w:rPr>
                      <w:szCs w:val="21"/>
                    </w:rPr>
                  </w:pPr>
                  <w:r>
                    <w:rPr>
                      <w:bCs/>
                      <w:szCs w:val="21"/>
                    </w:rPr>
                    <w:t>落后产品</w:t>
                  </w:r>
                </w:p>
              </w:tc>
              <w:tc>
                <w:tcPr>
                  <w:tcW w:w="3151" w:type="dxa"/>
                  <w:tcBorders>
                    <w:tl2br w:val="nil"/>
                    <w:tr2bl w:val="nil"/>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148" w:type="dxa"/>
                  <w:tcBorders>
                    <w:tl2br w:val="nil"/>
                    <w:tr2bl w:val="nil"/>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120" w:type="dxa"/>
                  <w:tcBorders>
                    <w:tl2br w:val="nil"/>
                    <w:tr2bl w:val="nil"/>
                  </w:tcBorders>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无对照</w:t>
                  </w:r>
                </w:p>
              </w:tc>
            </w:tr>
          </w:tbl>
          <w:p>
            <w:pPr>
              <w:adjustRightInd w:val="0"/>
              <w:snapToGrid w:val="0"/>
              <w:spacing w:line="360" w:lineRule="auto"/>
              <w:rPr>
                <w:sz w:val="24"/>
              </w:rPr>
            </w:pPr>
          </w:p>
          <w:p>
            <w:pPr>
              <w:wordWrap w:val="0"/>
              <w:adjustRightInd w:val="0"/>
              <w:snapToGrid w:val="0"/>
              <w:spacing w:line="360" w:lineRule="auto"/>
              <w:ind w:firstLine="480" w:firstLineChars="200"/>
              <w:rPr>
                <w:snapToGrid w:val="0"/>
                <w:kern w:val="21"/>
                <w:sz w:val="24"/>
              </w:rPr>
            </w:pPr>
            <w:r>
              <w:rPr>
                <w:snapToGrid w:val="0"/>
                <w:kern w:val="21"/>
                <w:sz w:val="24"/>
              </w:rPr>
              <w:t>综上，本项目</w:t>
            </w:r>
            <w:r>
              <w:rPr>
                <w:rFonts w:hint="eastAsia"/>
                <w:snapToGrid w:val="0"/>
                <w:kern w:val="21"/>
                <w:sz w:val="24"/>
              </w:rPr>
              <w:t>不</w:t>
            </w:r>
            <w:r>
              <w:rPr>
                <w:snapToGrid w:val="0"/>
                <w:kern w:val="21"/>
                <w:sz w:val="24"/>
              </w:rPr>
              <w:t>属于规定的鼓励类</w:t>
            </w:r>
            <w:r>
              <w:rPr>
                <w:rFonts w:hint="eastAsia"/>
                <w:snapToGrid w:val="0"/>
                <w:kern w:val="21"/>
                <w:sz w:val="24"/>
              </w:rPr>
              <w:t>、限制类、淘汰类项目</w:t>
            </w:r>
            <w:r>
              <w:rPr>
                <w:snapToGrid w:val="0"/>
                <w:kern w:val="21"/>
                <w:sz w:val="24"/>
              </w:rPr>
              <w:t>，</w:t>
            </w:r>
            <w:r>
              <w:rPr>
                <w:rFonts w:hint="eastAsia"/>
                <w:snapToGrid w:val="0"/>
                <w:kern w:val="21"/>
                <w:sz w:val="24"/>
              </w:rPr>
              <w:t>为允许类项目，</w:t>
            </w:r>
            <w:r>
              <w:rPr>
                <w:snapToGrid w:val="0"/>
                <w:kern w:val="21"/>
                <w:sz w:val="24"/>
              </w:rPr>
              <w:t>符合国家产业政策。项目已经在</w:t>
            </w:r>
            <w:r>
              <w:rPr>
                <w:rFonts w:hint="eastAsia"/>
                <w:snapToGrid w:val="0"/>
                <w:kern w:val="21"/>
                <w:sz w:val="24"/>
              </w:rPr>
              <w:t>河南新乡经济技术集聚区管理委员会</w:t>
            </w:r>
            <w:r>
              <w:rPr>
                <w:snapToGrid w:val="0"/>
                <w:kern w:val="21"/>
                <w:sz w:val="24"/>
              </w:rPr>
              <w:t>备案，项目代码</w:t>
            </w:r>
            <w:r>
              <w:rPr>
                <w:rFonts w:hint="eastAsia"/>
                <w:snapToGrid w:val="0"/>
                <w:kern w:val="21"/>
                <w:sz w:val="24"/>
                <w:lang w:eastAsia="zh-CN"/>
              </w:rPr>
              <w:t>：</w:t>
            </w:r>
            <w:r>
              <w:rPr>
                <w:rFonts w:hint="eastAsia"/>
                <w:bCs/>
                <w:sz w:val="24"/>
              </w:rPr>
              <w:t>2019-410721-29-03-012182</w:t>
            </w:r>
            <w:r>
              <w:rPr>
                <w:snapToGrid w:val="0"/>
                <w:kern w:val="21"/>
                <w:sz w:val="24"/>
              </w:rPr>
              <w:t>。</w:t>
            </w:r>
          </w:p>
          <w:p>
            <w:pPr>
              <w:adjustRightInd w:val="0"/>
              <w:snapToGrid w:val="0"/>
              <w:spacing w:line="360" w:lineRule="auto"/>
              <w:rPr>
                <w:b/>
                <w:bCs/>
                <w:sz w:val="24"/>
              </w:rPr>
            </w:pPr>
            <w:r>
              <w:rPr>
                <w:rFonts w:hint="eastAsia"/>
                <w:b/>
                <w:bCs/>
                <w:sz w:val="24"/>
              </w:rPr>
              <w:t>2、</w:t>
            </w:r>
            <w:r>
              <w:rPr>
                <w:b/>
                <w:bCs/>
                <w:sz w:val="24"/>
              </w:rPr>
              <w:t>与新环〔2015〕342号文相符性分析</w:t>
            </w:r>
          </w:p>
          <w:p>
            <w:pPr>
              <w:adjustRightInd w:val="0"/>
              <w:snapToGrid w:val="0"/>
              <w:spacing w:line="360" w:lineRule="auto"/>
              <w:ind w:firstLine="480" w:firstLineChars="200"/>
              <w:rPr>
                <w:sz w:val="24"/>
              </w:rPr>
            </w:pPr>
            <w:r>
              <w:rPr>
                <w:color w:val="000000"/>
                <w:sz w:val="24"/>
              </w:rPr>
              <w:t>本项目位于</w:t>
            </w:r>
            <w:r>
              <w:rPr>
                <w:rFonts w:hint="eastAsia"/>
                <w:sz w:val="24"/>
              </w:rPr>
              <w:t>新乡市新乡县七里营镇刘庄路与新远路交叉口向西路南38号</w:t>
            </w:r>
            <w:r>
              <w:rPr>
                <w:color w:val="000000"/>
                <w:sz w:val="24"/>
              </w:rPr>
              <w:t>，与</w:t>
            </w:r>
            <w:r>
              <w:rPr>
                <w:sz w:val="24"/>
              </w:rPr>
              <w:t>《关于印发深化建设项目环境影响评价审批制度改革实施细则的通知》新环〔2015〕342号（以下简称《通知》），对照分析见下表。</w:t>
            </w:r>
          </w:p>
          <w:p>
            <w:pPr>
              <w:adjustRightInd w:val="0"/>
              <w:snapToGrid w:val="0"/>
              <w:jc w:val="center"/>
              <w:textAlignment w:val="baseline"/>
              <w:rPr>
                <w:rFonts w:eastAsia="黑体"/>
                <w:bCs/>
                <w:sz w:val="24"/>
              </w:rPr>
            </w:pPr>
          </w:p>
          <w:p>
            <w:pPr>
              <w:adjustRightInd w:val="0"/>
              <w:snapToGrid w:val="0"/>
              <w:jc w:val="center"/>
              <w:textAlignment w:val="baseline"/>
              <w:rPr>
                <w:rFonts w:eastAsia="黑体"/>
                <w:bCs/>
                <w:sz w:val="24"/>
              </w:rPr>
            </w:pPr>
          </w:p>
          <w:p>
            <w:pPr>
              <w:adjustRightInd w:val="0"/>
              <w:snapToGrid w:val="0"/>
              <w:jc w:val="center"/>
              <w:textAlignment w:val="baseline"/>
              <w:rPr>
                <w:rFonts w:eastAsia="黑体"/>
                <w:bCs/>
                <w:sz w:val="24"/>
              </w:rPr>
            </w:pPr>
          </w:p>
          <w:p>
            <w:pPr>
              <w:adjustRightInd w:val="0"/>
              <w:snapToGrid w:val="0"/>
              <w:jc w:val="center"/>
              <w:textAlignment w:val="baseline"/>
              <w:rPr>
                <w:rFonts w:eastAsia="黑体"/>
                <w:bCs/>
                <w:sz w:val="24"/>
              </w:rPr>
            </w:pPr>
            <w:r>
              <w:rPr>
                <w:rFonts w:eastAsia="黑体"/>
                <w:bCs/>
                <w:sz w:val="24"/>
              </w:rPr>
              <w:t>表</w:t>
            </w:r>
            <w:r>
              <w:rPr>
                <w:rFonts w:hint="eastAsia" w:eastAsia="黑体"/>
                <w:bCs/>
                <w:sz w:val="24"/>
              </w:rPr>
              <w:t>7</w:t>
            </w:r>
            <w:r>
              <w:rPr>
                <w:rFonts w:eastAsia="黑体"/>
                <w:bCs/>
                <w:sz w:val="24"/>
              </w:rPr>
              <w:t xml:space="preserve">  与《通知》对比分析一览表</w:t>
            </w:r>
          </w:p>
          <w:tbl>
            <w:tblPr>
              <w:tblStyle w:val="23"/>
              <w:tblW w:w="850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859"/>
              <w:gridCol w:w="3615"/>
              <w:gridCol w:w="1533"/>
              <w:gridCol w:w="124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7" w:type="dxa"/>
                  <w:tcBorders>
                    <w:top w:val="single" w:color="auto" w:sz="8" w:space="0"/>
                    <w:left w:val="nil"/>
                    <w:bottom w:val="single" w:color="auto" w:sz="8" w:space="0"/>
                  </w:tcBorders>
                  <w:vAlign w:val="center"/>
                </w:tcPr>
                <w:p>
                  <w:pPr>
                    <w:adjustRightInd w:val="0"/>
                    <w:snapToGrid w:val="0"/>
                    <w:jc w:val="center"/>
                    <w:rPr>
                      <w:bCs/>
                      <w:szCs w:val="21"/>
                    </w:rPr>
                  </w:pPr>
                  <w:r>
                    <w:rPr>
                      <w:bCs/>
                      <w:szCs w:val="21"/>
                    </w:rPr>
                    <w:t>项目</w:t>
                  </w:r>
                </w:p>
              </w:tc>
              <w:tc>
                <w:tcPr>
                  <w:tcW w:w="4474" w:type="dxa"/>
                  <w:gridSpan w:val="2"/>
                  <w:tcBorders>
                    <w:top w:val="single" w:color="auto" w:sz="8" w:space="0"/>
                    <w:bottom w:val="single" w:color="auto" w:sz="8" w:space="0"/>
                  </w:tcBorders>
                  <w:vAlign w:val="center"/>
                </w:tcPr>
                <w:p>
                  <w:pPr>
                    <w:adjustRightInd w:val="0"/>
                    <w:snapToGrid w:val="0"/>
                    <w:jc w:val="center"/>
                    <w:rPr>
                      <w:bCs/>
                      <w:szCs w:val="21"/>
                    </w:rPr>
                  </w:pPr>
                  <w:r>
                    <w:rPr>
                      <w:bCs/>
                      <w:szCs w:val="21"/>
                    </w:rPr>
                    <w:t>与本项目相关条文</w:t>
                  </w:r>
                </w:p>
              </w:tc>
              <w:tc>
                <w:tcPr>
                  <w:tcW w:w="1533" w:type="dxa"/>
                  <w:tcBorders>
                    <w:top w:val="single" w:color="auto" w:sz="8" w:space="0"/>
                    <w:bottom w:val="single" w:color="auto" w:sz="8" w:space="0"/>
                  </w:tcBorders>
                  <w:vAlign w:val="center"/>
                </w:tcPr>
                <w:p>
                  <w:pPr>
                    <w:adjustRightInd w:val="0"/>
                    <w:snapToGrid w:val="0"/>
                    <w:jc w:val="center"/>
                    <w:rPr>
                      <w:bCs/>
                      <w:szCs w:val="21"/>
                    </w:rPr>
                  </w:pPr>
                  <w:r>
                    <w:rPr>
                      <w:bCs/>
                      <w:szCs w:val="21"/>
                    </w:rPr>
                    <w:t>本项目情况</w:t>
                  </w:r>
                </w:p>
              </w:tc>
              <w:tc>
                <w:tcPr>
                  <w:tcW w:w="1240" w:type="dxa"/>
                  <w:tcBorders>
                    <w:top w:val="single" w:color="auto" w:sz="8" w:space="0"/>
                    <w:bottom w:val="single" w:color="auto" w:sz="8" w:space="0"/>
                    <w:right w:val="nil"/>
                  </w:tcBorders>
                  <w:vAlign w:val="center"/>
                </w:tcPr>
                <w:p>
                  <w:pPr>
                    <w:adjustRightInd w:val="0"/>
                    <w:snapToGrid w:val="0"/>
                    <w:jc w:val="center"/>
                    <w:rPr>
                      <w:bCs/>
                      <w:szCs w:val="21"/>
                    </w:rPr>
                  </w:pPr>
                  <w:r>
                    <w:rPr>
                      <w:bCs/>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7" w:type="dxa"/>
                  <w:vMerge w:val="restart"/>
                  <w:tcBorders>
                    <w:top w:val="single" w:color="auto" w:sz="8" w:space="0"/>
                    <w:left w:val="nil"/>
                  </w:tcBorders>
                  <w:vAlign w:val="center"/>
                </w:tcPr>
                <w:p>
                  <w:pPr>
                    <w:adjustRightInd w:val="0"/>
                    <w:snapToGrid w:val="0"/>
                    <w:jc w:val="center"/>
                    <w:rPr>
                      <w:szCs w:val="21"/>
                    </w:rPr>
                  </w:pPr>
                  <w:r>
                    <w:rPr>
                      <w:szCs w:val="21"/>
                    </w:rPr>
                    <w:t>新乡市主体功能区分</w:t>
                  </w:r>
                </w:p>
              </w:tc>
              <w:tc>
                <w:tcPr>
                  <w:tcW w:w="4474" w:type="dxa"/>
                  <w:gridSpan w:val="2"/>
                  <w:tcBorders>
                    <w:top w:val="single" w:color="auto" w:sz="8" w:space="0"/>
                  </w:tcBorders>
                  <w:vAlign w:val="center"/>
                </w:tcPr>
                <w:p>
                  <w:pPr>
                    <w:adjustRightInd w:val="0"/>
                    <w:snapToGrid w:val="0"/>
                    <w:jc w:val="center"/>
                    <w:rPr>
                      <w:szCs w:val="21"/>
                    </w:rPr>
                  </w:pPr>
                  <w:r>
                    <w:rPr>
                      <w:szCs w:val="21"/>
                    </w:rPr>
                    <w:t>工业准入优先区：我市范围内的省级产业集聚区、市级人民政府规范设立的专业园区。</w:t>
                  </w:r>
                </w:p>
              </w:tc>
              <w:tc>
                <w:tcPr>
                  <w:tcW w:w="1533" w:type="dxa"/>
                  <w:vMerge w:val="restart"/>
                  <w:tcBorders>
                    <w:top w:val="single" w:color="auto" w:sz="8" w:space="0"/>
                  </w:tcBorders>
                  <w:vAlign w:val="center"/>
                </w:tcPr>
                <w:p>
                  <w:pPr>
                    <w:adjustRightInd w:val="0"/>
                    <w:snapToGrid w:val="0"/>
                    <w:jc w:val="center"/>
                    <w:rPr>
                      <w:szCs w:val="21"/>
                      <w:highlight w:val="yellow"/>
                    </w:rPr>
                  </w:pPr>
                  <w:r>
                    <w:rPr>
                      <w:szCs w:val="21"/>
                    </w:rPr>
                    <w:t>项目厂址位于</w:t>
                  </w:r>
                  <w:r>
                    <w:rPr>
                      <w:rFonts w:hint="eastAsia"/>
                      <w:szCs w:val="21"/>
                    </w:rPr>
                    <w:t>新乡经济技术产业集聚区</w:t>
                  </w:r>
                  <w:r>
                    <w:rPr>
                      <w:szCs w:val="21"/>
                    </w:rPr>
                    <w:t>。</w:t>
                  </w:r>
                </w:p>
              </w:tc>
              <w:tc>
                <w:tcPr>
                  <w:tcW w:w="1240" w:type="dxa"/>
                  <w:tcBorders>
                    <w:top w:val="single" w:color="auto" w:sz="8" w:space="0"/>
                    <w:right w:val="nil"/>
                  </w:tcBorders>
                  <w:vAlign w:val="center"/>
                </w:tcPr>
                <w:p>
                  <w:pPr>
                    <w:adjustRightInd w:val="0"/>
                    <w:snapToGrid w:val="0"/>
                    <w:jc w:val="center"/>
                    <w:rPr>
                      <w:szCs w:val="21"/>
                    </w:rPr>
                  </w:pPr>
                  <w:r>
                    <w:rPr>
                      <w:szCs w:val="21"/>
                    </w:rPr>
                    <w:t>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7" w:type="dxa"/>
                  <w:vMerge w:val="continue"/>
                  <w:tcBorders>
                    <w:top w:val="single" w:color="auto" w:sz="8" w:space="0"/>
                    <w:left w:val="nil"/>
                  </w:tcBorders>
                  <w:vAlign w:val="center"/>
                </w:tcPr>
                <w:p>
                  <w:pPr>
                    <w:adjustRightInd w:val="0"/>
                    <w:snapToGrid w:val="0"/>
                    <w:jc w:val="center"/>
                    <w:rPr>
                      <w:szCs w:val="21"/>
                    </w:rPr>
                  </w:pPr>
                </w:p>
              </w:tc>
              <w:tc>
                <w:tcPr>
                  <w:tcW w:w="4474" w:type="dxa"/>
                  <w:gridSpan w:val="2"/>
                  <w:tcBorders>
                    <w:top w:val="single" w:color="auto" w:sz="8" w:space="0"/>
                  </w:tcBorders>
                  <w:vAlign w:val="center"/>
                </w:tcPr>
                <w:p>
                  <w:pPr>
                    <w:adjustRightInd w:val="0"/>
                    <w:snapToGrid w:val="0"/>
                    <w:jc w:val="center"/>
                    <w:rPr>
                      <w:szCs w:val="21"/>
                    </w:rPr>
                  </w:pPr>
                  <w:r>
                    <w:rPr>
                      <w:szCs w:val="21"/>
                    </w:rPr>
                    <w:t>城市人居功能区：新乡市市区（含平原城乡一体示范区）、县城建成区，以及规划区中以居住、商贸、文教科研为主的区域。</w:t>
                  </w:r>
                </w:p>
              </w:tc>
              <w:tc>
                <w:tcPr>
                  <w:tcW w:w="1533" w:type="dxa"/>
                  <w:vMerge w:val="continue"/>
                  <w:tcBorders>
                    <w:top w:val="single" w:color="auto" w:sz="8" w:space="0"/>
                  </w:tcBorders>
                  <w:vAlign w:val="center"/>
                </w:tcPr>
                <w:p>
                  <w:pPr>
                    <w:adjustRightInd w:val="0"/>
                    <w:snapToGrid w:val="0"/>
                    <w:jc w:val="center"/>
                    <w:rPr>
                      <w:szCs w:val="21"/>
                    </w:rPr>
                  </w:pPr>
                </w:p>
              </w:tc>
              <w:tc>
                <w:tcPr>
                  <w:tcW w:w="1240" w:type="dxa"/>
                  <w:tcBorders>
                    <w:top w:val="single" w:color="auto" w:sz="8" w:space="0"/>
                    <w:right w:val="nil"/>
                  </w:tcBorders>
                  <w:vAlign w:val="center"/>
                </w:tcPr>
                <w:p>
                  <w:pPr>
                    <w:adjustRightInd w:val="0"/>
                    <w:snapToGrid w:val="0"/>
                    <w:jc w:val="center"/>
                    <w:rPr>
                      <w:szCs w:val="21"/>
                    </w:rPr>
                  </w:pPr>
                  <w:r>
                    <w:rPr>
                      <w:szCs w:val="21"/>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257" w:type="dxa"/>
                  <w:vMerge w:val="continue"/>
                  <w:tcBorders>
                    <w:left w:val="nil"/>
                  </w:tcBorders>
                  <w:vAlign w:val="center"/>
                </w:tcPr>
                <w:p>
                  <w:pPr>
                    <w:adjustRightInd w:val="0"/>
                    <w:snapToGrid w:val="0"/>
                    <w:jc w:val="center"/>
                    <w:rPr>
                      <w:szCs w:val="21"/>
                    </w:rPr>
                  </w:pPr>
                </w:p>
              </w:tc>
              <w:tc>
                <w:tcPr>
                  <w:tcW w:w="4474" w:type="dxa"/>
                  <w:gridSpan w:val="2"/>
                  <w:vAlign w:val="center"/>
                </w:tcPr>
                <w:p>
                  <w:pPr>
                    <w:adjustRightInd w:val="0"/>
                    <w:snapToGrid w:val="0"/>
                    <w:jc w:val="center"/>
                    <w:rPr>
                      <w:szCs w:val="21"/>
                    </w:rPr>
                  </w:pPr>
                  <w:r>
                    <w:rPr>
                      <w:szCs w:val="21"/>
                    </w:rPr>
                    <w:t>农产品主产区：辉县市、获嘉县、原阳县、延津县、封丘县。（不含产业集聚区、专业园区和县城建成区以及规划区中以居住、商贸、文教科研为主的区域）</w:t>
                  </w:r>
                </w:p>
              </w:tc>
              <w:tc>
                <w:tcPr>
                  <w:tcW w:w="1533" w:type="dxa"/>
                  <w:vMerge w:val="continue"/>
                  <w:vAlign w:val="center"/>
                </w:tcPr>
                <w:p>
                  <w:pPr>
                    <w:adjustRightInd w:val="0"/>
                    <w:snapToGrid w:val="0"/>
                    <w:jc w:val="center"/>
                    <w:rPr>
                      <w:szCs w:val="21"/>
                      <w:highlight w:val="yellow"/>
                    </w:rPr>
                  </w:pPr>
                </w:p>
              </w:tc>
              <w:tc>
                <w:tcPr>
                  <w:tcW w:w="1240" w:type="dxa"/>
                  <w:tcBorders>
                    <w:right w:val="nil"/>
                  </w:tcBorders>
                  <w:vAlign w:val="center"/>
                </w:tcPr>
                <w:p>
                  <w:pPr>
                    <w:adjustRightInd w:val="0"/>
                    <w:snapToGrid w:val="0"/>
                    <w:jc w:val="center"/>
                    <w:rPr>
                      <w:szCs w:val="21"/>
                    </w:rPr>
                  </w:pPr>
                  <w:r>
                    <w:rPr>
                      <w:szCs w:val="21"/>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57" w:type="dxa"/>
                  <w:vMerge w:val="continue"/>
                  <w:tcBorders>
                    <w:left w:val="nil"/>
                  </w:tcBorders>
                  <w:vAlign w:val="center"/>
                </w:tcPr>
                <w:p>
                  <w:pPr>
                    <w:adjustRightInd w:val="0"/>
                    <w:snapToGrid w:val="0"/>
                    <w:jc w:val="center"/>
                    <w:rPr>
                      <w:szCs w:val="21"/>
                    </w:rPr>
                  </w:pPr>
                </w:p>
              </w:tc>
              <w:tc>
                <w:tcPr>
                  <w:tcW w:w="4474" w:type="dxa"/>
                  <w:gridSpan w:val="2"/>
                  <w:vAlign w:val="center"/>
                </w:tcPr>
                <w:p>
                  <w:pPr>
                    <w:adjustRightInd w:val="0"/>
                    <w:snapToGrid w:val="0"/>
                    <w:jc w:val="center"/>
                    <w:rPr>
                      <w:szCs w:val="21"/>
                    </w:rPr>
                  </w:pPr>
                  <w:r>
                    <w:rPr>
                      <w:szCs w:val="21"/>
                    </w:rPr>
                    <w:t>特殊环境敏感区：（1）禁止开发区域：国家、省级自然保护区，世界文化自然遗产，国家、省级风景名胜区，国家，省级森林公园，国家级、省级地质公园，国家、省级湿地公园，国家级、省级水产种植资源保护区；（2）依法划定的集中式饮用水源地一、二级保护区</w:t>
                  </w:r>
                </w:p>
              </w:tc>
              <w:tc>
                <w:tcPr>
                  <w:tcW w:w="1533" w:type="dxa"/>
                  <w:vMerge w:val="continue"/>
                  <w:vAlign w:val="center"/>
                </w:tcPr>
                <w:p>
                  <w:pPr>
                    <w:adjustRightInd w:val="0"/>
                    <w:snapToGrid w:val="0"/>
                    <w:jc w:val="center"/>
                    <w:rPr>
                      <w:szCs w:val="21"/>
                      <w:highlight w:val="yellow"/>
                    </w:rPr>
                  </w:pPr>
                </w:p>
              </w:tc>
              <w:tc>
                <w:tcPr>
                  <w:tcW w:w="1240" w:type="dxa"/>
                  <w:tcBorders>
                    <w:right w:val="nil"/>
                  </w:tcBorders>
                  <w:vAlign w:val="center"/>
                </w:tcPr>
                <w:p>
                  <w:pPr>
                    <w:adjustRightInd w:val="0"/>
                    <w:snapToGrid w:val="0"/>
                    <w:jc w:val="center"/>
                    <w:rPr>
                      <w:szCs w:val="21"/>
                    </w:rPr>
                  </w:pPr>
                  <w:r>
                    <w:rPr>
                      <w:szCs w:val="21"/>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7" w:type="dxa"/>
                  <w:vMerge w:val="restart"/>
                  <w:tcBorders>
                    <w:left w:val="nil"/>
                  </w:tcBorders>
                  <w:vAlign w:val="center"/>
                </w:tcPr>
                <w:p>
                  <w:pPr>
                    <w:adjustRightInd w:val="0"/>
                    <w:snapToGrid w:val="0"/>
                    <w:jc w:val="center"/>
                    <w:rPr>
                      <w:szCs w:val="21"/>
                    </w:rPr>
                  </w:pPr>
                  <w:r>
                    <w:rPr>
                      <w:szCs w:val="21"/>
                    </w:rPr>
                    <w:t>污染防治（控）重点单元</w:t>
                  </w:r>
                </w:p>
              </w:tc>
              <w:tc>
                <w:tcPr>
                  <w:tcW w:w="859" w:type="dxa"/>
                  <w:vAlign w:val="center"/>
                </w:tcPr>
                <w:p>
                  <w:pPr>
                    <w:adjustRightInd w:val="0"/>
                    <w:snapToGrid w:val="0"/>
                    <w:jc w:val="center"/>
                    <w:rPr>
                      <w:szCs w:val="21"/>
                    </w:rPr>
                  </w:pPr>
                  <w:r>
                    <w:rPr>
                      <w:szCs w:val="21"/>
                    </w:rPr>
                    <w:t>水污染</w:t>
                  </w:r>
                </w:p>
              </w:tc>
              <w:tc>
                <w:tcPr>
                  <w:tcW w:w="3615" w:type="dxa"/>
                  <w:vAlign w:val="center"/>
                </w:tcPr>
                <w:p>
                  <w:pPr>
                    <w:adjustRightInd w:val="0"/>
                    <w:snapToGrid w:val="0"/>
                    <w:jc w:val="center"/>
                    <w:rPr>
                      <w:color w:val="FF0000"/>
                      <w:szCs w:val="21"/>
                    </w:rPr>
                  </w:pPr>
                  <w:r>
                    <w:rPr>
                      <w:szCs w:val="21"/>
                    </w:rPr>
                    <w:t>在《水污染防治重点单元》内的我市市区、新乡县、卫辉市、辉县市、获嘉县等区域内，不予审批煤化工、化学合成药以及生物发酵制药、制浆造纸、制革及毛皮鞣制、印染等行业单纯新建和单纯扩大产能的项目</w:t>
                  </w:r>
                </w:p>
              </w:tc>
              <w:tc>
                <w:tcPr>
                  <w:tcW w:w="1533" w:type="dxa"/>
                  <w:vAlign w:val="center"/>
                </w:tcPr>
                <w:p>
                  <w:pPr>
                    <w:adjustRightInd w:val="0"/>
                    <w:snapToGrid w:val="0"/>
                    <w:jc w:val="center"/>
                    <w:rPr>
                      <w:szCs w:val="21"/>
                    </w:rPr>
                  </w:pPr>
                  <w:r>
                    <w:rPr>
                      <w:szCs w:val="21"/>
                    </w:rPr>
                    <w:t>本项目属于</w:t>
                  </w:r>
                  <w:r>
                    <w:rPr>
                      <w:rFonts w:hint="eastAsia"/>
                      <w:szCs w:val="21"/>
                      <w:lang w:val="en-GB"/>
                    </w:rPr>
                    <w:t>塑料制品</w:t>
                  </w:r>
                  <w:r>
                    <w:rPr>
                      <w:szCs w:val="21"/>
                      <w:lang w:val="en-GB"/>
                    </w:rPr>
                    <w:t>制造</w:t>
                  </w:r>
                  <w:r>
                    <w:rPr>
                      <w:szCs w:val="21"/>
                    </w:rPr>
                    <w:t>，不属于限制类、禁止类项目</w:t>
                  </w:r>
                </w:p>
              </w:tc>
              <w:tc>
                <w:tcPr>
                  <w:tcW w:w="1240" w:type="dxa"/>
                  <w:tcBorders>
                    <w:right w:val="nil"/>
                  </w:tcBorders>
                  <w:vAlign w:val="center"/>
                </w:tcPr>
                <w:p>
                  <w:pPr>
                    <w:adjustRightInd w:val="0"/>
                    <w:snapToGrid w:val="0"/>
                    <w:jc w:val="center"/>
                    <w:rPr>
                      <w:szCs w:val="21"/>
                    </w:rPr>
                  </w:pPr>
                  <w:r>
                    <w:rPr>
                      <w:szCs w:val="21"/>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7" w:type="dxa"/>
                  <w:vMerge w:val="continue"/>
                  <w:tcBorders>
                    <w:left w:val="nil"/>
                  </w:tcBorders>
                  <w:vAlign w:val="center"/>
                </w:tcPr>
                <w:p>
                  <w:pPr>
                    <w:adjustRightInd w:val="0"/>
                    <w:snapToGrid w:val="0"/>
                    <w:jc w:val="center"/>
                    <w:rPr>
                      <w:szCs w:val="21"/>
                    </w:rPr>
                  </w:pPr>
                </w:p>
              </w:tc>
              <w:tc>
                <w:tcPr>
                  <w:tcW w:w="859" w:type="dxa"/>
                  <w:vAlign w:val="center"/>
                </w:tcPr>
                <w:p>
                  <w:pPr>
                    <w:adjustRightInd w:val="0"/>
                    <w:snapToGrid w:val="0"/>
                    <w:jc w:val="center"/>
                    <w:rPr>
                      <w:szCs w:val="21"/>
                    </w:rPr>
                  </w:pPr>
                  <w:r>
                    <w:rPr>
                      <w:szCs w:val="21"/>
                    </w:rPr>
                    <w:t>大气污染</w:t>
                  </w:r>
                </w:p>
              </w:tc>
              <w:tc>
                <w:tcPr>
                  <w:tcW w:w="3615" w:type="dxa"/>
                  <w:vAlign w:val="center"/>
                </w:tcPr>
                <w:p>
                  <w:pPr>
                    <w:adjustRightInd w:val="0"/>
                    <w:snapToGrid w:val="0"/>
                    <w:jc w:val="center"/>
                    <w:rPr>
                      <w:szCs w:val="21"/>
                    </w:rPr>
                  </w:pPr>
                  <w:r>
                    <w:rPr>
                      <w:szCs w:val="21"/>
                    </w:rPr>
                    <w:t>在《大气污染防治重点单元》内的我市全部区域，严格燃煤火电项目审批，不予审批煤化工、冶金、钢铁、铁合金等行业单纯新建和单纯扩大产能的项目</w:t>
                  </w:r>
                </w:p>
              </w:tc>
              <w:tc>
                <w:tcPr>
                  <w:tcW w:w="1533" w:type="dxa"/>
                  <w:vAlign w:val="center"/>
                </w:tcPr>
                <w:p>
                  <w:pPr>
                    <w:adjustRightInd w:val="0"/>
                    <w:snapToGrid w:val="0"/>
                    <w:jc w:val="center"/>
                    <w:rPr>
                      <w:szCs w:val="21"/>
                    </w:rPr>
                  </w:pPr>
                  <w:r>
                    <w:rPr>
                      <w:szCs w:val="21"/>
                    </w:rPr>
                    <w:t>本项目属于</w:t>
                  </w:r>
                  <w:r>
                    <w:rPr>
                      <w:rFonts w:hint="eastAsia"/>
                      <w:szCs w:val="21"/>
                      <w:lang w:val="en-GB"/>
                    </w:rPr>
                    <w:t>塑料制品</w:t>
                  </w:r>
                  <w:r>
                    <w:rPr>
                      <w:szCs w:val="21"/>
                      <w:lang w:val="en-GB"/>
                    </w:rPr>
                    <w:t>制造</w:t>
                  </w:r>
                  <w:r>
                    <w:rPr>
                      <w:szCs w:val="21"/>
                    </w:rPr>
                    <w:t>，不属于限制类、禁止类项目</w:t>
                  </w:r>
                </w:p>
              </w:tc>
              <w:tc>
                <w:tcPr>
                  <w:tcW w:w="1240" w:type="dxa"/>
                  <w:tcBorders>
                    <w:right w:val="nil"/>
                  </w:tcBorders>
                  <w:vAlign w:val="center"/>
                </w:tcPr>
                <w:p>
                  <w:pPr>
                    <w:adjustRightInd w:val="0"/>
                    <w:snapToGrid w:val="0"/>
                    <w:jc w:val="center"/>
                    <w:rPr>
                      <w:szCs w:val="21"/>
                    </w:rPr>
                  </w:pPr>
                  <w:r>
                    <w:rPr>
                      <w:szCs w:val="21"/>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7" w:type="dxa"/>
                  <w:vMerge w:val="continue"/>
                  <w:tcBorders>
                    <w:left w:val="nil"/>
                  </w:tcBorders>
                  <w:vAlign w:val="center"/>
                </w:tcPr>
                <w:p>
                  <w:pPr>
                    <w:adjustRightInd w:val="0"/>
                    <w:snapToGrid w:val="0"/>
                    <w:jc w:val="center"/>
                    <w:rPr>
                      <w:szCs w:val="21"/>
                    </w:rPr>
                  </w:pPr>
                </w:p>
              </w:tc>
              <w:tc>
                <w:tcPr>
                  <w:tcW w:w="859" w:type="dxa"/>
                  <w:vAlign w:val="center"/>
                </w:tcPr>
                <w:p>
                  <w:pPr>
                    <w:adjustRightInd w:val="0"/>
                    <w:snapToGrid w:val="0"/>
                    <w:jc w:val="center"/>
                    <w:rPr>
                      <w:szCs w:val="21"/>
                    </w:rPr>
                  </w:pPr>
                  <w:r>
                    <w:rPr>
                      <w:szCs w:val="21"/>
                    </w:rPr>
                    <w:t>重金属</w:t>
                  </w:r>
                </w:p>
                <w:p>
                  <w:pPr>
                    <w:adjustRightInd w:val="0"/>
                    <w:snapToGrid w:val="0"/>
                    <w:jc w:val="center"/>
                    <w:rPr>
                      <w:szCs w:val="21"/>
                    </w:rPr>
                  </w:pPr>
                  <w:r>
                    <w:rPr>
                      <w:szCs w:val="21"/>
                    </w:rPr>
                    <w:t>污染</w:t>
                  </w:r>
                </w:p>
              </w:tc>
              <w:tc>
                <w:tcPr>
                  <w:tcW w:w="3615" w:type="dxa"/>
                  <w:vAlign w:val="center"/>
                </w:tcPr>
                <w:p>
                  <w:pPr>
                    <w:adjustRightInd w:val="0"/>
                    <w:snapToGrid w:val="0"/>
                    <w:jc w:val="center"/>
                    <w:rPr>
                      <w:szCs w:val="21"/>
                    </w:rPr>
                  </w:pPr>
                  <w:r>
                    <w:rPr>
                      <w:szCs w:val="21"/>
                    </w:rPr>
                    <w:t>在《重金属污染防控单元》内的新乡县、凤泉区铅镉污染防控区区域内，涉及铅、铬、镉、汞、砷等重金属污染物排放的相关项目以“减量替代”为原则，不予审批新增重金属污染物排放的相应项目。（符合省、市重大产业布局的项目除外）</w:t>
                  </w:r>
                </w:p>
              </w:tc>
              <w:tc>
                <w:tcPr>
                  <w:tcW w:w="1533" w:type="dxa"/>
                  <w:vAlign w:val="center"/>
                </w:tcPr>
                <w:p>
                  <w:pPr>
                    <w:adjustRightInd w:val="0"/>
                    <w:snapToGrid w:val="0"/>
                    <w:jc w:val="center"/>
                    <w:rPr>
                      <w:szCs w:val="21"/>
                    </w:rPr>
                  </w:pPr>
                  <w:r>
                    <w:rPr>
                      <w:szCs w:val="21"/>
                    </w:rPr>
                    <w:t>本项目不涉及</w:t>
                  </w:r>
                </w:p>
              </w:tc>
              <w:tc>
                <w:tcPr>
                  <w:tcW w:w="1240" w:type="dxa"/>
                  <w:tcBorders>
                    <w:right w:val="nil"/>
                  </w:tcBorders>
                  <w:vAlign w:val="center"/>
                </w:tcPr>
                <w:p>
                  <w:pPr>
                    <w:adjustRightInd w:val="0"/>
                    <w:snapToGrid w:val="0"/>
                    <w:jc w:val="center"/>
                    <w:rPr>
                      <w:szCs w:val="21"/>
                    </w:rPr>
                  </w:pPr>
                  <w:r>
                    <w:rPr>
                      <w:szCs w:val="21"/>
                    </w:rPr>
                    <w:t>不涉及</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7" w:type="dxa"/>
                  <w:tcBorders>
                    <w:left w:val="nil"/>
                  </w:tcBorders>
                  <w:vAlign w:val="center"/>
                </w:tcPr>
                <w:p>
                  <w:pPr>
                    <w:adjustRightInd w:val="0"/>
                    <w:snapToGrid w:val="0"/>
                    <w:jc w:val="center"/>
                    <w:rPr>
                      <w:rFonts w:hint="default" w:eastAsia="宋体"/>
                      <w:szCs w:val="21"/>
                      <w:lang w:val="en-US" w:eastAsia="zh-CN"/>
                    </w:rPr>
                  </w:pPr>
                  <w:r>
                    <w:rPr>
                      <w:rFonts w:hint="eastAsia"/>
                      <w:szCs w:val="21"/>
                      <w:lang w:val="en-US" w:eastAsia="zh-CN"/>
                    </w:rPr>
                    <w:t>工业项目分类清单</w:t>
                  </w:r>
                </w:p>
              </w:tc>
              <w:tc>
                <w:tcPr>
                  <w:tcW w:w="859" w:type="dxa"/>
                  <w:vAlign w:val="center"/>
                </w:tcPr>
                <w:p>
                  <w:pPr>
                    <w:adjustRightInd w:val="0"/>
                    <w:snapToGrid w:val="0"/>
                    <w:jc w:val="center"/>
                    <w:rPr>
                      <w:rFonts w:hint="eastAsia"/>
                      <w:szCs w:val="21"/>
                    </w:rPr>
                  </w:pPr>
                  <w:r>
                    <w:rPr>
                      <w:rFonts w:hint="eastAsia"/>
                      <w:szCs w:val="21"/>
                    </w:rPr>
                    <w:t>二类工业项目 （污染和环境风险不高、污染物排放量不</w:t>
                  </w:r>
                </w:p>
                <w:p>
                  <w:pPr>
                    <w:adjustRightInd w:val="0"/>
                    <w:snapToGrid w:val="0"/>
                    <w:jc w:val="center"/>
                    <w:rPr>
                      <w:szCs w:val="21"/>
                    </w:rPr>
                  </w:pPr>
                  <w:r>
                    <w:rPr>
                      <w:rFonts w:hint="eastAsia"/>
                      <w:szCs w:val="21"/>
                    </w:rPr>
                    <w:t>大的项目）</w:t>
                  </w:r>
                </w:p>
              </w:tc>
              <w:tc>
                <w:tcPr>
                  <w:tcW w:w="3615" w:type="dxa"/>
                  <w:vAlign w:val="center"/>
                </w:tcPr>
                <w:p>
                  <w:pPr>
                    <w:adjustRightInd w:val="0"/>
                    <w:snapToGrid w:val="0"/>
                    <w:jc w:val="both"/>
                    <w:rPr>
                      <w:rFonts w:hint="eastAsia"/>
                      <w:szCs w:val="21"/>
                    </w:rPr>
                  </w:pPr>
                  <w:r>
                    <w:rPr>
                      <w:rFonts w:hint="eastAsia"/>
                      <w:szCs w:val="21"/>
                    </w:rPr>
                    <w:t>日用化学品制造（单纯混合和分装的）； </w:t>
                  </w:r>
                </w:p>
                <w:p>
                  <w:pPr>
                    <w:adjustRightInd w:val="0"/>
                    <w:snapToGrid w:val="0"/>
                    <w:jc w:val="center"/>
                    <w:rPr>
                      <w:szCs w:val="21"/>
                    </w:rPr>
                  </w:pPr>
                  <w:r>
                    <w:rPr>
                      <w:rFonts w:hint="eastAsia"/>
                      <w:szCs w:val="21"/>
                    </w:rPr>
                    <w:t>M医药（不含“90、化学药品制造；生物、生化制品制造”中的化学药品制造）N轻工（不含96、生物质纤维素乙醇生产；112、纸浆、溶解浆、纤维浆等制造，造纸（含废纸造纸）；115、轮胎制造、再生橡胶制造、橡胶加工、橡胶制品翻新；116、塑料制品制造（人造革、发泡胶等涉及有毒原材料的）118、皮革、毛皮、羽毛（绒）制品（制革、毛皮鞣制））</w:t>
                  </w:r>
                </w:p>
              </w:tc>
              <w:tc>
                <w:tcPr>
                  <w:tcW w:w="1533" w:type="dxa"/>
                  <w:vAlign w:val="center"/>
                </w:tcPr>
                <w:p>
                  <w:pPr>
                    <w:adjustRightInd w:val="0"/>
                    <w:snapToGrid w:val="0"/>
                    <w:jc w:val="center"/>
                    <w:rPr>
                      <w:rFonts w:hint="default" w:eastAsia="宋体"/>
                      <w:szCs w:val="21"/>
                      <w:lang w:val="en-US" w:eastAsia="zh-CN"/>
                    </w:rPr>
                  </w:pPr>
                  <w:r>
                    <w:rPr>
                      <w:rFonts w:hint="eastAsia"/>
                      <w:szCs w:val="21"/>
                      <w:lang w:val="en-US" w:eastAsia="zh-CN"/>
                    </w:rPr>
                    <w:t>本项目属于二类项目，工业用地为二类工业用地</w:t>
                  </w:r>
                </w:p>
              </w:tc>
              <w:tc>
                <w:tcPr>
                  <w:tcW w:w="1240" w:type="dxa"/>
                  <w:tcBorders>
                    <w:right w:val="nil"/>
                  </w:tcBorders>
                  <w:vAlign w:val="center"/>
                </w:tcPr>
                <w:p>
                  <w:pPr>
                    <w:adjustRightInd w:val="0"/>
                    <w:snapToGrid w:val="0"/>
                    <w:jc w:val="center"/>
                    <w:rPr>
                      <w:rFonts w:hint="eastAsia" w:eastAsia="宋体"/>
                      <w:szCs w:val="21"/>
                      <w:lang w:val="en-US" w:eastAsia="zh-CN"/>
                    </w:rPr>
                  </w:pPr>
                  <w:r>
                    <w:rPr>
                      <w:rFonts w:hint="eastAsia"/>
                      <w:szCs w:val="21"/>
                      <w:lang w:val="en-US" w:eastAsia="zh-CN"/>
                    </w:rPr>
                    <w:t>属于</w:t>
                  </w:r>
                </w:p>
              </w:tc>
            </w:tr>
          </w:tbl>
          <w:p>
            <w:pPr>
              <w:adjustRightInd w:val="0"/>
              <w:snapToGrid w:val="0"/>
              <w:spacing w:line="360" w:lineRule="auto"/>
              <w:ind w:firstLine="480" w:firstLineChars="200"/>
              <w:textAlignment w:val="baseline"/>
              <w:rPr>
                <w:sz w:val="24"/>
              </w:rPr>
            </w:pPr>
          </w:p>
          <w:p>
            <w:pPr>
              <w:adjustRightInd w:val="0"/>
              <w:snapToGrid w:val="0"/>
              <w:spacing w:line="360" w:lineRule="auto"/>
              <w:ind w:firstLine="480" w:firstLineChars="200"/>
              <w:textAlignment w:val="baseline"/>
              <w:rPr>
                <w:sz w:val="24"/>
                <w:u w:val="single"/>
              </w:rPr>
            </w:pPr>
            <w:r>
              <w:rPr>
                <w:sz w:val="24"/>
              </w:rPr>
              <w:t>由表</w:t>
            </w:r>
            <w:r>
              <w:rPr>
                <w:rFonts w:hint="eastAsia"/>
                <w:sz w:val="24"/>
              </w:rPr>
              <w:t>7</w:t>
            </w:r>
            <w:r>
              <w:rPr>
                <w:sz w:val="24"/>
              </w:rPr>
              <w:t>可知，本项目厂址位于工业准入优先区，与工业准入优先区环境准入政策要求相符性分析见表</w:t>
            </w:r>
            <w:r>
              <w:rPr>
                <w:rFonts w:hint="eastAsia"/>
                <w:sz w:val="24"/>
              </w:rPr>
              <w:t>8</w:t>
            </w:r>
            <w:r>
              <w:rPr>
                <w:sz w:val="24"/>
              </w:rPr>
              <w:t>。</w:t>
            </w:r>
          </w:p>
          <w:p>
            <w:pPr>
              <w:adjustRightInd w:val="0"/>
              <w:snapToGrid w:val="0"/>
              <w:jc w:val="center"/>
              <w:textAlignment w:val="baseline"/>
              <w:rPr>
                <w:rFonts w:eastAsia="黑体"/>
                <w:bCs/>
                <w:sz w:val="24"/>
              </w:rPr>
            </w:pPr>
            <w:r>
              <w:rPr>
                <w:rFonts w:eastAsia="黑体"/>
                <w:bCs/>
                <w:sz w:val="24"/>
              </w:rPr>
              <w:t>表</w:t>
            </w:r>
            <w:r>
              <w:rPr>
                <w:rFonts w:hint="eastAsia" w:eastAsia="黑体"/>
                <w:bCs/>
                <w:sz w:val="24"/>
              </w:rPr>
              <w:t>8</w:t>
            </w:r>
            <w:r>
              <w:rPr>
                <w:rFonts w:eastAsia="黑体"/>
                <w:bCs/>
                <w:sz w:val="24"/>
              </w:rPr>
              <w:t xml:space="preserve">  与工业准入优先区规定对照</w:t>
            </w:r>
          </w:p>
          <w:tbl>
            <w:tblPr>
              <w:tblStyle w:val="23"/>
              <w:tblW w:w="850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4"/>
              <w:gridCol w:w="4798"/>
              <w:gridCol w:w="1562"/>
              <w:gridCol w:w="143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tcBorders>
                    <w:top w:val="single" w:color="auto" w:sz="8" w:space="0"/>
                    <w:left w:val="nil"/>
                    <w:bottom w:val="single" w:color="auto" w:sz="4" w:space="0"/>
                  </w:tcBorders>
                  <w:vAlign w:val="center"/>
                </w:tcPr>
                <w:p>
                  <w:pPr>
                    <w:adjustRightInd w:val="0"/>
                    <w:snapToGrid w:val="0"/>
                    <w:jc w:val="center"/>
                    <w:textAlignment w:val="baseline"/>
                    <w:rPr>
                      <w:bCs/>
                      <w:szCs w:val="21"/>
                    </w:rPr>
                  </w:pPr>
                  <w:r>
                    <w:rPr>
                      <w:bCs/>
                      <w:szCs w:val="21"/>
                    </w:rPr>
                    <w:t>类别</w:t>
                  </w:r>
                </w:p>
              </w:tc>
              <w:tc>
                <w:tcPr>
                  <w:tcW w:w="4798" w:type="dxa"/>
                  <w:tcBorders>
                    <w:top w:val="single" w:color="auto" w:sz="8" w:space="0"/>
                    <w:bottom w:val="single" w:color="auto" w:sz="4" w:space="0"/>
                  </w:tcBorders>
                  <w:vAlign w:val="center"/>
                </w:tcPr>
                <w:p>
                  <w:pPr>
                    <w:adjustRightInd w:val="0"/>
                    <w:snapToGrid w:val="0"/>
                    <w:jc w:val="center"/>
                    <w:textAlignment w:val="baseline"/>
                    <w:rPr>
                      <w:bCs/>
                      <w:szCs w:val="21"/>
                    </w:rPr>
                  </w:pPr>
                  <w:r>
                    <w:rPr>
                      <w:bCs/>
                      <w:szCs w:val="21"/>
                    </w:rPr>
                    <w:t>内容</w:t>
                  </w:r>
                </w:p>
              </w:tc>
              <w:tc>
                <w:tcPr>
                  <w:tcW w:w="1562" w:type="dxa"/>
                  <w:tcBorders>
                    <w:top w:val="single" w:color="auto" w:sz="8" w:space="0"/>
                    <w:bottom w:val="single" w:color="auto" w:sz="4" w:space="0"/>
                  </w:tcBorders>
                  <w:vAlign w:val="center"/>
                </w:tcPr>
                <w:p>
                  <w:pPr>
                    <w:adjustRightInd w:val="0"/>
                    <w:snapToGrid w:val="0"/>
                    <w:jc w:val="center"/>
                    <w:textAlignment w:val="baseline"/>
                    <w:rPr>
                      <w:bCs/>
                      <w:szCs w:val="21"/>
                    </w:rPr>
                  </w:pPr>
                  <w:r>
                    <w:rPr>
                      <w:bCs/>
                      <w:szCs w:val="21"/>
                    </w:rPr>
                    <w:t>本项目</w:t>
                  </w:r>
                </w:p>
              </w:tc>
              <w:tc>
                <w:tcPr>
                  <w:tcW w:w="1430" w:type="dxa"/>
                  <w:tcBorders>
                    <w:top w:val="single" w:color="auto" w:sz="8" w:space="0"/>
                    <w:bottom w:val="single" w:color="auto" w:sz="4" w:space="0"/>
                    <w:right w:val="nil"/>
                  </w:tcBorders>
                  <w:vAlign w:val="center"/>
                </w:tcPr>
                <w:p>
                  <w:pPr>
                    <w:adjustRightInd w:val="0"/>
                    <w:snapToGrid w:val="0"/>
                    <w:jc w:val="center"/>
                    <w:textAlignment w:val="baseline"/>
                    <w:rPr>
                      <w:bCs/>
                      <w:szCs w:val="21"/>
                    </w:rPr>
                  </w:pPr>
                  <w:r>
                    <w:rPr>
                      <w:bCs/>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dxa"/>
                  <w:tcBorders>
                    <w:top w:val="single" w:color="auto" w:sz="4" w:space="0"/>
                    <w:left w:val="nil"/>
                    <w:bottom w:val="single" w:color="auto" w:sz="4" w:space="0"/>
                  </w:tcBorders>
                  <w:vAlign w:val="center"/>
                </w:tcPr>
                <w:p>
                  <w:pPr>
                    <w:adjustRightInd w:val="0"/>
                    <w:snapToGrid w:val="0"/>
                    <w:jc w:val="center"/>
                    <w:rPr>
                      <w:szCs w:val="21"/>
                    </w:rPr>
                  </w:pPr>
                  <w:r>
                    <w:rPr>
                      <w:szCs w:val="21"/>
                    </w:rPr>
                    <w:t>环</w:t>
                  </w:r>
                </w:p>
                <w:p>
                  <w:pPr>
                    <w:adjustRightInd w:val="0"/>
                    <w:snapToGrid w:val="0"/>
                    <w:jc w:val="center"/>
                    <w:rPr>
                      <w:szCs w:val="21"/>
                    </w:rPr>
                  </w:pPr>
                  <w:r>
                    <w:rPr>
                      <w:szCs w:val="21"/>
                    </w:rPr>
                    <w:t>境</w:t>
                  </w:r>
                </w:p>
                <w:p>
                  <w:pPr>
                    <w:adjustRightInd w:val="0"/>
                    <w:snapToGrid w:val="0"/>
                    <w:jc w:val="center"/>
                    <w:rPr>
                      <w:szCs w:val="21"/>
                    </w:rPr>
                  </w:pPr>
                  <w:r>
                    <w:rPr>
                      <w:szCs w:val="21"/>
                    </w:rPr>
                    <w:t>准</w:t>
                  </w:r>
                </w:p>
                <w:p>
                  <w:pPr>
                    <w:adjustRightInd w:val="0"/>
                    <w:snapToGrid w:val="0"/>
                    <w:jc w:val="center"/>
                    <w:rPr>
                      <w:szCs w:val="21"/>
                    </w:rPr>
                  </w:pPr>
                  <w:r>
                    <w:rPr>
                      <w:szCs w:val="21"/>
                    </w:rPr>
                    <w:t>入</w:t>
                  </w:r>
                </w:p>
                <w:p>
                  <w:pPr>
                    <w:adjustRightInd w:val="0"/>
                    <w:snapToGrid w:val="0"/>
                    <w:jc w:val="center"/>
                    <w:rPr>
                      <w:szCs w:val="21"/>
                    </w:rPr>
                  </w:pPr>
                  <w:r>
                    <w:rPr>
                      <w:szCs w:val="21"/>
                    </w:rPr>
                    <w:t>政</w:t>
                  </w:r>
                </w:p>
                <w:p>
                  <w:pPr>
                    <w:adjustRightInd w:val="0"/>
                    <w:snapToGrid w:val="0"/>
                    <w:jc w:val="center"/>
                    <w:rPr>
                      <w:szCs w:val="21"/>
                    </w:rPr>
                  </w:pPr>
                  <w:r>
                    <w:rPr>
                      <w:szCs w:val="21"/>
                    </w:rPr>
                    <w:t>策</w:t>
                  </w:r>
                </w:p>
              </w:tc>
              <w:tc>
                <w:tcPr>
                  <w:tcW w:w="4798" w:type="dxa"/>
                  <w:tcBorders>
                    <w:top w:val="single" w:color="auto" w:sz="4" w:space="0"/>
                    <w:bottom w:val="single" w:color="auto" w:sz="4" w:space="0"/>
                  </w:tcBorders>
                  <w:vAlign w:val="center"/>
                </w:tcPr>
                <w:p>
                  <w:pPr>
                    <w:adjustRightInd w:val="0"/>
                    <w:snapToGrid w:val="0"/>
                    <w:jc w:val="left"/>
                    <w:rPr>
                      <w:szCs w:val="21"/>
                    </w:rPr>
                  </w:pPr>
                  <w:r>
                    <w:rPr>
                      <w:rFonts w:hint="eastAsia"/>
                      <w:szCs w:val="21"/>
                    </w:rPr>
                    <w:t>1、</w:t>
                  </w:r>
                  <w:r>
                    <w:rPr>
                      <w:szCs w:val="21"/>
                    </w:rPr>
                    <w:t>放宽部分审批条件。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p>
                  <w:pPr>
                    <w:adjustRightInd w:val="0"/>
                    <w:snapToGrid w:val="0"/>
                    <w:jc w:val="left"/>
                    <w:rPr>
                      <w:szCs w:val="21"/>
                    </w:rPr>
                  </w:pPr>
                  <w:r>
                    <w:rPr>
                      <w:rFonts w:hint="eastAsia"/>
                      <w:szCs w:val="21"/>
                    </w:rPr>
                    <w:t>2、</w:t>
                  </w:r>
                  <w:r>
                    <w:rPr>
                      <w:szCs w:val="21"/>
                    </w:rPr>
                    <w:t>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w:t>
                  </w:r>
                  <w:r>
                    <w:rPr>
                      <w:rFonts w:hint="eastAsia" w:ascii="宋体" w:hAnsi="宋体" w:cs="宋体"/>
                      <w:szCs w:val="21"/>
                    </w:rPr>
                    <w:t>“减量替代”</w:t>
                  </w:r>
                  <w:r>
                    <w:rPr>
                      <w:szCs w:val="21"/>
                    </w:rPr>
                    <w:t>为原则，不予审批新增重金属污染物排放的相应项目。（符合省、市重大产业布局的项目除外）</w:t>
                  </w:r>
                </w:p>
              </w:tc>
              <w:tc>
                <w:tcPr>
                  <w:tcW w:w="1562" w:type="dxa"/>
                  <w:tcBorders>
                    <w:top w:val="single" w:color="auto" w:sz="4" w:space="0"/>
                    <w:bottom w:val="single" w:color="auto" w:sz="4" w:space="0"/>
                  </w:tcBorders>
                  <w:vAlign w:val="center"/>
                </w:tcPr>
                <w:p>
                  <w:pPr>
                    <w:adjustRightInd w:val="0"/>
                    <w:snapToGrid w:val="0"/>
                    <w:jc w:val="center"/>
                    <w:textAlignment w:val="baseline"/>
                    <w:rPr>
                      <w:szCs w:val="21"/>
                    </w:rPr>
                  </w:pPr>
                  <w:r>
                    <w:rPr>
                      <w:rFonts w:hint="eastAsia"/>
                      <w:szCs w:val="21"/>
                    </w:rPr>
                    <w:t>1、</w:t>
                  </w:r>
                  <w:r>
                    <w:rPr>
                      <w:szCs w:val="21"/>
                    </w:rPr>
                    <w:t>本项目主要废水为生活污水，</w:t>
                  </w:r>
                  <w:r>
                    <w:rPr>
                      <w:rFonts w:hint="eastAsia"/>
                      <w:szCs w:val="21"/>
                    </w:rPr>
                    <w:t>化粪池处理后，排入市政污水管网；2、</w:t>
                  </w:r>
                  <w:r>
                    <w:rPr>
                      <w:szCs w:val="21"/>
                    </w:rPr>
                    <w:t>本项目</w:t>
                  </w:r>
                  <w:r>
                    <w:rPr>
                      <w:rFonts w:hint="eastAsia"/>
                      <w:szCs w:val="21"/>
                    </w:rPr>
                    <w:t>为</w:t>
                  </w:r>
                  <w:r>
                    <w:rPr>
                      <w:rFonts w:hint="eastAsia"/>
                      <w:szCs w:val="21"/>
                      <w:lang w:val="en-GB"/>
                    </w:rPr>
                    <w:t>塑料制品</w:t>
                  </w:r>
                  <w:r>
                    <w:rPr>
                      <w:szCs w:val="21"/>
                      <w:lang w:val="en-GB"/>
                    </w:rPr>
                    <w:t>制造</w:t>
                  </w:r>
                  <w:r>
                    <w:rPr>
                      <w:szCs w:val="21"/>
                    </w:rPr>
                    <w:t>，</w:t>
                  </w:r>
                  <w:r>
                    <w:rPr>
                      <w:rFonts w:hint="eastAsia"/>
                      <w:szCs w:val="21"/>
                    </w:rPr>
                    <w:t>主要污染物为有机废气</w:t>
                  </w:r>
                  <w:r>
                    <w:rPr>
                      <w:szCs w:val="21"/>
                    </w:rPr>
                    <w:t>，不在严控重污染项目之列</w:t>
                  </w:r>
                </w:p>
              </w:tc>
              <w:tc>
                <w:tcPr>
                  <w:tcW w:w="1430" w:type="dxa"/>
                  <w:tcBorders>
                    <w:top w:val="single" w:color="auto" w:sz="4" w:space="0"/>
                    <w:bottom w:val="single" w:color="auto" w:sz="4" w:space="0"/>
                    <w:right w:val="nil"/>
                  </w:tcBorders>
                  <w:vAlign w:val="center"/>
                </w:tcPr>
                <w:p>
                  <w:pPr>
                    <w:adjustRightInd w:val="0"/>
                    <w:snapToGrid w:val="0"/>
                    <w:jc w:val="center"/>
                    <w:textAlignment w:val="baseline"/>
                    <w:rPr>
                      <w:szCs w:val="21"/>
                    </w:rPr>
                  </w:pPr>
                  <w:r>
                    <w:rPr>
                      <w:szCs w:val="21"/>
                    </w:rPr>
                    <w:t>不属于</w:t>
                  </w:r>
                </w:p>
                <w:p>
                  <w:pPr>
                    <w:adjustRightInd w:val="0"/>
                    <w:snapToGrid w:val="0"/>
                    <w:jc w:val="center"/>
                    <w:textAlignment w:val="baseline"/>
                    <w:rPr>
                      <w:szCs w:val="21"/>
                    </w:rPr>
                  </w:pPr>
                  <w:r>
                    <w:rPr>
                      <w:szCs w:val="21"/>
                    </w:rPr>
                    <w:t>《通知》中所列不予审批的项目，符合审批条件</w:t>
                  </w:r>
                </w:p>
              </w:tc>
            </w:tr>
          </w:tbl>
          <w:p>
            <w:pPr>
              <w:adjustRightInd w:val="0"/>
              <w:snapToGrid w:val="0"/>
              <w:spacing w:line="360" w:lineRule="auto"/>
              <w:ind w:firstLine="420" w:firstLineChars="200"/>
            </w:pPr>
          </w:p>
          <w:p>
            <w:pPr>
              <w:adjustRightInd w:val="0"/>
              <w:snapToGrid w:val="0"/>
              <w:spacing w:line="360" w:lineRule="auto"/>
              <w:ind w:firstLine="480" w:firstLineChars="200"/>
              <w:rPr>
                <w:sz w:val="24"/>
              </w:rPr>
            </w:pPr>
            <w:r>
              <w:rPr>
                <w:sz w:val="24"/>
              </w:rPr>
              <w:t>综上，本项目不在不予审批项目范围内，符合新环〔2015〕342号文件要求，项目选址合理。</w:t>
            </w:r>
          </w:p>
          <w:p>
            <w:pPr>
              <w:pStyle w:val="10"/>
              <w:numPr>
                <w:ilvl w:val="0"/>
                <w:numId w:val="1"/>
              </w:numPr>
              <w:ind w:left="0" w:leftChars="0"/>
              <w:rPr>
                <w:rFonts w:eastAsiaTheme="minorEastAsia"/>
                <w:b/>
                <w:bCs/>
                <w:sz w:val="24"/>
                <w:szCs w:val="24"/>
              </w:rPr>
            </w:pPr>
            <w:r>
              <w:rPr>
                <w:rFonts w:hint="eastAsia" w:eastAsiaTheme="minorEastAsia"/>
                <w:b/>
                <w:bCs/>
                <w:sz w:val="24"/>
                <w:szCs w:val="24"/>
              </w:rPr>
              <w:t>与《新乡经济技术产业集聚区的准入条件》 相符性分析</w:t>
            </w:r>
          </w:p>
          <w:p>
            <w:pPr>
              <w:pStyle w:val="9"/>
              <w:spacing w:line="240" w:lineRule="auto"/>
              <w:jc w:val="center"/>
              <w:rPr>
                <w:rFonts w:ascii="黑体" w:hAnsi="黑体" w:eastAsia="黑体" w:cs="黑体"/>
                <w:b w:val="0"/>
                <w:bCs w:val="0"/>
              </w:rPr>
            </w:pPr>
            <w:r>
              <w:rPr>
                <w:rFonts w:hint="eastAsia" w:ascii="黑体" w:hAnsi="黑体" w:eastAsia="黑体" w:cs="黑体"/>
                <w:b w:val="0"/>
                <w:bCs w:val="0"/>
              </w:rPr>
              <w:t>表</w:t>
            </w:r>
            <w:r>
              <w:rPr>
                <w:rFonts w:eastAsia="黑体"/>
                <w:b w:val="0"/>
                <w:bCs w:val="0"/>
              </w:rPr>
              <w:t>9</w:t>
            </w:r>
            <w:r>
              <w:rPr>
                <w:rFonts w:hint="eastAsia" w:ascii="黑体" w:hAnsi="黑体" w:eastAsia="黑体" w:cs="黑体"/>
                <w:b w:val="0"/>
                <w:bCs w:val="0"/>
              </w:rPr>
              <w:t xml:space="preserve">  项目与《新乡经济技术产业集聚区的准入条件》 相符性分析一览表</w:t>
            </w:r>
          </w:p>
          <w:tbl>
            <w:tblPr>
              <w:tblStyle w:val="24"/>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275"/>
              <w:gridCol w:w="3405"/>
              <w:gridCol w:w="1642"/>
              <w:gridCol w:w="9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类别</w:t>
                  </w:r>
                </w:p>
              </w:tc>
              <w:tc>
                <w:tcPr>
                  <w:tcW w:w="4680" w:type="dxa"/>
                  <w:gridSpan w:val="2"/>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准入条件</w:t>
                  </w:r>
                </w:p>
              </w:tc>
              <w:tc>
                <w:tcPr>
                  <w:tcW w:w="1642"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本项目情况</w:t>
                  </w:r>
                </w:p>
              </w:tc>
              <w:tc>
                <w:tcPr>
                  <w:tcW w:w="982"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vMerge w:val="restart"/>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产业政策</w:t>
                  </w:r>
                </w:p>
              </w:tc>
              <w:tc>
                <w:tcPr>
                  <w:tcW w:w="1275" w:type="dxa"/>
                  <w:tcBorders>
                    <w:tl2br w:val="nil"/>
                    <w:tr2bl w:val="nil"/>
                  </w:tcBorders>
                  <w:vAlign w:val="center"/>
                </w:tcPr>
                <w:p>
                  <w:pPr>
                    <w:pStyle w:val="9"/>
                    <w:spacing w:line="240" w:lineRule="auto"/>
                    <w:jc w:val="center"/>
                    <w:rPr>
                      <w:b w:val="0"/>
                      <w:bCs w:val="0"/>
                      <w:sz w:val="21"/>
                      <w:szCs w:val="21"/>
                    </w:rPr>
                  </w:pPr>
                  <w:r>
                    <w:rPr>
                      <w:rFonts w:hint="eastAsia"/>
                      <w:b w:val="0"/>
                      <w:bCs w:val="0"/>
                      <w:sz w:val="21"/>
                      <w:szCs w:val="21"/>
                    </w:rPr>
                    <w:t>1、鼓励引进的项目和优先发展行业</w:t>
                  </w:r>
                </w:p>
              </w:tc>
              <w:tc>
                <w:tcPr>
                  <w:tcW w:w="3405" w:type="dxa"/>
                  <w:tcBorders>
                    <w:tl2br w:val="nil"/>
                    <w:tr2bl w:val="nil"/>
                  </w:tcBorders>
                  <w:vAlign w:val="center"/>
                </w:tcPr>
                <w:p>
                  <w:pPr>
                    <w:pStyle w:val="9"/>
                    <w:spacing w:line="240" w:lineRule="auto"/>
                    <w:rPr>
                      <w:b w:val="0"/>
                      <w:bCs w:val="0"/>
                      <w:sz w:val="21"/>
                      <w:szCs w:val="21"/>
                    </w:rPr>
                  </w:pPr>
                  <w:r>
                    <w:rPr>
                      <w:rFonts w:hint="eastAsia"/>
                      <w:b w:val="0"/>
                      <w:bCs w:val="0"/>
                      <w:sz w:val="21"/>
                      <w:szCs w:val="21"/>
                    </w:rPr>
                    <w:t>① 集聚区已按照主导产业及辅助产业对各园区功能布局进行合理布局，企业入驻应按照产业政策要求优先入驻与主导产业相符的产业，鼓励入驻《产业结构调整指导目录》鼓励类项目。</w:t>
                  </w:r>
                </w:p>
                <w:p>
                  <w:pPr>
                    <w:pStyle w:val="9"/>
                    <w:spacing w:line="240" w:lineRule="auto"/>
                    <w:rPr>
                      <w:b w:val="0"/>
                      <w:bCs w:val="0"/>
                      <w:sz w:val="21"/>
                      <w:szCs w:val="21"/>
                    </w:rPr>
                  </w:pPr>
                  <w:r>
                    <w:rPr>
                      <w:rFonts w:hint="eastAsia"/>
                      <w:b w:val="0"/>
                      <w:bCs w:val="0"/>
                      <w:sz w:val="21"/>
                      <w:szCs w:val="21"/>
                    </w:rPr>
                    <w:t>② 鼓励中水回用项目、污水深度治理等基础设施、资源综合利用项目入驻集聚区。</w:t>
                  </w:r>
                </w:p>
                <w:p>
                  <w:pPr>
                    <w:pStyle w:val="9"/>
                    <w:spacing w:line="240" w:lineRule="auto"/>
                    <w:rPr>
                      <w:b w:val="0"/>
                      <w:bCs w:val="0"/>
                      <w:sz w:val="21"/>
                      <w:szCs w:val="21"/>
                    </w:rPr>
                  </w:pPr>
                  <w:r>
                    <w:rPr>
                      <w:rFonts w:hint="eastAsia"/>
                      <w:b w:val="0"/>
                      <w:bCs w:val="0"/>
                      <w:sz w:val="21"/>
                      <w:szCs w:val="21"/>
                    </w:rPr>
                    <w:t>③ 鼓励清洁生产水平较高，且能够进一步拉长集聚区产业链，符合集聚区产业定位的企业入驻集聚区。</w:t>
                  </w:r>
                </w:p>
                <w:p>
                  <w:pPr>
                    <w:pStyle w:val="9"/>
                    <w:spacing w:line="240" w:lineRule="auto"/>
                    <w:rPr>
                      <w:b w:val="0"/>
                      <w:bCs w:val="0"/>
                      <w:sz w:val="21"/>
                      <w:szCs w:val="21"/>
                    </w:rPr>
                  </w:pPr>
                  <w:r>
                    <w:rPr>
                      <w:rFonts w:hint="eastAsia"/>
                      <w:b w:val="0"/>
                      <w:bCs w:val="0"/>
                      <w:sz w:val="21"/>
                      <w:szCs w:val="21"/>
                    </w:rPr>
                    <w:t>④ 鼓励园区内符合产业定位的现有企业对产品进行提升，延长产业链条。</w:t>
                  </w:r>
                </w:p>
                <w:p>
                  <w:pPr>
                    <w:pStyle w:val="9"/>
                    <w:spacing w:line="240" w:lineRule="auto"/>
                    <w:rPr>
                      <w:b w:val="0"/>
                      <w:bCs w:val="0"/>
                      <w:sz w:val="21"/>
                      <w:szCs w:val="21"/>
                    </w:rPr>
                  </w:pPr>
                  <w:r>
                    <w:rPr>
                      <w:rFonts w:hint="eastAsia"/>
                      <w:b w:val="0"/>
                      <w:bCs w:val="0"/>
                      <w:sz w:val="21"/>
                      <w:szCs w:val="21"/>
                    </w:rPr>
                    <w:t>⑤允许入驻符合集聚区产业定位及产业类别的医药、装备制造以及煤化工的下游企业，符合集聚区循环经济发展产业链上下游产业的补链项目。</w:t>
                  </w:r>
                </w:p>
              </w:tc>
              <w:tc>
                <w:tcPr>
                  <w:tcW w:w="1642" w:type="dxa"/>
                  <w:vMerge w:val="restart"/>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本项目属于塑料制品制造行业，不属于国家及地方产业政策要求或国家产业政策命令淘汰、限制发展的项目类别</w:t>
                  </w:r>
                </w:p>
              </w:tc>
              <w:tc>
                <w:tcPr>
                  <w:tcW w:w="982" w:type="dxa"/>
                  <w:vMerge w:val="restart"/>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vMerge w:val="continue"/>
                  <w:tcBorders>
                    <w:tl2br w:val="nil"/>
                    <w:tr2bl w:val="nil"/>
                  </w:tcBorders>
                  <w:vAlign w:val="center"/>
                </w:tcPr>
                <w:p>
                  <w:pPr>
                    <w:pStyle w:val="10"/>
                    <w:spacing w:after="0"/>
                    <w:ind w:left="0" w:leftChars="0"/>
                    <w:jc w:val="center"/>
                    <w:rPr>
                      <w:rFonts w:eastAsiaTheme="minorEastAsia"/>
                      <w:szCs w:val="21"/>
                    </w:rPr>
                  </w:pPr>
                </w:p>
              </w:tc>
              <w:tc>
                <w:tcPr>
                  <w:tcW w:w="1275" w:type="dxa"/>
                  <w:tcBorders>
                    <w:tl2br w:val="nil"/>
                    <w:tr2bl w:val="nil"/>
                  </w:tcBorders>
                  <w:vAlign w:val="center"/>
                </w:tcPr>
                <w:p>
                  <w:pPr>
                    <w:pStyle w:val="9"/>
                    <w:spacing w:line="240" w:lineRule="auto"/>
                    <w:jc w:val="center"/>
                    <w:rPr>
                      <w:b w:val="0"/>
                      <w:bCs w:val="0"/>
                      <w:sz w:val="21"/>
                      <w:szCs w:val="21"/>
                    </w:rPr>
                  </w:pPr>
                  <w:r>
                    <w:rPr>
                      <w:rFonts w:hint="eastAsia"/>
                      <w:b w:val="0"/>
                      <w:bCs w:val="0"/>
                      <w:sz w:val="21"/>
                      <w:szCs w:val="21"/>
                    </w:rPr>
                    <w:t>2、限制或禁止入驻项目</w:t>
                  </w:r>
                </w:p>
              </w:tc>
              <w:tc>
                <w:tcPr>
                  <w:tcW w:w="3405" w:type="dxa"/>
                  <w:tcBorders>
                    <w:tl2br w:val="nil"/>
                    <w:tr2bl w:val="nil"/>
                  </w:tcBorders>
                  <w:vAlign w:val="center"/>
                </w:tcPr>
                <w:p>
                  <w:pPr>
                    <w:pStyle w:val="9"/>
                    <w:spacing w:line="240" w:lineRule="auto"/>
                    <w:rPr>
                      <w:b w:val="0"/>
                      <w:bCs w:val="0"/>
                      <w:sz w:val="21"/>
                      <w:szCs w:val="21"/>
                    </w:rPr>
                  </w:pPr>
                  <w:r>
                    <w:rPr>
                      <w:rFonts w:hint="eastAsia"/>
                      <w:b w:val="0"/>
                      <w:bCs w:val="0"/>
                      <w:sz w:val="21"/>
                      <w:szCs w:val="21"/>
                    </w:rPr>
                    <w:t>① 原则上仅允许入驻符合集聚区产业定位，且项目选址须符合集聚区产业布局及用地性质的项目。</w:t>
                  </w:r>
                </w:p>
                <w:p>
                  <w:pPr>
                    <w:pStyle w:val="9"/>
                    <w:spacing w:line="240" w:lineRule="auto"/>
                    <w:rPr>
                      <w:b w:val="0"/>
                      <w:bCs w:val="0"/>
                      <w:sz w:val="21"/>
                      <w:szCs w:val="21"/>
                    </w:rPr>
                  </w:pPr>
                  <w:r>
                    <w:rPr>
                      <w:rFonts w:hint="eastAsia"/>
                      <w:b w:val="0"/>
                      <w:bCs w:val="0"/>
                      <w:sz w:val="21"/>
                      <w:szCs w:val="21"/>
                    </w:rPr>
                    <w:t>② 按照国家相关产业政策，严禁淘汰和限制类工业企业入园。</w:t>
                  </w:r>
                </w:p>
                <w:p>
                  <w:pPr>
                    <w:pStyle w:val="9"/>
                    <w:spacing w:line="240" w:lineRule="auto"/>
                    <w:rPr>
                      <w:b w:val="0"/>
                      <w:bCs w:val="0"/>
                      <w:sz w:val="21"/>
                      <w:szCs w:val="21"/>
                    </w:rPr>
                  </w:pPr>
                  <w:r>
                    <w:rPr>
                      <w:rFonts w:hint="eastAsia"/>
                      <w:b w:val="0"/>
                      <w:bCs w:val="0"/>
                      <w:sz w:val="21"/>
                      <w:szCs w:val="21"/>
                    </w:rPr>
                    <w:t>③  禁止建设或使用《产业结构调整指导目录（2011年本）（2013年修正）》明令淘汰的生产工艺或设备</w:t>
                  </w:r>
                </w:p>
              </w:tc>
              <w:tc>
                <w:tcPr>
                  <w:tcW w:w="1642" w:type="dxa"/>
                  <w:vMerge w:val="continue"/>
                  <w:tcBorders>
                    <w:tl2br w:val="nil"/>
                    <w:tr2bl w:val="nil"/>
                  </w:tcBorders>
                  <w:vAlign w:val="center"/>
                </w:tcPr>
                <w:p>
                  <w:pPr>
                    <w:pStyle w:val="10"/>
                    <w:spacing w:after="0"/>
                    <w:ind w:left="0" w:leftChars="0"/>
                    <w:jc w:val="center"/>
                    <w:rPr>
                      <w:rFonts w:eastAsiaTheme="minorEastAsia"/>
                      <w:szCs w:val="21"/>
                    </w:rPr>
                  </w:pPr>
                </w:p>
              </w:tc>
              <w:tc>
                <w:tcPr>
                  <w:tcW w:w="982" w:type="dxa"/>
                  <w:vMerge w:val="continue"/>
                  <w:tcBorders>
                    <w:tl2br w:val="nil"/>
                    <w:tr2bl w:val="nil"/>
                  </w:tcBorders>
                  <w:vAlign w:val="center"/>
                </w:tcPr>
                <w:p>
                  <w:pPr>
                    <w:pStyle w:val="10"/>
                    <w:spacing w:after="0"/>
                    <w:ind w:left="0" w:leftChars="0"/>
                    <w:jc w:val="center"/>
                    <w:rPr>
                      <w:rFonts w:eastAsiaTheme="minorEastAsia"/>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生产规模和工艺技术先进性要求</w:t>
                  </w:r>
                </w:p>
              </w:tc>
              <w:tc>
                <w:tcPr>
                  <w:tcW w:w="4680" w:type="dxa"/>
                  <w:gridSpan w:val="2"/>
                  <w:tcBorders>
                    <w:tl2br w:val="nil"/>
                    <w:tr2bl w:val="nil"/>
                  </w:tcBorders>
                  <w:vAlign w:val="center"/>
                </w:tcPr>
                <w:p>
                  <w:pPr>
                    <w:pStyle w:val="10"/>
                    <w:numPr>
                      <w:ilvl w:val="0"/>
                      <w:numId w:val="2"/>
                    </w:numPr>
                    <w:spacing w:after="0"/>
                    <w:ind w:left="0" w:leftChars="0"/>
                  </w:pPr>
                  <w:r>
                    <w:rPr>
                      <w:rFonts w:hint="eastAsia"/>
                    </w:rPr>
                    <w:t>入区企业建设规模应符合国家相关行业准入条件中的经济、产品规模和生产工艺要求；</w:t>
                  </w:r>
                </w:p>
                <w:p>
                  <w:pPr>
                    <w:pStyle w:val="10"/>
                    <w:numPr>
                      <w:ilvl w:val="0"/>
                      <w:numId w:val="2"/>
                    </w:numPr>
                    <w:spacing w:after="0"/>
                    <w:ind w:left="0" w:leftChars="0"/>
                  </w:pPr>
                  <w:r>
                    <w:rPr>
                      <w:rFonts w:hint="eastAsia"/>
                    </w:rPr>
                    <w:t>在生产工艺、技术水平、装备规格上，要求入区项目达到国内行业领先水平、或具备国际先进水平</w:t>
                  </w:r>
                </w:p>
              </w:tc>
              <w:tc>
                <w:tcPr>
                  <w:tcW w:w="1642"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本项目工艺设备均不适于淘汰类</w:t>
                  </w:r>
                </w:p>
              </w:tc>
              <w:tc>
                <w:tcPr>
                  <w:tcW w:w="982"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清洁生产水平</w:t>
                  </w:r>
                </w:p>
              </w:tc>
              <w:tc>
                <w:tcPr>
                  <w:tcW w:w="4680" w:type="dxa"/>
                  <w:gridSpan w:val="2"/>
                  <w:tcBorders>
                    <w:tl2br w:val="nil"/>
                    <w:tr2bl w:val="nil"/>
                  </w:tcBorders>
                  <w:vAlign w:val="center"/>
                </w:tcPr>
                <w:p>
                  <w:pPr>
                    <w:pStyle w:val="10"/>
                    <w:spacing w:after="0"/>
                    <w:ind w:left="0" w:leftChars="0"/>
                    <w:rPr>
                      <w:rFonts w:eastAsiaTheme="minorEastAsia"/>
                      <w:szCs w:val="21"/>
                    </w:rPr>
                  </w:pPr>
                  <w:r>
                    <w:rPr>
                      <w:rFonts w:hint="eastAsia" w:eastAsiaTheme="minorEastAsia"/>
                      <w:szCs w:val="21"/>
                    </w:rPr>
                    <w:t>1、应选择使用原料和产品为环境友好型的项目，避免集聚区大规模建设造成的不良辐射效应，诱使国家明令禁止项目在集聚区周边出现；</w:t>
                  </w:r>
                </w:p>
                <w:p>
                  <w:pPr>
                    <w:pStyle w:val="10"/>
                    <w:spacing w:after="0"/>
                    <w:ind w:left="0" w:leftChars="0"/>
                    <w:rPr>
                      <w:rFonts w:eastAsiaTheme="minorEastAsia"/>
                      <w:szCs w:val="21"/>
                    </w:rPr>
                  </w:pPr>
                  <w:r>
                    <w:rPr>
                      <w:rFonts w:hint="eastAsia" w:eastAsiaTheme="minorEastAsia"/>
                      <w:szCs w:val="21"/>
                    </w:rPr>
                    <w:t>2、入区项目在单位产品水耗、能耗、污染物排放量等清洁生产指标应达到国内同类行业先进水平；</w:t>
                  </w:r>
                </w:p>
                <w:p>
                  <w:pPr>
                    <w:pStyle w:val="10"/>
                    <w:spacing w:after="0"/>
                    <w:ind w:left="0" w:leftChars="0"/>
                    <w:rPr>
                      <w:rFonts w:eastAsiaTheme="minorEastAsia"/>
                      <w:szCs w:val="21"/>
                    </w:rPr>
                  </w:pPr>
                  <w:r>
                    <w:rPr>
                      <w:rFonts w:hint="eastAsia" w:eastAsiaTheme="minorEastAsia"/>
                      <w:szCs w:val="21"/>
                    </w:rPr>
                    <w:t>3、按照循环经济发展之路，评价建议能够与集聚区定位发展产业形成良好循环经济链条的项目可优先入园</w:t>
                  </w:r>
                </w:p>
              </w:tc>
              <w:tc>
                <w:tcPr>
                  <w:tcW w:w="1642"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本项目原料为</w:t>
                  </w:r>
                  <w:r>
                    <w:rPr>
                      <w:rFonts w:hint="eastAsia" w:eastAsiaTheme="minorEastAsia"/>
                      <w:szCs w:val="21"/>
                      <w:lang w:val="en-US" w:eastAsia="zh-CN"/>
                    </w:rPr>
                    <w:t>PP、PE材料</w:t>
                  </w:r>
                  <w:r>
                    <w:rPr>
                      <w:rFonts w:hint="eastAsia" w:eastAsiaTheme="minorEastAsia"/>
                      <w:szCs w:val="21"/>
                    </w:rPr>
                    <w:t>，且能耗较低</w:t>
                  </w:r>
                </w:p>
              </w:tc>
              <w:tc>
                <w:tcPr>
                  <w:tcW w:w="982"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污染物排放总量控制</w:t>
                  </w:r>
                </w:p>
              </w:tc>
              <w:tc>
                <w:tcPr>
                  <w:tcW w:w="4680" w:type="dxa"/>
                  <w:gridSpan w:val="2"/>
                  <w:tcBorders>
                    <w:tl2br w:val="nil"/>
                    <w:tr2bl w:val="nil"/>
                  </w:tcBorders>
                  <w:vAlign w:val="center"/>
                </w:tcPr>
                <w:p>
                  <w:pPr>
                    <w:pStyle w:val="10"/>
                    <w:spacing w:after="0"/>
                    <w:ind w:left="0" w:leftChars="0"/>
                    <w:rPr>
                      <w:rFonts w:eastAsiaTheme="minorEastAsia"/>
                      <w:szCs w:val="21"/>
                    </w:rPr>
                  </w:pPr>
                  <w:r>
                    <w:rPr>
                      <w:rFonts w:hint="eastAsia" w:eastAsiaTheme="minorEastAsia"/>
                      <w:szCs w:val="21"/>
                    </w:rPr>
                    <w:t>1、新建项目的污染物排放指标必须满足区域总量要求；</w:t>
                  </w:r>
                </w:p>
                <w:p>
                  <w:pPr>
                    <w:pStyle w:val="10"/>
                    <w:spacing w:after="0"/>
                    <w:ind w:left="0" w:leftChars="0"/>
                    <w:rPr>
                      <w:rFonts w:eastAsiaTheme="minorEastAsia"/>
                      <w:szCs w:val="21"/>
                    </w:rPr>
                  </w:pPr>
                  <w:r>
                    <w:rPr>
                      <w:rFonts w:hint="eastAsia" w:eastAsiaTheme="minorEastAsia"/>
                      <w:szCs w:val="21"/>
                    </w:rPr>
                    <w:t>2、禁止发展环境污染严重、无污染治理技术或治理技术在技术经济上不可行的项目；</w:t>
                  </w:r>
                </w:p>
                <w:p>
                  <w:pPr>
                    <w:pStyle w:val="10"/>
                    <w:spacing w:after="0"/>
                    <w:ind w:left="0" w:leftChars="0"/>
                    <w:rPr>
                      <w:rFonts w:eastAsiaTheme="minorEastAsia"/>
                      <w:szCs w:val="21"/>
                    </w:rPr>
                  </w:pPr>
                  <w:r>
                    <w:rPr>
                      <w:rFonts w:hint="eastAsia" w:eastAsiaTheme="minorEastAsia"/>
                      <w:szCs w:val="21"/>
                    </w:rPr>
                    <w:t>3、新建项目的大气污染物处理达到相关行业标准或大气污染物综合排放标准后方可排放，水污染物排放应达到相关行业标准或水污染物综合排放标准后才能进入集聚区污水处理厂</w:t>
                  </w:r>
                </w:p>
              </w:tc>
              <w:tc>
                <w:tcPr>
                  <w:tcW w:w="1642" w:type="dxa"/>
                  <w:tcBorders>
                    <w:tl2br w:val="nil"/>
                    <w:tr2bl w:val="nil"/>
                  </w:tcBorders>
                  <w:vAlign w:val="center"/>
                </w:tcPr>
                <w:p>
                  <w:pPr>
                    <w:pStyle w:val="10"/>
                    <w:spacing w:after="0"/>
                    <w:ind w:left="0" w:leftChars="0"/>
                    <w:rPr>
                      <w:rFonts w:eastAsiaTheme="minorEastAsia"/>
                      <w:szCs w:val="21"/>
                    </w:rPr>
                  </w:pPr>
                  <w:r>
                    <w:rPr>
                      <w:rFonts w:hint="eastAsia" w:eastAsiaTheme="minorEastAsia"/>
                      <w:szCs w:val="21"/>
                    </w:rPr>
                    <w:t>本项目废水废气排放量较小，且能够满足相关标准要求</w:t>
                  </w:r>
                </w:p>
              </w:tc>
              <w:tc>
                <w:tcPr>
                  <w:tcW w:w="982"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0" w:type="dxa"/>
                  <w:tcBorders>
                    <w:tl2br w:val="nil"/>
                    <w:tr2bl w:val="nil"/>
                  </w:tcBorders>
                  <w:vAlign w:val="center"/>
                </w:tcPr>
                <w:p>
                  <w:pPr>
                    <w:adjustRightInd w:val="0"/>
                    <w:snapToGrid w:val="0"/>
                    <w:jc w:val="center"/>
                    <w:rPr>
                      <w:rFonts w:eastAsiaTheme="minorEastAsia"/>
                      <w:bCs/>
                      <w:szCs w:val="21"/>
                    </w:rPr>
                  </w:pPr>
                  <w:r>
                    <w:rPr>
                      <w:bCs/>
                      <w:szCs w:val="21"/>
                    </w:rPr>
                    <w:t>土地利用</w:t>
                  </w:r>
                </w:p>
              </w:tc>
              <w:tc>
                <w:tcPr>
                  <w:tcW w:w="4680" w:type="dxa"/>
                  <w:gridSpan w:val="2"/>
                  <w:tcBorders>
                    <w:tl2br w:val="nil"/>
                    <w:tr2bl w:val="nil"/>
                  </w:tcBorders>
                  <w:vAlign w:val="center"/>
                </w:tcPr>
                <w:p>
                  <w:pPr>
                    <w:adjustRightInd w:val="0"/>
                    <w:snapToGrid w:val="0"/>
                    <w:rPr>
                      <w:bCs/>
                      <w:szCs w:val="21"/>
                    </w:rPr>
                  </w:pPr>
                  <w:r>
                    <w:rPr>
                      <w:rFonts w:hint="eastAsia"/>
                      <w:bCs/>
                      <w:szCs w:val="21"/>
                    </w:rPr>
                    <w:t>1、</w:t>
                  </w:r>
                  <w:r>
                    <w:rPr>
                      <w:bCs/>
                      <w:szCs w:val="21"/>
                    </w:rPr>
                    <w:t>入园项目必须达到《河南省工业项目建设用地控制指标》要求</w:t>
                  </w:r>
                  <w:r>
                    <w:rPr>
                      <w:rFonts w:hint="eastAsia"/>
                      <w:bCs/>
                      <w:szCs w:val="21"/>
                    </w:rPr>
                    <w:t>。</w:t>
                  </w:r>
                </w:p>
                <w:p>
                  <w:pPr>
                    <w:adjustRightInd w:val="0"/>
                    <w:snapToGrid w:val="0"/>
                    <w:rPr>
                      <w:bCs/>
                      <w:szCs w:val="21"/>
                    </w:rPr>
                  </w:pPr>
                  <w:r>
                    <w:rPr>
                      <w:rFonts w:hint="eastAsia"/>
                      <w:bCs/>
                      <w:szCs w:val="21"/>
                    </w:rPr>
                    <w:t>2、</w:t>
                  </w:r>
                  <w:r>
                    <w:rPr>
                      <w:bCs/>
                      <w:szCs w:val="21"/>
                    </w:rPr>
                    <w:t>入园项目用地必须符合集聚区土地利用规划要求。</w:t>
                  </w:r>
                </w:p>
                <w:p>
                  <w:pPr>
                    <w:adjustRightInd w:val="0"/>
                    <w:snapToGrid w:val="0"/>
                    <w:rPr>
                      <w:rFonts w:eastAsiaTheme="minorEastAsia"/>
                      <w:bCs/>
                      <w:szCs w:val="21"/>
                    </w:rPr>
                  </w:pPr>
                  <w:r>
                    <w:rPr>
                      <w:rFonts w:hint="eastAsia"/>
                      <w:bCs/>
                      <w:szCs w:val="21"/>
                    </w:rPr>
                    <w:t>3、</w:t>
                  </w:r>
                  <w:r>
                    <w:rPr>
                      <w:bCs/>
                      <w:szCs w:val="21"/>
                    </w:rPr>
                    <w:t>入园项目必须符合园区产业布局要求。</w:t>
                  </w:r>
                </w:p>
              </w:tc>
              <w:tc>
                <w:tcPr>
                  <w:tcW w:w="1642"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本项目符合集聚区规划要求</w:t>
                  </w:r>
                </w:p>
              </w:tc>
              <w:tc>
                <w:tcPr>
                  <w:tcW w:w="982" w:type="dxa"/>
                  <w:tcBorders>
                    <w:tl2br w:val="nil"/>
                    <w:tr2bl w:val="nil"/>
                  </w:tcBorders>
                  <w:vAlign w:val="center"/>
                </w:tcPr>
                <w:p>
                  <w:pPr>
                    <w:pStyle w:val="10"/>
                    <w:spacing w:after="0"/>
                    <w:ind w:left="0" w:leftChars="0"/>
                    <w:jc w:val="center"/>
                    <w:rPr>
                      <w:rFonts w:eastAsiaTheme="minorEastAsia"/>
                      <w:szCs w:val="21"/>
                    </w:rPr>
                  </w:pPr>
                  <w:r>
                    <w:rPr>
                      <w:rFonts w:hint="eastAsia" w:eastAsiaTheme="minorEastAsia"/>
                      <w:szCs w:val="21"/>
                    </w:rPr>
                    <w:t>相符</w:t>
                  </w:r>
                </w:p>
              </w:tc>
            </w:tr>
          </w:tbl>
          <w:p>
            <w:pPr>
              <w:pStyle w:val="10"/>
              <w:spacing w:after="0" w:line="360" w:lineRule="auto"/>
              <w:ind w:left="0" w:leftChars="0" w:firstLine="480" w:firstLineChars="200"/>
              <w:rPr>
                <w:rFonts w:ascii="宋体" w:hAnsi="宋体" w:cs="宋体"/>
                <w:sz w:val="24"/>
                <w:szCs w:val="24"/>
              </w:rPr>
            </w:pPr>
            <w:r>
              <w:rPr>
                <w:rFonts w:hint="eastAsia" w:ascii="宋体" w:hAnsi="宋体" w:cs="宋体"/>
                <w:sz w:val="24"/>
                <w:szCs w:val="24"/>
              </w:rPr>
              <w:t>由上表可知，本项目符合《新乡经济技术产业集聚区的准入条件》相关要求，可以进入新乡经济技术产业集聚区。</w:t>
            </w:r>
          </w:p>
          <w:p>
            <w:pPr>
              <w:pStyle w:val="9"/>
              <w:spacing w:line="360" w:lineRule="auto"/>
            </w:pPr>
            <w:r>
              <w:rPr>
                <w:szCs w:val="24"/>
              </w:rPr>
              <w:t>4</w:t>
            </w:r>
            <w:r>
              <w:rPr>
                <w:rFonts w:hint="eastAsia" w:ascii="宋体" w:hAnsi="宋体" w:cs="宋体"/>
                <w:szCs w:val="24"/>
              </w:rPr>
              <w:t>、与集聚区产业发展负面清单相符性分析</w:t>
            </w:r>
          </w:p>
          <w:p>
            <w:pPr>
              <w:pStyle w:val="10"/>
              <w:spacing w:after="0"/>
              <w:ind w:left="0" w:leftChars="0"/>
              <w:jc w:val="center"/>
              <w:rPr>
                <w:rFonts w:eastAsia="黑体"/>
                <w:sz w:val="24"/>
                <w:szCs w:val="24"/>
              </w:rPr>
            </w:pPr>
            <w:r>
              <w:rPr>
                <w:rFonts w:eastAsia="黑体"/>
                <w:sz w:val="24"/>
                <w:szCs w:val="24"/>
              </w:rPr>
              <w:t>表10  与集聚区产业发展负面清单相符性分析一览表</w:t>
            </w:r>
          </w:p>
          <w:tbl>
            <w:tblPr>
              <w:tblStyle w:val="24"/>
              <w:tblW w:w="853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537"/>
              <w:gridCol w:w="741"/>
              <w:gridCol w:w="3245"/>
              <w:gridCol w:w="1419"/>
              <w:gridCol w:w="8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l2br w:val="nil"/>
                    <w:tr2bl w:val="nil"/>
                  </w:tcBorders>
                  <w:vAlign w:val="center"/>
                </w:tcPr>
                <w:p>
                  <w:pPr>
                    <w:pStyle w:val="6"/>
                    <w:ind w:firstLine="0"/>
                    <w:jc w:val="center"/>
                    <w:rPr>
                      <w:bCs/>
                      <w:szCs w:val="21"/>
                    </w:rPr>
                  </w:pPr>
                  <w:r>
                    <w:rPr>
                      <w:bCs/>
                      <w:szCs w:val="21"/>
                    </w:rPr>
                    <w:t>序号</w:t>
                  </w:r>
                </w:p>
              </w:tc>
              <w:tc>
                <w:tcPr>
                  <w:tcW w:w="1537" w:type="dxa"/>
                  <w:tcBorders>
                    <w:tl2br w:val="nil"/>
                    <w:tr2bl w:val="nil"/>
                  </w:tcBorders>
                  <w:vAlign w:val="center"/>
                </w:tcPr>
                <w:p>
                  <w:pPr>
                    <w:pStyle w:val="6"/>
                    <w:ind w:firstLine="0"/>
                    <w:jc w:val="center"/>
                    <w:rPr>
                      <w:bCs/>
                      <w:szCs w:val="21"/>
                    </w:rPr>
                  </w:pPr>
                  <w:r>
                    <w:rPr>
                      <w:bCs/>
                      <w:szCs w:val="21"/>
                    </w:rPr>
                    <w:t>要求</w:t>
                  </w:r>
                </w:p>
              </w:tc>
              <w:tc>
                <w:tcPr>
                  <w:tcW w:w="741" w:type="dxa"/>
                  <w:tcBorders>
                    <w:tl2br w:val="nil"/>
                    <w:tr2bl w:val="nil"/>
                  </w:tcBorders>
                  <w:vAlign w:val="center"/>
                </w:tcPr>
                <w:p>
                  <w:pPr>
                    <w:pStyle w:val="6"/>
                    <w:ind w:firstLine="0"/>
                    <w:jc w:val="center"/>
                    <w:rPr>
                      <w:bCs/>
                      <w:szCs w:val="21"/>
                    </w:rPr>
                  </w:pPr>
                  <w:r>
                    <w:rPr>
                      <w:bCs/>
                      <w:szCs w:val="21"/>
                    </w:rPr>
                    <w:t>行业</w:t>
                  </w:r>
                </w:p>
              </w:tc>
              <w:tc>
                <w:tcPr>
                  <w:tcW w:w="3245" w:type="dxa"/>
                  <w:tcBorders>
                    <w:tl2br w:val="nil"/>
                    <w:tr2bl w:val="nil"/>
                  </w:tcBorders>
                  <w:vAlign w:val="center"/>
                </w:tcPr>
                <w:p>
                  <w:pPr>
                    <w:pStyle w:val="6"/>
                    <w:ind w:firstLine="0"/>
                    <w:jc w:val="center"/>
                    <w:rPr>
                      <w:bCs/>
                      <w:szCs w:val="21"/>
                    </w:rPr>
                  </w:pPr>
                  <w:r>
                    <w:rPr>
                      <w:bCs/>
                    </w:rPr>
                    <w:t>集聚区</w:t>
                  </w:r>
                  <w:r>
                    <w:rPr>
                      <w:bCs/>
                      <w:szCs w:val="21"/>
                    </w:rPr>
                    <w:t>禁止和限制发展内容</w:t>
                  </w:r>
                </w:p>
              </w:tc>
              <w:tc>
                <w:tcPr>
                  <w:tcW w:w="1419" w:type="dxa"/>
                  <w:tcBorders>
                    <w:tl2br w:val="nil"/>
                    <w:tr2bl w:val="nil"/>
                  </w:tcBorders>
                </w:tcPr>
                <w:p>
                  <w:pPr>
                    <w:pStyle w:val="6"/>
                    <w:ind w:firstLine="0"/>
                    <w:jc w:val="center"/>
                    <w:rPr>
                      <w:bCs/>
                    </w:rPr>
                  </w:pPr>
                  <w:r>
                    <w:rPr>
                      <w:rFonts w:hint="eastAsia"/>
                      <w:bCs/>
                    </w:rPr>
                    <w:t>本项目情况</w:t>
                  </w:r>
                </w:p>
              </w:tc>
              <w:tc>
                <w:tcPr>
                  <w:tcW w:w="889" w:type="dxa"/>
                  <w:tcBorders>
                    <w:tl2br w:val="nil"/>
                    <w:tr2bl w:val="nil"/>
                  </w:tcBorders>
                </w:tcPr>
                <w:p>
                  <w:pPr>
                    <w:pStyle w:val="9"/>
                    <w:spacing w:line="240" w:lineRule="auto"/>
                    <w:rPr>
                      <w:b w:val="0"/>
                      <w:sz w:val="21"/>
                      <w:szCs w:val="21"/>
                    </w:rPr>
                  </w:pPr>
                  <w:r>
                    <w:rPr>
                      <w:rFonts w:hint="eastAsia"/>
                      <w:b w:val="0"/>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tcBorders>
                    <w:tl2br w:val="nil"/>
                    <w:tr2bl w:val="nil"/>
                  </w:tcBorders>
                  <w:vAlign w:val="center"/>
                </w:tcPr>
                <w:p>
                  <w:pPr>
                    <w:pStyle w:val="6"/>
                    <w:ind w:firstLine="0"/>
                    <w:jc w:val="center"/>
                    <w:rPr>
                      <w:bCs/>
                      <w:szCs w:val="21"/>
                    </w:rPr>
                  </w:pPr>
                  <w:r>
                    <w:rPr>
                      <w:bCs/>
                      <w:szCs w:val="21"/>
                    </w:rPr>
                    <w:t>1</w:t>
                  </w:r>
                </w:p>
              </w:tc>
              <w:tc>
                <w:tcPr>
                  <w:tcW w:w="1537" w:type="dxa"/>
                  <w:vMerge w:val="restart"/>
                  <w:tcBorders>
                    <w:tl2br w:val="nil"/>
                    <w:tr2bl w:val="nil"/>
                  </w:tcBorders>
                  <w:vAlign w:val="center"/>
                </w:tcPr>
                <w:p>
                  <w:pPr>
                    <w:pStyle w:val="9"/>
                    <w:spacing w:line="240" w:lineRule="auto"/>
                    <w:jc w:val="center"/>
                    <w:rPr>
                      <w:b w:val="0"/>
                      <w:sz w:val="21"/>
                      <w:szCs w:val="21"/>
                    </w:rPr>
                  </w:pPr>
                  <w:r>
                    <w:rPr>
                      <w:b w:val="0"/>
                      <w:sz w:val="21"/>
                      <w:szCs w:val="21"/>
                    </w:rPr>
                    <w:t>不符合集聚区产业定位，不符合国家政策，属于淘汰和产品，能耗大、污染物产生量大，产业规模达不到要求及国家限制发展行业</w:t>
                  </w:r>
                </w:p>
              </w:tc>
              <w:tc>
                <w:tcPr>
                  <w:tcW w:w="741" w:type="dxa"/>
                  <w:vMerge w:val="restart"/>
                  <w:tcBorders>
                    <w:tl2br w:val="nil"/>
                    <w:tr2bl w:val="nil"/>
                  </w:tcBorders>
                  <w:vAlign w:val="center"/>
                </w:tcPr>
                <w:p>
                  <w:pPr>
                    <w:pStyle w:val="6"/>
                    <w:ind w:firstLine="0"/>
                    <w:jc w:val="center"/>
                    <w:rPr>
                      <w:bCs/>
                      <w:szCs w:val="21"/>
                    </w:rPr>
                  </w:pPr>
                  <w:r>
                    <w:rPr>
                      <w:bCs/>
                      <w:szCs w:val="21"/>
                    </w:rPr>
                    <w:t>化工</w:t>
                  </w:r>
                </w:p>
              </w:tc>
              <w:tc>
                <w:tcPr>
                  <w:tcW w:w="3245" w:type="dxa"/>
                  <w:tcBorders>
                    <w:tl2br w:val="nil"/>
                    <w:tr2bl w:val="nil"/>
                  </w:tcBorders>
                  <w:vAlign w:val="center"/>
                </w:tcPr>
                <w:p>
                  <w:pPr>
                    <w:jc w:val="center"/>
                    <w:rPr>
                      <w:bCs/>
                      <w:szCs w:val="21"/>
                    </w:rPr>
                  </w:pPr>
                  <w:r>
                    <w:rPr>
                      <w:bCs/>
                      <w:kern w:val="0"/>
                      <w:szCs w:val="21"/>
                    </w:rPr>
                    <w:t>禁止新建或单纯扩大产能的以煤为原料的煤化工项目；同时升级改造项目、符合条件的退城入园项目，入驻园区不得增加区域燃煤总量，且合成氨和甲醇产能应进行等量置换，</w:t>
                  </w:r>
                  <w:r>
                    <w:rPr>
                      <w:bCs/>
                      <w:szCs w:val="21"/>
                    </w:rPr>
                    <w:t>不得新增河南省区域</w:t>
                  </w:r>
                  <w:r>
                    <w:rPr>
                      <w:bCs/>
                      <w:kern w:val="0"/>
                      <w:szCs w:val="21"/>
                    </w:rPr>
                    <w:t>合成氨和甲醇</w:t>
                  </w:r>
                  <w:r>
                    <w:rPr>
                      <w:bCs/>
                      <w:szCs w:val="21"/>
                    </w:rPr>
                    <w:t>产能，建议化工园区合成氨和甲醇年总产能控制为200万吨。</w:t>
                  </w:r>
                </w:p>
              </w:tc>
              <w:tc>
                <w:tcPr>
                  <w:tcW w:w="1419" w:type="dxa"/>
                  <w:vMerge w:val="restart"/>
                  <w:tcBorders>
                    <w:tl2br w:val="nil"/>
                    <w:tr2bl w:val="nil"/>
                  </w:tcBorders>
                  <w:vAlign w:val="center"/>
                </w:tcPr>
                <w:p>
                  <w:pPr>
                    <w:jc w:val="center"/>
                    <w:rPr>
                      <w:bCs/>
                      <w:kern w:val="0"/>
                      <w:szCs w:val="21"/>
                    </w:rPr>
                  </w:pPr>
                  <w:r>
                    <w:rPr>
                      <w:rFonts w:hint="eastAsia"/>
                      <w:bCs/>
                      <w:kern w:val="0"/>
                      <w:szCs w:val="21"/>
                    </w:rPr>
                    <w:t>本项目不属于化工行业</w:t>
                  </w:r>
                </w:p>
              </w:tc>
              <w:tc>
                <w:tcPr>
                  <w:tcW w:w="889" w:type="dxa"/>
                  <w:vMerge w:val="restart"/>
                  <w:tcBorders>
                    <w:tl2br w:val="nil"/>
                    <w:tr2bl w:val="nil"/>
                  </w:tcBorders>
                  <w:vAlign w:val="center"/>
                </w:tcPr>
                <w:p>
                  <w:pPr>
                    <w:pStyle w:val="9"/>
                    <w:spacing w:line="240" w:lineRule="auto"/>
                    <w:jc w:val="center"/>
                    <w:rPr>
                      <w:b w:val="0"/>
                      <w:sz w:val="21"/>
                      <w:szCs w:val="21"/>
                    </w:rPr>
                  </w:pPr>
                  <w:r>
                    <w:rPr>
                      <w:b w:val="0"/>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tcBorders>
                    <w:tl2br w:val="nil"/>
                    <w:tr2bl w:val="nil"/>
                  </w:tcBorders>
                  <w:vAlign w:val="center"/>
                </w:tcPr>
                <w:p>
                  <w:pPr>
                    <w:pStyle w:val="6"/>
                    <w:ind w:firstLine="0"/>
                    <w:jc w:val="center"/>
                    <w:rPr>
                      <w:bCs/>
                      <w:szCs w:val="21"/>
                    </w:rPr>
                  </w:pPr>
                </w:p>
              </w:tc>
              <w:tc>
                <w:tcPr>
                  <w:tcW w:w="1537" w:type="dxa"/>
                  <w:vMerge w:val="continue"/>
                  <w:tcBorders>
                    <w:tl2br w:val="nil"/>
                    <w:tr2bl w:val="nil"/>
                  </w:tcBorders>
                  <w:vAlign w:val="center"/>
                </w:tcPr>
                <w:p>
                  <w:pPr>
                    <w:pStyle w:val="9"/>
                    <w:spacing w:line="240" w:lineRule="auto"/>
                    <w:jc w:val="center"/>
                    <w:rPr>
                      <w:b w:val="0"/>
                      <w:sz w:val="21"/>
                      <w:szCs w:val="21"/>
                    </w:rPr>
                  </w:pPr>
                </w:p>
              </w:tc>
              <w:tc>
                <w:tcPr>
                  <w:tcW w:w="741" w:type="dxa"/>
                  <w:vMerge w:val="continue"/>
                  <w:tcBorders>
                    <w:tl2br w:val="nil"/>
                    <w:tr2bl w:val="nil"/>
                  </w:tcBorders>
                  <w:vAlign w:val="center"/>
                </w:tcPr>
                <w:p>
                  <w:pPr>
                    <w:pStyle w:val="6"/>
                    <w:ind w:firstLine="0"/>
                    <w:jc w:val="center"/>
                    <w:rPr>
                      <w:bCs/>
                      <w:szCs w:val="21"/>
                    </w:rPr>
                  </w:pPr>
                </w:p>
              </w:tc>
              <w:tc>
                <w:tcPr>
                  <w:tcW w:w="3245" w:type="dxa"/>
                  <w:tcBorders>
                    <w:tl2br w:val="nil"/>
                    <w:tr2bl w:val="nil"/>
                  </w:tcBorders>
                  <w:vAlign w:val="center"/>
                </w:tcPr>
                <w:p>
                  <w:pPr>
                    <w:pStyle w:val="6"/>
                    <w:ind w:firstLine="0"/>
                    <w:jc w:val="center"/>
                    <w:rPr>
                      <w:bCs/>
                      <w:szCs w:val="21"/>
                    </w:rPr>
                  </w:pPr>
                  <w:r>
                    <w:rPr>
                      <w:bCs/>
                      <w:kern w:val="0"/>
                      <w:szCs w:val="21"/>
                    </w:rPr>
                    <w:t>禁止新建或扩建以天然气为原料生产甲醇及甲醇生产下游产品；禁止以天然气代煤制甲醇项目</w:t>
                  </w:r>
                </w:p>
              </w:tc>
              <w:tc>
                <w:tcPr>
                  <w:tcW w:w="1419" w:type="dxa"/>
                  <w:vMerge w:val="continue"/>
                  <w:tcBorders>
                    <w:tl2br w:val="nil"/>
                    <w:tr2bl w:val="nil"/>
                  </w:tcBorders>
                  <w:vAlign w:val="center"/>
                </w:tcPr>
                <w:p>
                  <w:pPr>
                    <w:pStyle w:val="6"/>
                    <w:ind w:firstLine="0"/>
                    <w:jc w:val="center"/>
                    <w:rPr>
                      <w:bCs/>
                      <w:kern w:val="0"/>
                      <w:szCs w:val="21"/>
                    </w:rPr>
                  </w:pPr>
                </w:p>
              </w:tc>
              <w:tc>
                <w:tcPr>
                  <w:tcW w:w="889" w:type="dxa"/>
                  <w:vMerge w:val="continue"/>
                  <w:tcBorders>
                    <w:tl2br w:val="nil"/>
                    <w:tr2bl w:val="nil"/>
                  </w:tcBorders>
                  <w:vAlign w:val="center"/>
                </w:tcPr>
                <w:p>
                  <w:pPr>
                    <w:pStyle w:val="9"/>
                    <w:spacing w:line="240" w:lineRule="auto"/>
                    <w:jc w:val="center"/>
                    <w:rPr>
                      <w:b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tcBorders>
                    <w:tl2br w:val="nil"/>
                    <w:tr2bl w:val="nil"/>
                  </w:tcBorders>
                  <w:vAlign w:val="center"/>
                </w:tcPr>
                <w:p>
                  <w:pPr>
                    <w:pStyle w:val="6"/>
                    <w:ind w:firstLine="0"/>
                    <w:jc w:val="center"/>
                    <w:rPr>
                      <w:bCs/>
                      <w:szCs w:val="21"/>
                    </w:rPr>
                  </w:pPr>
                </w:p>
              </w:tc>
              <w:tc>
                <w:tcPr>
                  <w:tcW w:w="1537" w:type="dxa"/>
                  <w:vMerge w:val="continue"/>
                  <w:tcBorders>
                    <w:tl2br w:val="nil"/>
                    <w:tr2bl w:val="nil"/>
                  </w:tcBorders>
                  <w:vAlign w:val="center"/>
                </w:tcPr>
                <w:p>
                  <w:pPr>
                    <w:pStyle w:val="9"/>
                    <w:spacing w:line="240" w:lineRule="auto"/>
                    <w:jc w:val="center"/>
                    <w:rPr>
                      <w:b w:val="0"/>
                      <w:sz w:val="21"/>
                      <w:szCs w:val="21"/>
                    </w:rPr>
                  </w:pPr>
                </w:p>
              </w:tc>
              <w:tc>
                <w:tcPr>
                  <w:tcW w:w="741" w:type="dxa"/>
                  <w:vMerge w:val="continue"/>
                  <w:tcBorders>
                    <w:tl2br w:val="nil"/>
                    <w:tr2bl w:val="nil"/>
                  </w:tcBorders>
                  <w:vAlign w:val="center"/>
                </w:tcPr>
                <w:p>
                  <w:pPr>
                    <w:pStyle w:val="6"/>
                    <w:ind w:firstLine="0"/>
                    <w:jc w:val="center"/>
                    <w:rPr>
                      <w:bCs/>
                      <w:szCs w:val="21"/>
                    </w:rPr>
                  </w:pPr>
                </w:p>
              </w:tc>
              <w:tc>
                <w:tcPr>
                  <w:tcW w:w="3245" w:type="dxa"/>
                  <w:tcBorders>
                    <w:tl2br w:val="nil"/>
                    <w:tr2bl w:val="nil"/>
                  </w:tcBorders>
                  <w:vAlign w:val="center"/>
                </w:tcPr>
                <w:p>
                  <w:pPr>
                    <w:pStyle w:val="6"/>
                    <w:ind w:firstLine="0"/>
                    <w:jc w:val="center"/>
                    <w:rPr>
                      <w:bCs/>
                      <w:szCs w:val="21"/>
                    </w:rPr>
                  </w:pPr>
                  <w:r>
                    <w:rPr>
                      <w:bCs/>
                      <w:kern w:val="0"/>
                      <w:szCs w:val="21"/>
                    </w:rPr>
                    <w:t>禁止焦化行业炼焦和煤焦油加工项目入驻</w:t>
                  </w:r>
                </w:p>
              </w:tc>
              <w:tc>
                <w:tcPr>
                  <w:tcW w:w="1419" w:type="dxa"/>
                  <w:vMerge w:val="continue"/>
                  <w:tcBorders>
                    <w:tl2br w:val="nil"/>
                    <w:tr2bl w:val="nil"/>
                  </w:tcBorders>
                  <w:vAlign w:val="center"/>
                </w:tcPr>
                <w:p>
                  <w:pPr>
                    <w:pStyle w:val="6"/>
                    <w:ind w:firstLine="0"/>
                    <w:jc w:val="center"/>
                    <w:rPr>
                      <w:bCs/>
                      <w:kern w:val="0"/>
                      <w:szCs w:val="21"/>
                    </w:rPr>
                  </w:pPr>
                </w:p>
              </w:tc>
              <w:tc>
                <w:tcPr>
                  <w:tcW w:w="889" w:type="dxa"/>
                  <w:vMerge w:val="continue"/>
                  <w:tcBorders>
                    <w:tl2br w:val="nil"/>
                    <w:tr2bl w:val="nil"/>
                  </w:tcBorders>
                  <w:vAlign w:val="center"/>
                </w:tcPr>
                <w:p>
                  <w:pPr>
                    <w:pStyle w:val="9"/>
                    <w:spacing w:line="240" w:lineRule="auto"/>
                    <w:jc w:val="center"/>
                    <w:rPr>
                      <w:b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tcBorders>
                    <w:tl2br w:val="nil"/>
                    <w:tr2bl w:val="nil"/>
                  </w:tcBorders>
                  <w:vAlign w:val="center"/>
                </w:tcPr>
                <w:p>
                  <w:pPr>
                    <w:pStyle w:val="6"/>
                    <w:ind w:firstLine="0"/>
                    <w:jc w:val="center"/>
                    <w:rPr>
                      <w:bCs/>
                      <w:szCs w:val="21"/>
                    </w:rPr>
                  </w:pPr>
                </w:p>
              </w:tc>
              <w:tc>
                <w:tcPr>
                  <w:tcW w:w="1537" w:type="dxa"/>
                  <w:vMerge w:val="continue"/>
                  <w:tcBorders>
                    <w:tl2br w:val="nil"/>
                    <w:tr2bl w:val="nil"/>
                  </w:tcBorders>
                  <w:vAlign w:val="center"/>
                </w:tcPr>
                <w:p>
                  <w:pPr>
                    <w:pStyle w:val="9"/>
                    <w:spacing w:line="240" w:lineRule="auto"/>
                    <w:jc w:val="center"/>
                    <w:rPr>
                      <w:b w:val="0"/>
                      <w:sz w:val="21"/>
                      <w:szCs w:val="21"/>
                    </w:rPr>
                  </w:pPr>
                </w:p>
              </w:tc>
              <w:tc>
                <w:tcPr>
                  <w:tcW w:w="741" w:type="dxa"/>
                  <w:vMerge w:val="continue"/>
                  <w:tcBorders>
                    <w:tl2br w:val="nil"/>
                    <w:tr2bl w:val="nil"/>
                  </w:tcBorders>
                  <w:vAlign w:val="center"/>
                </w:tcPr>
                <w:p>
                  <w:pPr>
                    <w:pStyle w:val="6"/>
                    <w:ind w:firstLine="0"/>
                    <w:jc w:val="center"/>
                    <w:rPr>
                      <w:bCs/>
                      <w:szCs w:val="21"/>
                    </w:rPr>
                  </w:pPr>
                </w:p>
              </w:tc>
              <w:tc>
                <w:tcPr>
                  <w:tcW w:w="3245" w:type="dxa"/>
                  <w:tcBorders>
                    <w:tl2br w:val="nil"/>
                    <w:tr2bl w:val="nil"/>
                  </w:tcBorders>
                  <w:vAlign w:val="center"/>
                </w:tcPr>
                <w:p>
                  <w:pPr>
                    <w:pStyle w:val="6"/>
                    <w:ind w:firstLine="0"/>
                    <w:jc w:val="center"/>
                    <w:rPr>
                      <w:bCs/>
                      <w:szCs w:val="21"/>
                    </w:rPr>
                  </w:pPr>
                  <w:r>
                    <w:rPr>
                      <w:bCs/>
                      <w:szCs w:val="21"/>
                    </w:rPr>
                    <w:t>限制新建、扩建以天然气为原料的合成氨项目</w:t>
                  </w:r>
                </w:p>
              </w:tc>
              <w:tc>
                <w:tcPr>
                  <w:tcW w:w="1419" w:type="dxa"/>
                  <w:vMerge w:val="continue"/>
                  <w:tcBorders>
                    <w:tl2br w:val="nil"/>
                    <w:tr2bl w:val="nil"/>
                  </w:tcBorders>
                  <w:vAlign w:val="center"/>
                </w:tcPr>
                <w:p>
                  <w:pPr>
                    <w:pStyle w:val="6"/>
                    <w:ind w:firstLine="0"/>
                    <w:jc w:val="center"/>
                    <w:rPr>
                      <w:bCs/>
                      <w:szCs w:val="21"/>
                    </w:rPr>
                  </w:pPr>
                </w:p>
              </w:tc>
              <w:tc>
                <w:tcPr>
                  <w:tcW w:w="889" w:type="dxa"/>
                  <w:vMerge w:val="continue"/>
                  <w:tcBorders>
                    <w:tl2br w:val="nil"/>
                    <w:tr2bl w:val="nil"/>
                  </w:tcBorders>
                  <w:vAlign w:val="center"/>
                </w:tcPr>
                <w:p>
                  <w:pPr>
                    <w:pStyle w:val="9"/>
                    <w:spacing w:line="240" w:lineRule="auto"/>
                    <w:jc w:val="center"/>
                    <w:rPr>
                      <w:b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tcBorders>
                    <w:tl2br w:val="nil"/>
                    <w:tr2bl w:val="nil"/>
                  </w:tcBorders>
                  <w:vAlign w:val="center"/>
                </w:tcPr>
                <w:p>
                  <w:pPr>
                    <w:pStyle w:val="6"/>
                    <w:ind w:firstLine="0"/>
                    <w:jc w:val="center"/>
                    <w:rPr>
                      <w:bCs/>
                      <w:szCs w:val="21"/>
                    </w:rPr>
                  </w:pPr>
                </w:p>
              </w:tc>
              <w:tc>
                <w:tcPr>
                  <w:tcW w:w="1537" w:type="dxa"/>
                  <w:vMerge w:val="continue"/>
                  <w:tcBorders>
                    <w:tl2br w:val="nil"/>
                    <w:tr2bl w:val="nil"/>
                  </w:tcBorders>
                  <w:vAlign w:val="center"/>
                </w:tcPr>
                <w:p>
                  <w:pPr>
                    <w:pStyle w:val="9"/>
                    <w:spacing w:line="240" w:lineRule="auto"/>
                    <w:jc w:val="center"/>
                    <w:rPr>
                      <w:b w:val="0"/>
                      <w:sz w:val="21"/>
                      <w:szCs w:val="21"/>
                    </w:rPr>
                  </w:pPr>
                </w:p>
              </w:tc>
              <w:tc>
                <w:tcPr>
                  <w:tcW w:w="741" w:type="dxa"/>
                  <w:vMerge w:val="continue"/>
                  <w:tcBorders>
                    <w:tl2br w:val="nil"/>
                    <w:tr2bl w:val="nil"/>
                  </w:tcBorders>
                  <w:vAlign w:val="center"/>
                </w:tcPr>
                <w:p>
                  <w:pPr>
                    <w:pStyle w:val="6"/>
                    <w:ind w:firstLine="0"/>
                    <w:jc w:val="center"/>
                    <w:rPr>
                      <w:bCs/>
                      <w:szCs w:val="21"/>
                    </w:rPr>
                  </w:pPr>
                </w:p>
              </w:tc>
              <w:tc>
                <w:tcPr>
                  <w:tcW w:w="3245" w:type="dxa"/>
                  <w:tcBorders>
                    <w:tl2br w:val="nil"/>
                    <w:tr2bl w:val="nil"/>
                  </w:tcBorders>
                  <w:vAlign w:val="center"/>
                </w:tcPr>
                <w:p>
                  <w:pPr>
                    <w:pStyle w:val="6"/>
                    <w:ind w:firstLine="0"/>
                    <w:jc w:val="center"/>
                    <w:rPr>
                      <w:bCs/>
                      <w:szCs w:val="21"/>
                    </w:rPr>
                  </w:pPr>
                  <w:r>
                    <w:rPr>
                      <w:bCs/>
                      <w:szCs w:val="21"/>
                    </w:rPr>
                    <w:t>其它行业政策禁止或限制发展的化工项目</w:t>
                  </w:r>
                </w:p>
              </w:tc>
              <w:tc>
                <w:tcPr>
                  <w:tcW w:w="1419" w:type="dxa"/>
                  <w:vMerge w:val="continue"/>
                  <w:tcBorders>
                    <w:tl2br w:val="nil"/>
                    <w:tr2bl w:val="nil"/>
                  </w:tcBorders>
                  <w:vAlign w:val="center"/>
                </w:tcPr>
                <w:p>
                  <w:pPr>
                    <w:pStyle w:val="6"/>
                    <w:ind w:firstLine="0"/>
                    <w:jc w:val="center"/>
                    <w:rPr>
                      <w:bCs/>
                      <w:szCs w:val="21"/>
                    </w:rPr>
                  </w:pPr>
                </w:p>
              </w:tc>
              <w:tc>
                <w:tcPr>
                  <w:tcW w:w="889" w:type="dxa"/>
                  <w:vMerge w:val="continue"/>
                  <w:tcBorders>
                    <w:tl2br w:val="nil"/>
                    <w:tr2bl w:val="nil"/>
                  </w:tcBorders>
                  <w:vAlign w:val="center"/>
                </w:tcPr>
                <w:p>
                  <w:pPr>
                    <w:pStyle w:val="9"/>
                    <w:spacing w:line="240" w:lineRule="auto"/>
                    <w:jc w:val="center"/>
                    <w:rPr>
                      <w:b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tcBorders>
                    <w:tl2br w:val="nil"/>
                    <w:tr2bl w:val="nil"/>
                  </w:tcBorders>
                  <w:vAlign w:val="center"/>
                </w:tcPr>
                <w:p>
                  <w:pPr>
                    <w:pStyle w:val="6"/>
                    <w:ind w:firstLine="0"/>
                    <w:jc w:val="center"/>
                    <w:rPr>
                      <w:bCs/>
                      <w:szCs w:val="21"/>
                    </w:rPr>
                  </w:pPr>
                  <w:r>
                    <w:rPr>
                      <w:bCs/>
                      <w:szCs w:val="21"/>
                    </w:rPr>
                    <w:t>2</w:t>
                  </w:r>
                </w:p>
              </w:tc>
              <w:tc>
                <w:tcPr>
                  <w:tcW w:w="1537" w:type="dxa"/>
                  <w:vMerge w:val="continue"/>
                  <w:tcBorders>
                    <w:tl2br w:val="nil"/>
                    <w:tr2bl w:val="nil"/>
                  </w:tcBorders>
                  <w:vAlign w:val="center"/>
                </w:tcPr>
                <w:p>
                  <w:pPr>
                    <w:pStyle w:val="9"/>
                    <w:spacing w:line="240" w:lineRule="auto"/>
                    <w:jc w:val="center"/>
                    <w:rPr>
                      <w:b w:val="0"/>
                      <w:sz w:val="21"/>
                      <w:szCs w:val="21"/>
                    </w:rPr>
                  </w:pPr>
                </w:p>
              </w:tc>
              <w:tc>
                <w:tcPr>
                  <w:tcW w:w="741" w:type="dxa"/>
                  <w:vMerge w:val="restart"/>
                  <w:tcBorders>
                    <w:tl2br w:val="nil"/>
                    <w:tr2bl w:val="nil"/>
                  </w:tcBorders>
                  <w:vAlign w:val="center"/>
                </w:tcPr>
                <w:p>
                  <w:pPr>
                    <w:pStyle w:val="6"/>
                    <w:ind w:firstLine="0"/>
                    <w:jc w:val="center"/>
                    <w:rPr>
                      <w:bCs/>
                      <w:szCs w:val="21"/>
                    </w:rPr>
                  </w:pPr>
                  <w:r>
                    <w:rPr>
                      <w:bCs/>
                      <w:szCs w:val="21"/>
                    </w:rPr>
                    <w:t>医药</w:t>
                  </w:r>
                </w:p>
              </w:tc>
              <w:tc>
                <w:tcPr>
                  <w:tcW w:w="3245" w:type="dxa"/>
                  <w:tcBorders>
                    <w:tl2br w:val="nil"/>
                    <w:tr2bl w:val="nil"/>
                  </w:tcBorders>
                  <w:vAlign w:val="center"/>
                </w:tcPr>
                <w:p>
                  <w:pPr>
                    <w:jc w:val="center"/>
                    <w:rPr>
                      <w:bCs/>
                      <w:szCs w:val="21"/>
                    </w:rPr>
                  </w:pPr>
                  <w:r>
                    <w:rPr>
                      <w:bCs/>
                      <w:szCs w:val="21"/>
                    </w:rPr>
                    <w:t>禁止发展化学合成制药企业（单纯分装、复配除外）</w:t>
                  </w:r>
                </w:p>
              </w:tc>
              <w:tc>
                <w:tcPr>
                  <w:tcW w:w="1419" w:type="dxa"/>
                  <w:vMerge w:val="restart"/>
                  <w:tcBorders>
                    <w:tl2br w:val="nil"/>
                    <w:tr2bl w:val="nil"/>
                  </w:tcBorders>
                  <w:vAlign w:val="center"/>
                </w:tcPr>
                <w:p>
                  <w:pPr>
                    <w:jc w:val="center"/>
                    <w:rPr>
                      <w:bCs/>
                      <w:szCs w:val="21"/>
                    </w:rPr>
                  </w:pPr>
                  <w:r>
                    <w:rPr>
                      <w:bCs/>
                      <w:szCs w:val="21"/>
                    </w:rPr>
                    <w:t>本项目不属于</w:t>
                  </w:r>
                  <w:r>
                    <w:rPr>
                      <w:rFonts w:hint="eastAsia"/>
                      <w:bCs/>
                      <w:szCs w:val="21"/>
                    </w:rPr>
                    <w:t>医药</w:t>
                  </w:r>
                  <w:r>
                    <w:rPr>
                      <w:bCs/>
                      <w:szCs w:val="21"/>
                    </w:rPr>
                    <w:t>行业</w:t>
                  </w:r>
                </w:p>
              </w:tc>
              <w:tc>
                <w:tcPr>
                  <w:tcW w:w="889" w:type="dxa"/>
                  <w:vMerge w:val="restart"/>
                  <w:tcBorders>
                    <w:tl2br w:val="nil"/>
                    <w:tr2bl w:val="nil"/>
                  </w:tcBorders>
                  <w:vAlign w:val="center"/>
                </w:tcPr>
                <w:p>
                  <w:pPr>
                    <w:pStyle w:val="9"/>
                    <w:spacing w:line="240" w:lineRule="auto"/>
                    <w:jc w:val="center"/>
                    <w:rPr>
                      <w:b w:val="0"/>
                      <w:sz w:val="21"/>
                      <w:szCs w:val="21"/>
                    </w:rPr>
                  </w:pPr>
                  <w:r>
                    <w:rPr>
                      <w:b w:val="0"/>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tcBorders>
                    <w:tl2br w:val="nil"/>
                    <w:tr2bl w:val="nil"/>
                  </w:tcBorders>
                  <w:vAlign w:val="center"/>
                </w:tcPr>
                <w:p>
                  <w:pPr>
                    <w:pStyle w:val="6"/>
                    <w:ind w:firstLine="0"/>
                    <w:jc w:val="center"/>
                    <w:rPr>
                      <w:bCs/>
                      <w:szCs w:val="21"/>
                    </w:rPr>
                  </w:pPr>
                </w:p>
              </w:tc>
              <w:tc>
                <w:tcPr>
                  <w:tcW w:w="1537" w:type="dxa"/>
                  <w:vMerge w:val="continue"/>
                  <w:tcBorders>
                    <w:tl2br w:val="nil"/>
                    <w:tr2bl w:val="nil"/>
                  </w:tcBorders>
                  <w:vAlign w:val="center"/>
                </w:tcPr>
                <w:p>
                  <w:pPr>
                    <w:pStyle w:val="9"/>
                    <w:spacing w:line="240" w:lineRule="auto"/>
                    <w:jc w:val="center"/>
                    <w:rPr>
                      <w:b w:val="0"/>
                      <w:sz w:val="21"/>
                      <w:szCs w:val="21"/>
                    </w:rPr>
                  </w:pPr>
                </w:p>
              </w:tc>
              <w:tc>
                <w:tcPr>
                  <w:tcW w:w="741" w:type="dxa"/>
                  <w:vMerge w:val="continue"/>
                  <w:tcBorders>
                    <w:tl2br w:val="nil"/>
                    <w:tr2bl w:val="nil"/>
                  </w:tcBorders>
                  <w:vAlign w:val="center"/>
                </w:tcPr>
                <w:p>
                  <w:pPr>
                    <w:pStyle w:val="6"/>
                    <w:ind w:firstLine="0"/>
                    <w:jc w:val="center"/>
                    <w:rPr>
                      <w:bCs/>
                      <w:szCs w:val="21"/>
                    </w:rPr>
                  </w:pPr>
                </w:p>
              </w:tc>
              <w:tc>
                <w:tcPr>
                  <w:tcW w:w="3245" w:type="dxa"/>
                  <w:tcBorders>
                    <w:tl2br w:val="nil"/>
                    <w:tr2bl w:val="nil"/>
                  </w:tcBorders>
                  <w:vAlign w:val="center"/>
                </w:tcPr>
                <w:p>
                  <w:pPr>
                    <w:jc w:val="center"/>
                    <w:rPr>
                      <w:bCs/>
                      <w:szCs w:val="21"/>
                    </w:rPr>
                  </w:pPr>
                  <w:r>
                    <w:rPr>
                      <w:bCs/>
                      <w:szCs w:val="21"/>
                    </w:rPr>
                    <w:t>禁止新建、单纯扩建生物发酵制药项目（单纯分装、复配以及现有企业升级改造项目除外）</w:t>
                  </w:r>
                </w:p>
              </w:tc>
              <w:tc>
                <w:tcPr>
                  <w:tcW w:w="1419" w:type="dxa"/>
                  <w:vMerge w:val="continue"/>
                  <w:tcBorders>
                    <w:tl2br w:val="nil"/>
                    <w:tr2bl w:val="nil"/>
                  </w:tcBorders>
                  <w:vAlign w:val="center"/>
                </w:tcPr>
                <w:p>
                  <w:pPr>
                    <w:jc w:val="center"/>
                    <w:rPr>
                      <w:bCs/>
                      <w:szCs w:val="21"/>
                    </w:rPr>
                  </w:pPr>
                </w:p>
              </w:tc>
              <w:tc>
                <w:tcPr>
                  <w:tcW w:w="889" w:type="dxa"/>
                  <w:vMerge w:val="continue"/>
                  <w:tcBorders>
                    <w:tl2br w:val="nil"/>
                    <w:tr2bl w:val="nil"/>
                  </w:tcBorders>
                  <w:vAlign w:val="center"/>
                </w:tcPr>
                <w:p>
                  <w:pPr>
                    <w:pStyle w:val="9"/>
                    <w:spacing w:line="240" w:lineRule="auto"/>
                    <w:jc w:val="center"/>
                    <w:rPr>
                      <w:b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tcBorders>
                    <w:tl2br w:val="nil"/>
                    <w:tr2bl w:val="nil"/>
                  </w:tcBorders>
                  <w:vAlign w:val="center"/>
                </w:tcPr>
                <w:p>
                  <w:pPr>
                    <w:pStyle w:val="6"/>
                    <w:ind w:firstLine="0"/>
                    <w:jc w:val="center"/>
                    <w:rPr>
                      <w:bCs/>
                      <w:szCs w:val="21"/>
                    </w:rPr>
                  </w:pPr>
                </w:p>
              </w:tc>
              <w:tc>
                <w:tcPr>
                  <w:tcW w:w="1537" w:type="dxa"/>
                  <w:vMerge w:val="continue"/>
                  <w:tcBorders>
                    <w:tl2br w:val="nil"/>
                    <w:tr2bl w:val="nil"/>
                  </w:tcBorders>
                  <w:vAlign w:val="center"/>
                </w:tcPr>
                <w:p>
                  <w:pPr>
                    <w:pStyle w:val="9"/>
                    <w:spacing w:line="240" w:lineRule="auto"/>
                    <w:jc w:val="center"/>
                    <w:rPr>
                      <w:b w:val="0"/>
                      <w:sz w:val="21"/>
                      <w:szCs w:val="21"/>
                    </w:rPr>
                  </w:pPr>
                </w:p>
              </w:tc>
              <w:tc>
                <w:tcPr>
                  <w:tcW w:w="741" w:type="dxa"/>
                  <w:vMerge w:val="continue"/>
                  <w:tcBorders>
                    <w:tl2br w:val="nil"/>
                    <w:tr2bl w:val="nil"/>
                  </w:tcBorders>
                  <w:vAlign w:val="center"/>
                </w:tcPr>
                <w:p>
                  <w:pPr>
                    <w:pStyle w:val="6"/>
                    <w:ind w:firstLine="0"/>
                    <w:jc w:val="center"/>
                    <w:rPr>
                      <w:bCs/>
                      <w:szCs w:val="21"/>
                    </w:rPr>
                  </w:pPr>
                </w:p>
              </w:tc>
              <w:tc>
                <w:tcPr>
                  <w:tcW w:w="3245" w:type="dxa"/>
                  <w:tcBorders>
                    <w:tl2br w:val="nil"/>
                    <w:tr2bl w:val="nil"/>
                  </w:tcBorders>
                  <w:vAlign w:val="center"/>
                </w:tcPr>
                <w:p>
                  <w:pPr>
                    <w:pStyle w:val="6"/>
                    <w:ind w:firstLine="0"/>
                    <w:jc w:val="center"/>
                    <w:rPr>
                      <w:bCs/>
                      <w:szCs w:val="21"/>
                    </w:rPr>
                  </w:pPr>
                  <w:r>
                    <w:rPr>
                      <w:bCs/>
                      <w:szCs w:val="21"/>
                    </w:rPr>
                    <w:t>禁止农药类项目</w:t>
                  </w:r>
                </w:p>
              </w:tc>
              <w:tc>
                <w:tcPr>
                  <w:tcW w:w="1419" w:type="dxa"/>
                  <w:vMerge w:val="continue"/>
                  <w:tcBorders>
                    <w:tl2br w:val="nil"/>
                    <w:tr2bl w:val="nil"/>
                  </w:tcBorders>
                  <w:vAlign w:val="center"/>
                </w:tcPr>
                <w:p>
                  <w:pPr>
                    <w:pStyle w:val="6"/>
                    <w:ind w:firstLine="0"/>
                    <w:jc w:val="center"/>
                    <w:rPr>
                      <w:bCs/>
                      <w:szCs w:val="21"/>
                    </w:rPr>
                  </w:pPr>
                </w:p>
              </w:tc>
              <w:tc>
                <w:tcPr>
                  <w:tcW w:w="889" w:type="dxa"/>
                  <w:vMerge w:val="continue"/>
                  <w:tcBorders>
                    <w:tl2br w:val="nil"/>
                    <w:tr2bl w:val="nil"/>
                  </w:tcBorders>
                  <w:vAlign w:val="center"/>
                </w:tcPr>
                <w:p>
                  <w:pPr>
                    <w:pStyle w:val="9"/>
                    <w:spacing w:line="240" w:lineRule="auto"/>
                    <w:jc w:val="center"/>
                    <w:rPr>
                      <w:b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l2br w:val="nil"/>
                    <w:tr2bl w:val="nil"/>
                  </w:tcBorders>
                  <w:vAlign w:val="center"/>
                </w:tcPr>
                <w:p>
                  <w:pPr>
                    <w:pStyle w:val="6"/>
                    <w:ind w:firstLine="0"/>
                    <w:jc w:val="center"/>
                    <w:rPr>
                      <w:bCs/>
                      <w:szCs w:val="21"/>
                    </w:rPr>
                  </w:pPr>
                  <w:r>
                    <w:rPr>
                      <w:bCs/>
                      <w:szCs w:val="21"/>
                    </w:rPr>
                    <w:t>3</w:t>
                  </w:r>
                </w:p>
              </w:tc>
              <w:tc>
                <w:tcPr>
                  <w:tcW w:w="1537" w:type="dxa"/>
                  <w:vMerge w:val="continue"/>
                  <w:tcBorders>
                    <w:tl2br w:val="nil"/>
                    <w:tr2bl w:val="nil"/>
                  </w:tcBorders>
                  <w:vAlign w:val="center"/>
                </w:tcPr>
                <w:p>
                  <w:pPr>
                    <w:pStyle w:val="9"/>
                    <w:spacing w:line="240" w:lineRule="auto"/>
                    <w:jc w:val="center"/>
                    <w:rPr>
                      <w:b w:val="0"/>
                      <w:sz w:val="21"/>
                      <w:szCs w:val="21"/>
                    </w:rPr>
                  </w:pPr>
                </w:p>
              </w:tc>
              <w:tc>
                <w:tcPr>
                  <w:tcW w:w="741" w:type="dxa"/>
                  <w:tcBorders>
                    <w:tl2br w:val="nil"/>
                    <w:tr2bl w:val="nil"/>
                  </w:tcBorders>
                  <w:vAlign w:val="center"/>
                </w:tcPr>
                <w:p>
                  <w:pPr>
                    <w:pStyle w:val="6"/>
                    <w:ind w:firstLine="0"/>
                    <w:jc w:val="center"/>
                    <w:rPr>
                      <w:bCs/>
                      <w:szCs w:val="21"/>
                    </w:rPr>
                  </w:pPr>
                  <w:r>
                    <w:rPr>
                      <w:bCs/>
                      <w:kern w:val="0"/>
                      <w:szCs w:val="21"/>
                    </w:rPr>
                    <w:t>装备制造</w:t>
                  </w:r>
                </w:p>
              </w:tc>
              <w:tc>
                <w:tcPr>
                  <w:tcW w:w="3245" w:type="dxa"/>
                  <w:tcBorders>
                    <w:tl2br w:val="nil"/>
                    <w:tr2bl w:val="nil"/>
                  </w:tcBorders>
                  <w:vAlign w:val="center"/>
                </w:tcPr>
                <w:p>
                  <w:pPr>
                    <w:pStyle w:val="6"/>
                    <w:ind w:firstLineChars="200"/>
                    <w:jc w:val="center"/>
                    <w:rPr>
                      <w:bCs/>
                      <w:szCs w:val="21"/>
                    </w:rPr>
                  </w:pPr>
                  <w:r>
                    <w:rPr>
                      <w:bCs/>
                      <w:szCs w:val="21"/>
                    </w:rPr>
                    <w:t>禁止建设独立电镀项目</w:t>
                  </w:r>
                </w:p>
              </w:tc>
              <w:tc>
                <w:tcPr>
                  <w:tcW w:w="1419" w:type="dxa"/>
                  <w:tcBorders>
                    <w:tl2br w:val="nil"/>
                    <w:tr2bl w:val="nil"/>
                  </w:tcBorders>
                  <w:vAlign w:val="center"/>
                </w:tcPr>
                <w:p>
                  <w:pPr>
                    <w:pStyle w:val="6"/>
                    <w:ind w:firstLine="0"/>
                    <w:jc w:val="center"/>
                    <w:rPr>
                      <w:bCs/>
                      <w:szCs w:val="21"/>
                    </w:rPr>
                  </w:pPr>
                  <w:r>
                    <w:rPr>
                      <w:bCs/>
                      <w:szCs w:val="21"/>
                    </w:rPr>
                    <w:t>本项目不属于装备制造行业</w:t>
                  </w:r>
                </w:p>
              </w:tc>
              <w:tc>
                <w:tcPr>
                  <w:tcW w:w="889" w:type="dxa"/>
                  <w:tcBorders>
                    <w:tl2br w:val="nil"/>
                    <w:tr2bl w:val="nil"/>
                  </w:tcBorders>
                  <w:vAlign w:val="center"/>
                </w:tcPr>
                <w:p>
                  <w:pPr>
                    <w:pStyle w:val="9"/>
                    <w:spacing w:line="240" w:lineRule="auto"/>
                    <w:jc w:val="center"/>
                    <w:rPr>
                      <w:b w:val="0"/>
                      <w:sz w:val="21"/>
                      <w:szCs w:val="21"/>
                    </w:rPr>
                  </w:pPr>
                  <w:r>
                    <w:rPr>
                      <w:b w:val="0"/>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l2br w:val="nil"/>
                    <w:tr2bl w:val="nil"/>
                  </w:tcBorders>
                  <w:vAlign w:val="center"/>
                </w:tcPr>
                <w:p>
                  <w:pPr>
                    <w:pStyle w:val="6"/>
                    <w:ind w:firstLine="0"/>
                    <w:jc w:val="center"/>
                    <w:rPr>
                      <w:bCs/>
                      <w:szCs w:val="21"/>
                    </w:rPr>
                  </w:pPr>
                  <w:r>
                    <w:rPr>
                      <w:bCs/>
                      <w:szCs w:val="21"/>
                    </w:rPr>
                    <w:t>4</w:t>
                  </w:r>
                </w:p>
              </w:tc>
              <w:tc>
                <w:tcPr>
                  <w:tcW w:w="1537" w:type="dxa"/>
                  <w:vMerge w:val="continue"/>
                  <w:tcBorders>
                    <w:tl2br w:val="nil"/>
                    <w:tr2bl w:val="nil"/>
                  </w:tcBorders>
                  <w:vAlign w:val="center"/>
                </w:tcPr>
                <w:p>
                  <w:pPr>
                    <w:pStyle w:val="9"/>
                    <w:spacing w:line="240" w:lineRule="auto"/>
                    <w:jc w:val="center"/>
                    <w:rPr>
                      <w:b w:val="0"/>
                      <w:sz w:val="21"/>
                      <w:szCs w:val="21"/>
                    </w:rPr>
                  </w:pPr>
                </w:p>
              </w:tc>
              <w:tc>
                <w:tcPr>
                  <w:tcW w:w="741" w:type="dxa"/>
                  <w:tcBorders>
                    <w:tl2br w:val="nil"/>
                    <w:tr2bl w:val="nil"/>
                  </w:tcBorders>
                  <w:vAlign w:val="center"/>
                </w:tcPr>
                <w:p>
                  <w:pPr>
                    <w:pStyle w:val="6"/>
                    <w:ind w:firstLine="0"/>
                    <w:jc w:val="center"/>
                    <w:rPr>
                      <w:bCs/>
                      <w:szCs w:val="21"/>
                    </w:rPr>
                  </w:pPr>
                  <w:r>
                    <w:rPr>
                      <w:bCs/>
                      <w:kern w:val="0"/>
                      <w:szCs w:val="21"/>
                    </w:rPr>
                    <w:t>纸制品印刷包装</w:t>
                  </w:r>
                </w:p>
              </w:tc>
              <w:tc>
                <w:tcPr>
                  <w:tcW w:w="3245" w:type="dxa"/>
                  <w:tcBorders>
                    <w:tl2br w:val="nil"/>
                    <w:tr2bl w:val="nil"/>
                  </w:tcBorders>
                  <w:vAlign w:val="center"/>
                </w:tcPr>
                <w:p>
                  <w:pPr>
                    <w:pStyle w:val="6"/>
                    <w:ind w:firstLine="0"/>
                    <w:jc w:val="center"/>
                    <w:rPr>
                      <w:bCs/>
                      <w:szCs w:val="21"/>
                    </w:rPr>
                  </w:pPr>
                  <w:r>
                    <w:rPr>
                      <w:bCs/>
                      <w:szCs w:val="21"/>
                    </w:rPr>
                    <w:t>禁止造纸制浆、油墨生产（单纯分装、复配除外）项目入驻</w:t>
                  </w:r>
                </w:p>
              </w:tc>
              <w:tc>
                <w:tcPr>
                  <w:tcW w:w="1419" w:type="dxa"/>
                  <w:tcBorders>
                    <w:tl2br w:val="nil"/>
                    <w:tr2bl w:val="nil"/>
                  </w:tcBorders>
                  <w:vAlign w:val="center"/>
                </w:tcPr>
                <w:p>
                  <w:pPr>
                    <w:pStyle w:val="6"/>
                    <w:ind w:firstLine="0"/>
                    <w:jc w:val="center"/>
                    <w:rPr>
                      <w:bCs/>
                      <w:szCs w:val="21"/>
                    </w:rPr>
                  </w:pPr>
                  <w:r>
                    <w:rPr>
                      <w:bCs/>
                      <w:szCs w:val="21"/>
                    </w:rPr>
                    <w:t>本项目不属于纸制品印刷包装行业</w:t>
                  </w:r>
                </w:p>
              </w:tc>
              <w:tc>
                <w:tcPr>
                  <w:tcW w:w="889" w:type="dxa"/>
                  <w:tcBorders>
                    <w:tl2br w:val="nil"/>
                    <w:tr2bl w:val="nil"/>
                  </w:tcBorders>
                  <w:vAlign w:val="center"/>
                </w:tcPr>
                <w:p>
                  <w:pPr>
                    <w:pStyle w:val="9"/>
                    <w:spacing w:line="240" w:lineRule="auto"/>
                    <w:jc w:val="center"/>
                    <w:rPr>
                      <w:b w:val="0"/>
                      <w:sz w:val="21"/>
                      <w:szCs w:val="21"/>
                    </w:rPr>
                  </w:pPr>
                  <w:r>
                    <w:rPr>
                      <w:b w:val="0"/>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l2br w:val="nil"/>
                    <w:tr2bl w:val="nil"/>
                  </w:tcBorders>
                  <w:vAlign w:val="center"/>
                </w:tcPr>
                <w:p>
                  <w:pPr>
                    <w:pStyle w:val="6"/>
                    <w:ind w:firstLine="0"/>
                    <w:jc w:val="center"/>
                    <w:rPr>
                      <w:bCs/>
                      <w:szCs w:val="21"/>
                    </w:rPr>
                  </w:pPr>
                  <w:r>
                    <w:rPr>
                      <w:bCs/>
                      <w:szCs w:val="21"/>
                    </w:rPr>
                    <w:t>5</w:t>
                  </w:r>
                </w:p>
              </w:tc>
              <w:tc>
                <w:tcPr>
                  <w:tcW w:w="1537" w:type="dxa"/>
                  <w:vMerge w:val="continue"/>
                  <w:tcBorders>
                    <w:tl2br w:val="nil"/>
                    <w:tr2bl w:val="nil"/>
                  </w:tcBorders>
                  <w:vAlign w:val="center"/>
                </w:tcPr>
                <w:p>
                  <w:pPr>
                    <w:pStyle w:val="9"/>
                    <w:spacing w:line="240" w:lineRule="auto"/>
                    <w:jc w:val="center"/>
                    <w:rPr>
                      <w:b w:val="0"/>
                      <w:sz w:val="21"/>
                      <w:szCs w:val="21"/>
                    </w:rPr>
                  </w:pPr>
                </w:p>
              </w:tc>
              <w:tc>
                <w:tcPr>
                  <w:tcW w:w="741" w:type="dxa"/>
                  <w:tcBorders>
                    <w:tl2br w:val="nil"/>
                    <w:tr2bl w:val="nil"/>
                  </w:tcBorders>
                  <w:vAlign w:val="center"/>
                </w:tcPr>
                <w:p>
                  <w:pPr>
                    <w:pStyle w:val="6"/>
                    <w:ind w:firstLine="0"/>
                    <w:jc w:val="center"/>
                    <w:rPr>
                      <w:bCs/>
                      <w:szCs w:val="21"/>
                    </w:rPr>
                  </w:pPr>
                  <w:r>
                    <w:rPr>
                      <w:bCs/>
                      <w:kern w:val="0"/>
                      <w:szCs w:val="21"/>
                    </w:rPr>
                    <w:t>其他</w:t>
                  </w:r>
                </w:p>
              </w:tc>
              <w:tc>
                <w:tcPr>
                  <w:tcW w:w="3245" w:type="dxa"/>
                  <w:tcBorders>
                    <w:tl2br w:val="nil"/>
                    <w:tr2bl w:val="nil"/>
                  </w:tcBorders>
                  <w:vAlign w:val="center"/>
                </w:tcPr>
                <w:p>
                  <w:pPr>
                    <w:pStyle w:val="6"/>
                    <w:ind w:firstLine="0"/>
                    <w:jc w:val="center"/>
                    <w:rPr>
                      <w:bCs/>
                      <w:szCs w:val="21"/>
                    </w:rPr>
                  </w:pPr>
                  <w:r>
                    <w:rPr>
                      <w:bCs/>
                      <w:szCs w:val="21"/>
                    </w:rPr>
                    <w:t>禁止发展不符合园区产业定位的制革、化纤浆粕、黑色冶金、焦化、独立电镀、皂素、金属冶炼等不符合园区产业定位且污染较重的项目</w:t>
                  </w:r>
                </w:p>
              </w:tc>
              <w:tc>
                <w:tcPr>
                  <w:tcW w:w="1419" w:type="dxa"/>
                  <w:tcBorders>
                    <w:tl2br w:val="nil"/>
                    <w:tr2bl w:val="nil"/>
                  </w:tcBorders>
                  <w:vAlign w:val="center"/>
                </w:tcPr>
                <w:p>
                  <w:pPr>
                    <w:pStyle w:val="6"/>
                    <w:ind w:firstLine="0"/>
                    <w:rPr>
                      <w:bCs/>
                      <w:szCs w:val="21"/>
                    </w:rPr>
                  </w:pPr>
                  <w:r>
                    <w:rPr>
                      <w:rFonts w:hint="eastAsia"/>
                      <w:bCs/>
                      <w:szCs w:val="21"/>
                    </w:rPr>
                    <w:t>本项目为塑料制品行业，不属于不符合园区产业定位且污染较重的项目</w:t>
                  </w:r>
                </w:p>
              </w:tc>
              <w:tc>
                <w:tcPr>
                  <w:tcW w:w="889" w:type="dxa"/>
                  <w:tcBorders>
                    <w:tl2br w:val="nil"/>
                    <w:tr2bl w:val="nil"/>
                  </w:tcBorders>
                  <w:vAlign w:val="center"/>
                </w:tcPr>
                <w:p>
                  <w:pPr>
                    <w:pStyle w:val="9"/>
                    <w:spacing w:line="240" w:lineRule="auto"/>
                    <w:jc w:val="center"/>
                    <w:rPr>
                      <w:b w:val="0"/>
                      <w:sz w:val="21"/>
                      <w:szCs w:val="21"/>
                    </w:rPr>
                  </w:pPr>
                  <w:r>
                    <w:rPr>
                      <w:rFonts w:hint="eastAsia"/>
                      <w:b w:val="0"/>
                      <w:sz w:val="21"/>
                      <w:szCs w:val="21"/>
                    </w:rPr>
                    <w:t>相符</w:t>
                  </w:r>
                </w:p>
              </w:tc>
            </w:tr>
          </w:tbl>
          <w:p>
            <w:pPr>
              <w:pStyle w:val="9"/>
              <w:spacing w:line="360" w:lineRule="auto"/>
              <w:ind w:firstLine="480" w:firstLineChars="200"/>
              <w:rPr>
                <w:b w:val="0"/>
                <w:bCs w:val="0"/>
              </w:rPr>
            </w:pPr>
            <w:r>
              <w:rPr>
                <w:rFonts w:hint="eastAsia"/>
                <w:b w:val="0"/>
                <w:bCs w:val="0"/>
              </w:rPr>
              <w:t>由上表可知，本项目不属于集聚区产业发展负面清单中禁止和限制发展项目，可以进入新乡经济技术产业集聚区。</w:t>
            </w:r>
          </w:p>
          <w:p>
            <w:pPr>
              <w:adjustRightInd w:val="0"/>
              <w:snapToGrid w:val="0"/>
              <w:spacing w:line="360" w:lineRule="auto"/>
              <w:rPr>
                <w:b/>
                <w:bCs/>
                <w:sz w:val="24"/>
              </w:rPr>
            </w:pPr>
            <w:r>
              <w:rPr>
                <w:rFonts w:hint="eastAsia"/>
                <w:b/>
                <w:bCs/>
                <w:sz w:val="24"/>
              </w:rPr>
              <w:t>5、与《新乡市环境保护局印发新乡市</w:t>
            </w:r>
            <w:r>
              <w:rPr>
                <w:b/>
                <w:bCs/>
                <w:sz w:val="24"/>
              </w:rPr>
              <w:t>2016</w:t>
            </w:r>
            <w:r>
              <w:rPr>
                <w:rFonts w:hint="eastAsia"/>
                <w:b/>
                <w:bCs/>
                <w:sz w:val="24"/>
              </w:rPr>
              <w:t>年度重点行业挥发性有机物治理方案的通知》（新环〔</w:t>
            </w:r>
            <w:r>
              <w:rPr>
                <w:b/>
                <w:bCs/>
                <w:sz w:val="24"/>
              </w:rPr>
              <w:t>2016</w:t>
            </w:r>
            <w:r>
              <w:rPr>
                <w:rFonts w:hint="eastAsia"/>
                <w:b/>
                <w:bCs/>
                <w:sz w:val="24"/>
              </w:rPr>
              <w:t>〕</w:t>
            </w:r>
            <w:r>
              <w:rPr>
                <w:b/>
                <w:bCs/>
                <w:sz w:val="24"/>
              </w:rPr>
              <w:t>174</w:t>
            </w:r>
            <w:r>
              <w:rPr>
                <w:rFonts w:hint="eastAsia"/>
                <w:b/>
                <w:bCs/>
                <w:sz w:val="24"/>
              </w:rPr>
              <w:t>号）相符性分析</w:t>
            </w:r>
          </w:p>
          <w:p>
            <w:pPr>
              <w:autoSpaceDE w:val="0"/>
              <w:autoSpaceDN w:val="0"/>
              <w:adjustRightInd w:val="0"/>
              <w:snapToGrid w:val="0"/>
              <w:jc w:val="center"/>
              <w:rPr>
                <w:rFonts w:hAnsi="黑体" w:eastAsia="黑体"/>
                <w:sz w:val="24"/>
              </w:rPr>
            </w:pPr>
            <w:r>
              <w:rPr>
                <w:rFonts w:hint="eastAsia" w:hAnsi="黑体" w:eastAsia="黑体"/>
                <w:sz w:val="24"/>
              </w:rPr>
              <w:t xml:space="preserve">表11  </w:t>
            </w:r>
            <w:r>
              <w:rPr>
                <w:rFonts w:hint="eastAsia" w:hAnsi="黑体" w:eastAsia="黑体"/>
                <w:bCs/>
                <w:sz w:val="24"/>
              </w:rPr>
              <w:t>项目与新环〔</w:t>
            </w:r>
            <w:r>
              <w:rPr>
                <w:rFonts w:hAnsi="黑体" w:eastAsia="黑体"/>
                <w:bCs/>
                <w:sz w:val="24"/>
              </w:rPr>
              <w:t>2016</w:t>
            </w:r>
            <w:r>
              <w:rPr>
                <w:rFonts w:hint="eastAsia" w:hAnsi="黑体" w:eastAsia="黑体"/>
                <w:bCs/>
                <w:sz w:val="24"/>
              </w:rPr>
              <w:t>〕</w:t>
            </w:r>
            <w:r>
              <w:rPr>
                <w:rFonts w:hAnsi="黑体" w:eastAsia="黑体"/>
                <w:bCs/>
                <w:sz w:val="24"/>
              </w:rPr>
              <w:t>174</w:t>
            </w:r>
            <w:r>
              <w:rPr>
                <w:rFonts w:hint="eastAsia" w:hAnsi="黑体" w:eastAsia="黑体"/>
                <w:bCs/>
                <w:sz w:val="24"/>
              </w:rPr>
              <w:t>号相符性分析一览表</w:t>
            </w:r>
          </w:p>
          <w:tbl>
            <w:tblPr>
              <w:tblStyle w:val="23"/>
              <w:tblW w:w="8504" w:type="dxa"/>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113" w:type="dxa"/>
                <w:left w:w="85" w:type="dxa"/>
                <w:bottom w:w="113" w:type="dxa"/>
                <w:right w:w="85" w:type="dxa"/>
              </w:tblCellMar>
            </w:tblPr>
            <w:tblGrid>
              <w:gridCol w:w="897"/>
              <w:gridCol w:w="3593"/>
              <w:gridCol w:w="3097"/>
              <w:gridCol w:w="917"/>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454" w:hRule="atLeast"/>
                <w:jc w:val="center"/>
              </w:trPr>
              <w:tc>
                <w:tcPr>
                  <w:tcW w:w="4490" w:type="dxa"/>
                  <w:gridSpan w:val="2"/>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kern w:val="0"/>
                      <w:szCs w:val="21"/>
                    </w:rPr>
                  </w:pPr>
                  <w:r>
                    <w:rPr>
                      <w:rFonts w:hint="eastAsia" w:ascii="Times New Roman" w:hAnsi="Times New Roman" w:eastAsia="宋体"/>
                      <w:bCs/>
                      <w:szCs w:val="21"/>
                    </w:rPr>
                    <w:t>新环〔</w:t>
                  </w:r>
                  <w:r>
                    <w:rPr>
                      <w:rFonts w:ascii="Times New Roman" w:hAnsi="Times New Roman" w:eastAsia="宋体"/>
                      <w:bCs/>
                      <w:szCs w:val="21"/>
                    </w:rPr>
                    <w:t>2016</w:t>
                  </w:r>
                  <w:r>
                    <w:rPr>
                      <w:rFonts w:hint="eastAsia" w:ascii="Times New Roman" w:hAnsi="Times New Roman" w:eastAsia="宋体"/>
                      <w:bCs/>
                      <w:szCs w:val="21"/>
                    </w:rPr>
                    <w:t>〕</w:t>
                  </w:r>
                  <w:r>
                    <w:rPr>
                      <w:rFonts w:ascii="Times New Roman" w:hAnsi="Times New Roman" w:eastAsia="宋体"/>
                      <w:bCs/>
                      <w:szCs w:val="21"/>
                    </w:rPr>
                    <w:t>174</w:t>
                  </w:r>
                  <w:r>
                    <w:rPr>
                      <w:rFonts w:hint="eastAsia" w:ascii="Times New Roman" w:hAnsi="Times New Roman" w:eastAsia="宋体"/>
                      <w:bCs/>
                      <w:szCs w:val="21"/>
                    </w:rPr>
                    <w:t>号要求</w:t>
                  </w:r>
                </w:p>
              </w:tc>
              <w:tc>
                <w:tcPr>
                  <w:tcW w:w="309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kern w:val="0"/>
                      <w:szCs w:val="21"/>
                    </w:rPr>
                  </w:pPr>
                  <w:r>
                    <w:rPr>
                      <w:rFonts w:hint="eastAsia" w:ascii="Times New Roman" w:hAnsi="Times New Roman" w:eastAsia="宋体"/>
                      <w:szCs w:val="21"/>
                    </w:rPr>
                    <w:t>本项目情况</w:t>
                  </w:r>
                </w:p>
              </w:tc>
              <w:tc>
                <w:tcPr>
                  <w:tcW w:w="91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kern w:val="0"/>
                      <w:szCs w:val="21"/>
                    </w:rPr>
                  </w:pPr>
                  <w:r>
                    <w:rPr>
                      <w:rFonts w:hint="eastAsia" w:ascii="Times New Roman" w:hAnsi="Times New Roman" w:eastAsia="宋体"/>
                      <w:szCs w:val="21"/>
                    </w:rPr>
                    <w:t>相符性</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454" w:hRule="atLeast"/>
                <w:jc w:val="center"/>
              </w:trPr>
              <w:tc>
                <w:tcPr>
                  <w:tcW w:w="897" w:type="dxa"/>
                  <w:vMerge w:val="restart"/>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lang w:bidi="ar"/>
                    </w:rPr>
                  </w:pPr>
                  <w:r>
                    <w:rPr>
                      <w:rFonts w:ascii="Times New Roman" w:hAnsi="Times New Roman" w:eastAsia="宋体"/>
                      <w:kern w:val="0"/>
                      <w:szCs w:val="21"/>
                      <w:shd w:val="clear" w:color="auto" w:fill="FFFFFF"/>
                      <w:lang w:bidi="ar"/>
                    </w:rPr>
                    <w:t>1</w:t>
                  </w:r>
                  <w:r>
                    <w:rPr>
                      <w:rFonts w:hint="eastAsia" w:ascii="Times New Roman" w:hAnsi="Times New Roman" w:eastAsia="宋体"/>
                      <w:kern w:val="0"/>
                      <w:szCs w:val="21"/>
                      <w:shd w:val="clear" w:color="auto" w:fill="FFFFFF"/>
                      <w:lang w:bidi="ar"/>
                    </w:rPr>
                    <w:t>、重点行业</w:t>
                  </w:r>
                  <w:r>
                    <w:rPr>
                      <w:rFonts w:ascii="Times New Roman" w:hAnsi="Times New Roman" w:eastAsia="宋体"/>
                      <w:kern w:val="0"/>
                      <w:szCs w:val="21"/>
                      <w:shd w:val="clear" w:color="auto" w:fill="FFFFFF"/>
                      <w:lang w:bidi="ar"/>
                    </w:rPr>
                    <w:t>VOCs</w:t>
                  </w:r>
                  <w:r>
                    <w:rPr>
                      <w:rFonts w:hint="eastAsia" w:ascii="Times New Roman" w:hAnsi="Times New Roman" w:eastAsia="宋体"/>
                      <w:kern w:val="0"/>
                      <w:szCs w:val="21"/>
                      <w:shd w:val="clear" w:color="auto" w:fill="FFFFFF"/>
                      <w:lang w:bidi="ar"/>
                    </w:rPr>
                    <w:t>污染治理总体要求</w:t>
                  </w:r>
                </w:p>
              </w:tc>
              <w:tc>
                <w:tcPr>
                  <w:tcW w:w="3593"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lang w:bidi="ar"/>
                    </w:rPr>
                  </w:pPr>
                  <w:r>
                    <w:rPr>
                      <w:rFonts w:ascii="Times New Roman" w:hAnsi="Times New Roman" w:eastAsia="宋体"/>
                      <w:kern w:val="0"/>
                      <w:szCs w:val="21"/>
                      <w:shd w:val="clear" w:color="auto" w:fill="FFFFFF"/>
                      <w:lang w:bidi="ar"/>
                    </w:rPr>
                    <w:t>（1）所有产生VOCs污染的企业均应采用密闭化的生产系统，封闭一切不必要的开口</w:t>
                  </w:r>
                </w:p>
              </w:tc>
              <w:tc>
                <w:tcPr>
                  <w:tcW w:w="309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rPr>
                  </w:pPr>
                  <w:r>
                    <w:rPr>
                      <w:rFonts w:hint="eastAsia" w:ascii="Times New Roman" w:hAnsi="Times New Roman" w:eastAsia="宋体"/>
                      <w:szCs w:val="21"/>
                    </w:rPr>
                    <w:t>项目</w:t>
                  </w:r>
                  <w:r>
                    <w:rPr>
                      <w:rFonts w:hint="eastAsia" w:ascii="Times New Roman" w:hAnsi="Times New Roman" w:eastAsia="宋体"/>
                      <w:szCs w:val="21"/>
                      <w:lang w:val="en-US" w:eastAsia="zh-CN"/>
                    </w:rPr>
                    <w:t>塑化挤出、</w:t>
                  </w:r>
                  <w:r>
                    <w:rPr>
                      <w:rFonts w:hint="eastAsia" w:ascii="Times New Roman" w:hAnsi="Times New Roman" w:eastAsia="宋体"/>
                      <w:szCs w:val="21"/>
                    </w:rPr>
                    <w:t>注塑设置集气罩对废气进行有效收集</w:t>
                  </w:r>
                </w:p>
              </w:tc>
              <w:tc>
                <w:tcPr>
                  <w:tcW w:w="91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rPr>
                  </w:pPr>
                  <w:r>
                    <w:rPr>
                      <w:rFonts w:hint="eastAsia" w:ascii="Times New Roman" w:hAnsi="Times New Roman" w:eastAsia="宋体"/>
                      <w:szCs w:val="21"/>
                    </w:rPr>
                    <w:t>相符</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454" w:hRule="atLeast"/>
                <w:jc w:val="center"/>
              </w:trPr>
              <w:tc>
                <w:tcPr>
                  <w:tcW w:w="897" w:type="dxa"/>
                  <w:vMerge w:val="continue"/>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kern w:val="0"/>
                      <w:szCs w:val="21"/>
                      <w:shd w:val="clear" w:color="auto" w:fill="FFFFFF"/>
                      <w:lang w:bidi="ar"/>
                    </w:rPr>
                  </w:pPr>
                </w:p>
              </w:tc>
              <w:tc>
                <w:tcPr>
                  <w:tcW w:w="3593" w:type="dxa"/>
                  <w:tcBorders>
                    <w:tl2br w:val="nil"/>
                    <w:tr2bl w:val="nil"/>
                  </w:tcBorders>
                  <w:tcMar>
                    <w:top w:w="85" w:type="dxa"/>
                    <w:left w:w="85" w:type="dxa"/>
                    <w:bottom w:w="85" w:type="dxa"/>
                    <w:right w:w="85" w:type="dxa"/>
                  </w:tcMar>
                  <w:vAlign w:val="center"/>
                </w:tcPr>
                <w:p>
                  <w:pPr>
                    <w:adjustRightInd w:val="0"/>
                    <w:snapToGrid w:val="0"/>
                    <w:jc w:val="center"/>
                    <w:rPr>
                      <w:szCs w:val="21"/>
                    </w:rPr>
                  </w:pPr>
                  <w:r>
                    <w:rPr>
                      <w:rFonts w:hint="eastAsia"/>
                      <w:szCs w:val="21"/>
                    </w:rPr>
                    <w:t>（2）</w:t>
                  </w:r>
                  <w:r>
                    <w:rPr>
                      <w:rFonts w:eastAsiaTheme="minorEastAsia"/>
                      <w:szCs w:val="21"/>
                    </w:rPr>
                    <w:t>尽可能采用环保型原辅料、生产工艺和装备，从源头控制VOCs废气的产生和无组织排放。</w:t>
                  </w:r>
                </w:p>
              </w:tc>
              <w:tc>
                <w:tcPr>
                  <w:tcW w:w="309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Theme="minorEastAsia"/>
                      <w:szCs w:val="21"/>
                    </w:rPr>
                  </w:pPr>
                  <w:r>
                    <w:rPr>
                      <w:rFonts w:hint="eastAsia" w:ascii="Times New Roman" w:hAnsi="Times New Roman" w:eastAsia="宋体"/>
                      <w:szCs w:val="21"/>
                    </w:rPr>
                    <w:t>本项目</w:t>
                  </w:r>
                  <w:r>
                    <w:rPr>
                      <w:rFonts w:hint="eastAsia" w:ascii="Times New Roman" w:hAnsi="Times New Roman" w:eastAsia="宋体"/>
                      <w:szCs w:val="21"/>
                      <w:lang w:bidi="ar"/>
                    </w:rPr>
                    <w:t>使用的</w:t>
                  </w:r>
                  <w:r>
                    <w:rPr>
                      <w:rFonts w:hint="eastAsia" w:ascii="Times New Roman" w:hAnsi="Times New Roman" w:eastAsia="宋体"/>
                      <w:szCs w:val="21"/>
                      <w:lang w:val="en-US" w:eastAsia="zh-CN" w:bidi="ar"/>
                    </w:rPr>
                    <w:t>PP、PE材料</w:t>
                  </w:r>
                  <w:r>
                    <w:rPr>
                      <w:rFonts w:hint="eastAsia" w:ascii="Times New Roman" w:hAnsi="Times New Roman" w:eastAsia="宋体"/>
                      <w:szCs w:val="21"/>
                      <w:lang w:bidi="ar"/>
                    </w:rPr>
                    <w:t>，属于低</w:t>
                  </w:r>
                  <w:r>
                    <w:rPr>
                      <w:rFonts w:ascii="Times New Roman" w:hAnsi="Times New Roman" w:eastAsiaTheme="minorEastAsia"/>
                      <w:szCs w:val="21"/>
                    </w:rPr>
                    <w:t>VOCs</w:t>
                  </w:r>
                  <w:r>
                    <w:rPr>
                      <w:rFonts w:hint="eastAsia" w:ascii="Times New Roman" w:hAnsi="Times New Roman" w:eastAsiaTheme="minorEastAsia"/>
                      <w:szCs w:val="21"/>
                    </w:rPr>
                    <w:t>原料</w:t>
                  </w:r>
                </w:p>
              </w:tc>
              <w:tc>
                <w:tcPr>
                  <w:tcW w:w="91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rPr>
                  </w:pPr>
                  <w:r>
                    <w:rPr>
                      <w:rFonts w:hint="eastAsia" w:ascii="Times New Roman" w:hAnsi="Times New Roman" w:eastAsia="宋体"/>
                      <w:szCs w:val="21"/>
                    </w:rPr>
                    <w:t>相符</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454" w:hRule="atLeast"/>
                <w:jc w:val="center"/>
              </w:trPr>
              <w:tc>
                <w:tcPr>
                  <w:tcW w:w="897" w:type="dxa"/>
                  <w:vMerge w:val="continue"/>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kern w:val="0"/>
                      <w:szCs w:val="21"/>
                      <w:shd w:val="clear" w:color="auto" w:fill="FFFFFF"/>
                      <w:lang w:bidi="ar"/>
                    </w:rPr>
                  </w:pPr>
                </w:p>
              </w:tc>
              <w:tc>
                <w:tcPr>
                  <w:tcW w:w="3593" w:type="dxa"/>
                  <w:tcBorders>
                    <w:tl2br w:val="nil"/>
                    <w:tr2bl w:val="nil"/>
                  </w:tcBorders>
                  <w:tcMar>
                    <w:top w:w="85" w:type="dxa"/>
                    <w:left w:w="85" w:type="dxa"/>
                    <w:bottom w:w="85" w:type="dxa"/>
                    <w:right w:w="85" w:type="dxa"/>
                  </w:tcMar>
                  <w:vAlign w:val="center"/>
                </w:tcPr>
                <w:p>
                  <w:pPr>
                    <w:adjustRightInd w:val="0"/>
                    <w:snapToGrid w:val="0"/>
                    <w:rPr>
                      <w:szCs w:val="21"/>
                    </w:rPr>
                  </w:pPr>
                  <w:r>
                    <w:rPr>
                      <w:rFonts w:hint="eastAsia"/>
                      <w:szCs w:val="21"/>
                    </w:rPr>
                    <w:t>（3）对于1000ppm以下的低浓度VOCs废气，有回收价值时宜采用吸附技术回收处理，无回收价值时优先采用吸附浓缩－燃烧技术处理，也可采用低温等离子体技术或生物处理技术等净化处理后达标排放。有组织废气的总净化效率原则上不低于75%。</w:t>
                  </w:r>
                </w:p>
              </w:tc>
              <w:tc>
                <w:tcPr>
                  <w:tcW w:w="309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rPr>
                  </w:pPr>
                  <w:r>
                    <w:rPr>
                      <w:rFonts w:hint="eastAsia" w:ascii="Times New Roman" w:hAnsi="Times New Roman" w:eastAsia="宋体"/>
                      <w:szCs w:val="21"/>
                    </w:rPr>
                    <w:t>本项目废气浓度低于</w:t>
                  </w:r>
                  <w:r>
                    <w:rPr>
                      <w:rFonts w:ascii="Times New Roman" w:hAnsi="Times New Roman" w:eastAsia="宋体"/>
                      <w:szCs w:val="21"/>
                    </w:rPr>
                    <w:t>1000ppm</w:t>
                  </w:r>
                  <w:r>
                    <w:rPr>
                      <w:rFonts w:hint="eastAsia" w:ascii="Times New Roman" w:hAnsi="Times New Roman" w:eastAsia="宋体"/>
                      <w:szCs w:val="21"/>
                    </w:rPr>
                    <w:t>，废气处理采用UV光催化氧化设备+活性炭吸附装置进行处理，有组织废气的净化效率为</w:t>
                  </w:r>
                  <w:r>
                    <w:rPr>
                      <w:rFonts w:hint="eastAsia" w:ascii="Times New Roman" w:hAnsi="Times New Roman" w:eastAsia="宋体"/>
                      <w:szCs w:val="21"/>
                      <w:lang w:val="en-US" w:eastAsia="zh-CN"/>
                    </w:rPr>
                    <w:t>80</w:t>
                  </w:r>
                  <w:r>
                    <w:rPr>
                      <w:rFonts w:ascii="Times New Roman" w:hAnsi="Times New Roman" w:eastAsia="宋体"/>
                      <w:szCs w:val="21"/>
                    </w:rPr>
                    <w:t>%</w:t>
                  </w:r>
                  <w:r>
                    <w:rPr>
                      <w:rFonts w:hint="eastAsia" w:ascii="Times New Roman" w:hAnsi="Times New Roman" w:eastAsia="宋体"/>
                      <w:szCs w:val="21"/>
                    </w:rPr>
                    <w:t>，高于</w:t>
                  </w:r>
                  <w:r>
                    <w:rPr>
                      <w:rFonts w:ascii="Times New Roman" w:hAnsi="Times New Roman" w:eastAsia="宋体"/>
                      <w:szCs w:val="21"/>
                    </w:rPr>
                    <w:t>75%</w:t>
                  </w:r>
                </w:p>
              </w:tc>
              <w:tc>
                <w:tcPr>
                  <w:tcW w:w="91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rPr>
                  </w:pPr>
                  <w:r>
                    <w:rPr>
                      <w:rFonts w:hint="eastAsia" w:ascii="Times New Roman" w:hAnsi="Times New Roman" w:eastAsia="宋体"/>
                      <w:szCs w:val="21"/>
                    </w:rPr>
                    <w:t>相符</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454" w:hRule="atLeast"/>
                <w:jc w:val="center"/>
              </w:trPr>
              <w:tc>
                <w:tcPr>
                  <w:tcW w:w="897" w:type="dxa"/>
                  <w:vMerge w:val="continue"/>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kern w:val="0"/>
                      <w:szCs w:val="21"/>
                      <w:shd w:val="clear" w:color="auto" w:fill="FFFFFF"/>
                      <w:lang w:bidi="ar"/>
                    </w:rPr>
                  </w:pPr>
                </w:p>
              </w:tc>
              <w:tc>
                <w:tcPr>
                  <w:tcW w:w="3593" w:type="dxa"/>
                  <w:tcBorders>
                    <w:tl2br w:val="nil"/>
                    <w:tr2bl w:val="nil"/>
                  </w:tcBorders>
                  <w:tcMar>
                    <w:top w:w="85" w:type="dxa"/>
                    <w:left w:w="85" w:type="dxa"/>
                    <w:bottom w:w="85" w:type="dxa"/>
                    <w:right w:w="85" w:type="dxa"/>
                  </w:tcMar>
                  <w:vAlign w:val="center"/>
                </w:tcPr>
                <w:p>
                  <w:pPr>
                    <w:adjustRightInd w:val="0"/>
                    <w:snapToGrid w:val="0"/>
                    <w:jc w:val="center"/>
                    <w:rPr>
                      <w:szCs w:val="21"/>
                      <w:lang w:bidi="ar"/>
                    </w:rPr>
                  </w:pPr>
                  <w:r>
                    <w:rPr>
                      <w:rFonts w:hint="eastAsia"/>
                      <w:szCs w:val="21"/>
                    </w:rPr>
                    <w:t>（</w:t>
                  </w:r>
                  <w:r>
                    <w:rPr>
                      <w:szCs w:val="21"/>
                    </w:rPr>
                    <w:t>4</w:t>
                  </w:r>
                  <w:r>
                    <w:rPr>
                      <w:rFonts w:hint="eastAsia"/>
                      <w:szCs w:val="21"/>
                    </w:rPr>
                    <w:t>）需定期更换吸附剂、催化剂或吸收液的，应有详细的购买及更换台账，提供采购发票复印件，台账至少保存</w:t>
                  </w:r>
                  <w:r>
                    <w:rPr>
                      <w:szCs w:val="21"/>
                    </w:rPr>
                    <w:t>3</w:t>
                  </w:r>
                  <w:r>
                    <w:rPr>
                      <w:rFonts w:hint="eastAsia"/>
                      <w:szCs w:val="21"/>
                    </w:rPr>
                    <w:t>年</w:t>
                  </w:r>
                </w:p>
              </w:tc>
              <w:tc>
                <w:tcPr>
                  <w:tcW w:w="3097" w:type="dxa"/>
                  <w:tcBorders>
                    <w:tl2br w:val="nil"/>
                    <w:tr2bl w:val="nil"/>
                  </w:tcBorders>
                  <w:tcMar>
                    <w:top w:w="85" w:type="dxa"/>
                    <w:left w:w="85" w:type="dxa"/>
                    <w:bottom w:w="85" w:type="dxa"/>
                    <w:right w:w="85" w:type="dxa"/>
                  </w:tcMar>
                  <w:vAlign w:val="center"/>
                </w:tcPr>
                <w:p>
                  <w:pPr>
                    <w:adjustRightInd w:val="0"/>
                    <w:snapToGrid w:val="0"/>
                    <w:jc w:val="center"/>
                    <w:rPr>
                      <w:szCs w:val="21"/>
                    </w:rPr>
                  </w:pPr>
                  <w:r>
                    <w:rPr>
                      <w:rFonts w:hint="eastAsia"/>
                      <w:szCs w:val="21"/>
                    </w:rPr>
                    <w:t>建设单位由专人定期维护UV光催化氧化设备和活性炭吸附装置，应有详细的购买及维护台账，提供采购发票复印件，台账至少保存3年</w:t>
                  </w:r>
                </w:p>
              </w:tc>
              <w:tc>
                <w:tcPr>
                  <w:tcW w:w="91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rPr>
                  </w:pPr>
                  <w:r>
                    <w:rPr>
                      <w:rFonts w:hint="eastAsia" w:ascii="Times New Roman" w:hAnsi="Times New Roman" w:eastAsia="宋体"/>
                      <w:szCs w:val="21"/>
                    </w:rPr>
                    <w:t>相符</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454" w:hRule="atLeast"/>
                <w:jc w:val="center"/>
              </w:trPr>
              <w:tc>
                <w:tcPr>
                  <w:tcW w:w="897" w:type="dxa"/>
                  <w:vMerge w:val="restart"/>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kern w:val="0"/>
                      <w:szCs w:val="21"/>
                      <w:shd w:val="clear" w:color="auto" w:fill="FFFFFF"/>
                      <w:lang w:bidi="ar"/>
                    </w:rPr>
                  </w:pPr>
                  <w:r>
                    <w:rPr>
                      <w:rFonts w:ascii="Times New Roman" w:hAnsi="Times New Roman" w:eastAsia="宋体"/>
                      <w:bCs/>
                      <w:szCs w:val="21"/>
                    </w:rPr>
                    <w:t>2</w:t>
                  </w:r>
                  <w:r>
                    <w:rPr>
                      <w:rFonts w:hint="eastAsia" w:ascii="Times New Roman" w:hAnsi="Times New Roman" w:eastAsia="宋体"/>
                      <w:bCs/>
                      <w:szCs w:val="21"/>
                    </w:rPr>
                    <w:t>、表面涂装行业挥发性有机物治理要求</w:t>
                  </w:r>
                </w:p>
              </w:tc>
              <w:tc>
                <w:tcPr>
                  <w:tcW w:w="3593" w:type="dxa"/>
                  <w:tcBorders>
                    <w:tl2br w:val="nil"/>
                    <w:tr2bl w:val="nil"/>
                  </w:tcBorders>
                  <w:tcMar>
                    <w:top w:w="85" w:type="dxa"/>
                    <w:left w:w="85" w:type="dxa"/>
                    <w:bottom w:w="85" w:type="dxa"/>
                    <w:right w:w="85" w:type="dxa"/>
                  </w:tcMar>
                  <w:vAlign w:val="center"/>
                </w:tcPr>
                <w:p>
                  <w:pPr>
                    <w:adjustRightInd w:val="0"/>
                    <w:snapToGrid w:val="0"/>
                    <w:jc w:val="center"/>
                    <w:rPr>
                      <w:szCs w:val="21"/>
                    </w:rPr>
                  </w:pPr>
                  <w:r>
                    <w:rPr>
                      <w:rFonts w:hint="eastAsia"/>
                      <w:szCs w:val="21"/>
                    </w:rPr>
                    <w:t>（</w:t>
                  </w:r>
                  <w:r>
                    <w:rPr>
                      <w:szCs w:val="21"/>
                    </w:rPr>
                    <w:t>1</w:t>
                  </w:r>
                  <w:r>
                    <w:rPr>
                      <w:rFonts w:hint="eastAsia"/>
                      <w:szCs w:val="21"/>
                    </w:rPr>
                    <w:t>）提高低挥发性有机物含量的涂料使用比例。根据涂装工艺的不同，鼓励使用水性、高固份、粉末、紫外光固化涂料等低VOCs含量的环保型涂料，限制使用溶剂型涂料，其中汽车制造、家具制造、电子和电器产品制造企业环保型涂料使用比例达到50%以上。</w:t>
                  </w:r>
                </w:p>
              </w:tc>
              <w:tc>
                <w:tcPr>
                  <w:tcW w:w="3097" w:type="dxa"/>
                  <w:tcBorders>
                    <w:tl2br w:val="nil"/>
                    <w:tr2bl w:val="nil"/>
                  </w:tcBorders>
                  <w:tcMar>
                    <w:top w:w="85" w:type="dxa"/>
                    <w:left w:w="85" w:type="dxa"/>
                    <w:bottom w:w="85" w:type="dxa"/>
                    <w:right w:w="85" w:type="dxa"/>
                  </w:tcMar>
                  <w:vAlign w:val="center"/>
                </w:tcPr>
                <w:p>
                  <w:pPr>
                    <w:adjustRightInd w:val="0"/>
                    <w:snapToGrid w:val="0"/>
                    <w:jc w:val="center"/>
                    <w:rPr>
                      <w:szCs w:val="21"/>
                    </w:rPr>
                  </w:pPr>
                  <w:r>
                    <w:rPr>
                      <w:rFonts w:hint="eastAsia"/>
                      <w:szCs w:val="21"/>
                    </w:rPr>
                    <w:t>本项目</w:t>
                  </w:r>
                  <w:r>
                    <w:rPr>
                      <w:rFonts w:hint="eastAsia"/>
                      <w:szCs w:val="21"/>
                      <w:lang w:bidi="ar"/>
                    </w:rPr>
                    <w:t>使用的</w:t>
                  </w:r>
                  <w:r>
                    <w:rPr>
                      <w:rFonts w:hint="eastAsia"/>
                      <w:szCs w:val="21"/>
                      <w:lang w:val="en-US" w:eastAsia="zh-CN" w:bidi="ar"/>
                    </w:rPr>
                    <w:t>PP、PE材料</w:t>
                  </w:r>
                  <w:r>
                    <w:rPr>
                      <w:rFonts w:hint="eastAsia"/>
                      <w:szCs w:val="21"/>
                      <w:lang w:bidi="ar"/>
                    </w:rPr>
                    <w:t>，属于低</w:t>
                  </w:r>
                  <w:r>
                    <w:rPr>
                      <w:rFonts w:eastAsiaTheme="minorEastAsia"/>
                      <w:szCs w:val="21"/>
                    </w:rPr>
                    <w:t>VOCs</w:t>
                  </w:r>
                  <w:r>
                    <w:rPr>
                      <w:rFonts w:hint="eastAsia" w:eastAsiaTheme="minorEastAsia"/>
                      <w:szCs w:val="21"/>
                    </w:rPr>
                    <w:t>原料</w:t>
                  </w:r>
                </w:p>
              </w:tc>
              <w:tc>
                <w:tcPr>
                  <w:tcW w:w="91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rPr>
                  </w:pPr>
                  <w:r>
                    <w:rPr>
                      <w:rFonts w:hint="eastAsia" w:ascii="Times New Roman" w:hAnsi="Times New Roman" w:eastAsia="宋体"/>
                      <w:szCs w:val="21"/>
                    </w:rPr>
                    <w:t>相符</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2916" w:hRule="atLeast"/>
                <w:jc w:val="center"/>
              </w:trPr>
              <w:tc>
                <w:tcPr>
                  <w:tcW w:w="897" w:type="dxa"/>
                  <w:vMerge w:val="continue"/>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kern w:val="0"/>
                      <w:szCs w:val="21"/>
                      <w:shd w:val="clear" w:color="auto" w:fill="FFFFFF"/>
                      <w:lang w:bidi="ar"/>
                    </w:rPr>
                  </w:pPr>
                </w:p>
              </w:tc>
              <w:tc>
                <w:tcPr>
                  <w:tcW w:w="3593" w:type="dxa"/>
                  <w:tcBorders>
                    <w:tl2br w:val="nil"/>
                    <w:tr2bl w:val="nil"/>
                  </w:tcBorders>
                  <w:tcMar>
                    <w:top w:w="85" w:type="dxa"/>
                    <w:left w:w="85" w:type="dxa"/>
                    <w:bottom w:w="85" w:type="dxa"/>
                    <w:right w:w="85" w:type="dxa"/>
                  </w:tcMar>
                  <w:vAlign w:val="center"/>
                </w:tcPr>
                <w:p>
                  <w:pPr>
                    <w:pStyle w:val="107"/>
                    <w:adjustRightInd w:val="0"/>
                    <w:snapToGrid w:val="0"/>
                    <w:jc w:val="both"/>
                    <w:rPr>
                      <w:rFonts w:ascii="Times New Roman" w:hAnsi="Times New Roman" w:eastAsia="宋体"/>
                      <w:szCs w:val="21"/>
                      <w:lang w:bidi="ar"/>
                    </w:rPr>
                  </w:pPr>
                  <w:r>
                    <w:rPr>
                      <w:rFonts w:hint="eastAsia" w:ascii="Times New Roman" w:hAnsi="Times New Roman" w:eastAsia="宋体"/>
                      <w:szCs w:val="21"/>
                      <w:lang w:bidi="ar"/>
                    </w:rPr>
                    <w:t>（3）加强工艺废气逸散控制。涂料、稀释剂、清洗剂等含VOCs的原辅材料应储存或设置于密封容器或密闭工作间内减少VOCs的无组织排放。各类表面涂装和烘干等产生VOCs废气的生产工艺应尽可能设置于封闭工作间内，集中排风并导入VOCs污染控制设备进行处理；无法设置密闭工作间的生产线，VOCs排放工段应尽可能设置集气罩、排风管道组成的排气系统。</w:t>
                  </w:r>
                </w:p>
              </w:tc>
              <w:tc>
                <w:tcPr>
                  <w:tcW w:w="309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rPr>
                  </w:pPr>
                  <w:r>
                    <w:rPr>
                      <w:rFonts w:hint="eastAsia" w:ascii="Times New Roman" w:hAnsi="Times New Roman" w:eastAsia="宋体"/>
                      <w:szCs w:val="21"/>
                    </w:rPr>
                    <w:t>项目</w:t>
                  </w:r>
                  <w:r>
                    <w:rPr>
                      <w:rFonts w:hint="eastAsia" w:ascii="Times New Roman" w:hAnsi="Times New Roman" w:eastAsia="宋体"/>
                      <w:szCs w:val="21"/>
                      <w:lang w:val="en-US" w:eastAsia="zh-CN"/>
                    </w:rPr>
                    <w:t>塑化挤出、注塑</w:t>
                  </w:r>
                  <w:r>
                    <w:rPr>
                      <w:rFonts w:hint="eastAsia" w:ascii="Times New Roman" w:hAnsi="Times New Roman" w:eastAsia="宋体"/>
                      <w:szCs w:val="21"/>
                    </w:rPr>
                    <w:t>分别设置集气罩对废气进行有效收集，经管道汇集，连接至1套UV光催化氧化设备+活性炭吸附装置进行净化处理</w:t>
                  </w:r>
                </w:p>
              </w:tc>
              <w:tc>
                <w:tcPr>
                  <w:tcW w:w="91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rPr>
                  </w:pPr>
                  <w:r>
                    <w:rPr>
                      <w:rFonts w:hint="eastAsia" w:ascii="Times New Roman" w:hAnsi="Times New Roman" w:eastAsia="宋体"/>
                      <w:szCs w:val="21"/>
                    </w:rPr>
                    <w:t>相符</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113" w:type="dxa"/>
                  <w:left w:w="85" w:type="dxa"/>
                  <w:bottom w:w="113" w:type="dxa"/>
                  <w:right w:w="85" w:type="dxa"/>
                </w:tblCellMar>
              </w:tblPrEx>
              <w:trPr>
                <w:trHeight w:val="274" w:hRule="atLeast"/>
                <w:jc w:val="center"/>
              </w:trPr>
              <w:tc>
                <w:tcPr>
                  <w:tcW w:w="897" w:type="dxa"/>
                  <w:vMerge w:val="continue"/>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kern w:val="0"/>
                      <w:szCs w:val="21"/>
                      <w:shd w:val="clear" w:color="auto" w:fill="FFFFFF"/>
                      <w:lang w:bidi="ar"/>
                    </w:rPr>
                  </w:pPr>
                </w:p>
              </w:tc>
              <w:tc>
                <w:tcPr>
                  <w:tcW w:w="3593" w:type="dxa"/>
                  <w:tcBorders>
                    <w:tl2br w:val="nil"/>
                    <w:tr2bl w:val="nil"/>
                  </w:tcBorders>
                  <w:tcMar>
                    <w:top w:w="85" w:type="dxa"/>
                    <w:left w:w="85" w:type="dxa"/>
                    <w:bottom w:w="85" w:type="dxa"/>
                    <w:right w:w="85" w:type="dxa"/>
                  </w:tcMar>
                  <w:vAlign w:val="center"/>
                </w:tcPr>
                <w:p>
                  <w:pPr>
                    <w:pStyle w:val="107"/>
                    <w:adjustRightInd w:val="0"/>
                    <w:snapToGrid w:val="0"/>
                    <w:jc w:val="both"/>
                    <w:rPr>
                      <w:rFonts w:ascii="Times New Roman" w:hAnsi="Times New Roman" w:eastAsia="宋体"/>
                      <w:szCs w:val="21"/>
                      <w:lang w:bidi="ar"/>
                    </w:rPr>
                  </w:pPr>
                  <w:r>
                    <w:rPr>
                      <w:rFonts w:hint="eastAsia" w:ascii="Times New Roman" w:hAnsi="Times New Roman" w:eastAsia="宋体"/>
                      <w:szCs w:val="21"/>
                      <w:lang w:bidi="ar"/>
                    </w:rPr>
                    <w:t>（4）开展工艺废气治理。烘干废气应收集后采用焚烧方式处理，流平废气原则上纳入烘干废气处理系统一并处理。喷漆废气宜在高效除漆雾的基础上采用吸附浓缩+焚烧方式处理，宜采用干式过滤高效除漆雾，也可采用湿式水帘+多级过滤除湿联合装置。规模不大、不至于扰民的小型涂装企业也可采用低温等离子技术、活性炭吸附等方式净化后达标排放。VOCs污染控制装置应与工艺设施同步运转，使溶剂型涂料涂装工艺的VOCs去除效率应达到90%以上。</w:t>
                  </w:r>
                </w:p>
              </w:tc>
              <w:tc>
                <w:tcPr>
                  <w:tcW w:w="309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rPr>
                  </w:pPr>
                  <w:r>
                    <w:rPr>
                      <w:rFonts w:hint="eastAsia" w:ascii="Times New Roman" w:hAnsi="Times New Roman" w:eastAsia="宋体"/>
                      <w:szCs w:val="21"/>
                      <w:lang w:bidi="ar"/>
                    </w:rPr>
                    <w:t>本项目VOCs治理措施采用UV光催化氧化设备+活性炭吸附装置</w:t>
                  </w:r>
                </w:p>
              </w:tc>
              <w:tc>
                <w:tcPr>
                  <w:tcW w:w="917" w:type="dxa"/>
                  <w:tcBorders>
                    <w:tl2br w:val="nil"/>
                    <w:tr2bl w:val="nil"/>
                  </w:tcBorders>
                  <w:tcMar>
                    <w:top w:w="85" w:type="dxa"/>
                    <w:left w:w="85" w:type="dxa"/>
                    <w:bottom w:w="85" w:type="dxa"/>
                    <w:right w:w="85" w:type="dxa"/>
                  </w:tcMar>
                  <w:vAlign w:val="center"/>
                </w:tcPr>
                <w:p>
                  <w:pPr>
                    <w:pStyle w:val="107"/>
                    <w:adjustRightInd w:val="0"/>
                    <w:snapToGrid w:val="0"/>
                    <w:rPr>
                      <w:rFonts w:ascii="Times New Roman" w:hAnsi="Times New Roman" w:eastAsia="宋体"/>
                      <w:szCs w:val="21"/>
                    </w:rPr>
                  </w:pPr>
                </w:p>
              </w:tc>
            </w:tr>
          </w:tbl>
          <w:p>
            <w:pPr>
              <w:adjustRightInd w:val="0"/>
              <w:snapToGrid w:val="0"/>
              <w:spacing w:line="360" w:lineRule="auto"/>
              <w:rPr>
                <w:sz w:val="24"/>
              </w:rPr>
            </w:pPr>
          </w:p>
          <w:p>
            <w:pPr>
              <w:adjustRightInd w:val="0"/>
              <w:snapToGrid w:val="0"/>
              <w:spacing w:line="360" w:lineRule="auto"/>
              <w:ind w:firstLine="480" w:firstLineChars="200"/>
            </w:pPr>
            <w:r>
              <w:rPr>
                <w:rFonts w:hint="eastAsia"/>
                <w:sz w:val="24"/>
              </w:rPr>
              <w:t>综上所述，项目废气采取上述污染治理措施可行，对周围环境影响较小。</w:t>
            </w:r>
          </w:p>
          <w:p>
            <w:pPr>
              <w:adjustRightInd w:val="0"/>
              <w:snapToGrid w:val="0"/>
              <w:spacing w:line="360" w:lineRule="auto"/>
              <w:rPr>
                <w:rFonts w:eastAsia="黑体"/>
                <w:sz w:val="24"/>
              </w:rPr>
            </w:pPr>
            <w:r>
              <w:rPr>
                <w:rFonts w:hint="eastAsia" w:eastAsiaTheme="minorEastAsia"/>
                <w:b/>
                <w:bCs/>
                <w:sz w:val="24"/>
              </w:rPr>
              <w:t>6、</w:t>
            </w:r>
            <w:r>
              <w:rPr>
                <w:rFonts w:eastAsiaTheme="minorEastAsia"/>
                <w:b/>
                <w:bCs/>
                <w:sz w:val="24"/>
              </w:rPr>
              <w:t>与新乡市环境污染防治攻坚战三年行动实施方案（2018-2020年）相符性分析</w:t>
            </w:r>
          </w:p>
          <w:p>
            <w:pPr>
              <w:adjustRightInd w:val="0"/>
              <w:snapToGrid w:val="0"/>
              <w:jc w:val="center"/>
              <w:rPr>
                <w:rFonts w:eastAsia="黑体"/>
                <w:sz w:val="24"/>
              </w:rPr>
            </w:pPr>
            <w:r>
              <w:rPr>
                <w:rFonts w:eastAsia="黑体"/>
                <w:sz w:val="24"/>
              </w:rPr>
              <w:t>表</w:t>
            </w:r>
            <w:r>
              <w:rPr>
                <w:rFonts w:hint="eastAsia" w:eastAsia="黑体"/>
                <w:sz w:val="24"/>
              </w:rPr>
              <w:t xml:space="preserve">12  </w:t>
            </w:r>
            <w:r>
              <w:rPr>
                <w:rFonts w:eastAsia="黑体"/>
                <w:sz w:val="24"/>
              </w:rPr>
              <w:t>本项目情况与实施方案</w:t>
            </w:r>
            <w:r>
              <w:rPr>
                <w:rFonts w:hint="eastAsia" w:eastAsia="黑体"/>
                <w:sz w:val="24"/>
              </w:rPr>
              <w:t>要求</w:t>
            </w:r>
            <w:r>
              <w:rPr>
                <w:rFonts w:eastAsia="黑体"/>
                <w:sz w:val="24"/>
              </w:rPr>
              <w:t>对照一览表</w:t>
            </w:r>
          </w:p>
          <w:tbl>
            <w:tblPr>
              <w:tblStyle w:val="23"/>
              <w:tblW w:w="8504" w:type="dxa"/>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113" w:type="dxa"/>
                <w:left w:w="85" w:type="dxa"/>
                <w:bottom w:w="113" w:type="dxa"/>
                <w:right w:w="85" w:type="dxa"/>
              </w:tblCellMar>
            </w:tblPr>
            <w:tblGrid>
              <w:gridCol w:w="667"/>
              <w:gridCol w:w="3420"/>
              <w:gridCol w:w="3608"/>
              <w:gridCol w:w="809"/>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113" w:type="dxa"/>
                  <w:left w:w="85" w:type="dxa"/>
                  <w:bottom w:w="113" w:type="dxa"/>
                  <w:right w:w="85" w:type="dxa"/>
                </w:tblCellMar>
              </w:tblPrEx>
              <w:trPr>
                <w:trHeight w:val="273" w:hRule="atLeast"/>
                <w:jc w:val="center"/>
              </w:trPr>
              <w:tc>
                <w:tcPr>
                  <w:tcW w:w="667" w:type="dxa"/>
                  <w:tcBorders>
                    <w:tl2br w:val="nil"/>
                    <w:tr2bl w:val="nil"/>
                  </w:tcBorders>
                  <w:vAlign w:val="center"/>
                </w:tcPr>
                <w:p>
                  <w:pPr>
                    <w:adjustRightInd w:val="0"/>
                    <w:snapToGrid w:val="0"/>
                    <w:jc w:val="center"/>
                    <w:rPr>
                      <w:kern w:val="21"/>
                      <w:szCs w:val="21"/>
                    </w:rPr>
                  </w:pPr>
                  <w:r>
                    <w:rPr>
                      <w:kern w:val="21"/>
                      <w:szCs w:val="21"/>
                    </w:rPr>
                    <w:t>类别</w:t>
                  </w:r>
                </w:p>
              </w:tc>
              <w:tc>
                <w:tcPr>
                  <w:tcW w:w="3420" w:type="dxa"/>
                  <w:tcBorders>
                    <w:tl2br w:val="nil"/>
                    <w:tr2bl w:val="nil"/>
                  </w:tcBorders>
                  <w:vAlign w:val="center"/>
                </w:tcPr>
                <w:p>
                  <w:pPr>
                    <w:adjustRightInd w:val="0"/>
                    <w:snapToGrid w:val="0"/>
                    <w:jc w:val="center"/>
                    <w:rPr>
                      <w:kern w:val="21"/>
                      <w:szCs w:val="21"/>
                    </w:rPr>
                  </w:pPr>
                  <w:r>
                    <w:rPr>
                      <w:rFonts w:hint="eastAsia"/>
                      <w:kern w:val="21"/>
                      <w:szCs w:val="21"/>
                    </w:rPr>
                    <w:t>综合治理要求</w:t>
                  </w:r>
                </w:p>
              </w:tc>
              <w:tc>
                <w:tcPr>
                  <w:tcW w:w="3608" w:type="dxa"/>
                  <w:tcBorders>
                    <w:tl2br w:val="nil"/>
                    <w:tr2bl w:val="nil"/>
                  </w:tcBorders>
                  <w:vAlign w:val="center"/>
                </w:tcPr>
                <w:p>
                  <w:pPr>
                    <w:adjustRightInd w:val="0"/>
                    <w:snapToGrid w:val="0"/>
                    <w:jc w:val="center"/>
                    <w:rPr>
                      <w:kern w:val="21"/>
                      <w:szCs w:val="21"/>
                    </w:rPr>
                  </w:pPr>
                  <w:r>
                    <w:rPr>
                      <w:rFonts w:hint="eastAsia"/>
                      <w:kern w:val="21"/>
                      <w:szCs w:val="21"/>
                    </w:rPr>
                    <w:t>项目情况</w:t>
                  </w:r>
                </w:p>
              </w:tc>
              <w:tc>
                <w:tcPr>
                  <w:tcW w:w="809" w:type="dxa"/>
                  <w:tcBorders>
                    <w:tl2br w:val="nil"/>
                    <w:tr2bl w:val="nil"/>
                  </w:tcBorders>
                  <w:vAlign w:val="center"/>
                </w:tcPr>
                <w:p>
                  <w:pPr>
                    <w:adjustRightInd w:val="0"/>
                    <w:snapToGrid w:val="0"/>
                    <w:jc w:val="center"/>
                    <w:rPr>
                      <w:kern w:val="21"/>
                      <w:szCs w:val="21"/>
                    </w:rPr>
                  </w:pPr>
                  <w:r>
                    <w:rPr>
                      <w:rFonts w:hint="eastAsia"/>
                      <w:kern w:val="21"/>
                      <w:szCs w:val="21"/>
                    </w:rPr>
                    <w:t>符合性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113" w:type="dxa"/>
                  <w:left w:w="85" w:type="dxa"/>
                  <w:bottom w:w="113" w:type="dxa"/>
                  <w:right w:w="85" w:type="dxa"/>
                </w:tblCellMar>
              </w:tblPrEx>
              <w:trPr>
                <w:trHeight w:val="454" w:hRule="atLeast"/>
                <w:jc w:val="center"/>
              </w:trPr>
              <w:tc>
                <w:tcPr>
                  <w:tcW w:w="667" w:type="dxa"/>
                  <w:tcBorders>
                    <w:tl2br w:val="nil"/>
                    <w:tr2bl w:val="nil"/>
                  </w:tcBorders>
                  <w:vAlign w:val="center"/>
                </w:tcPr>
                <w:p>
                  <w:pPr>
                    <w:adjustRightInd w:val="0"/>
                    <w:snapToGrid w:val="0"/>
                    <w:jc w:val="center"/>
                    <w:rPr>
                      <w:kern w:val="21"/>
                      <w:szCs w:val="21"/>
                    </w:rPr>
                  </w:pPr>
                  <w:r>
                    <w:rPr>
                      <w:rFonts w:hint="eastAsia"/>
                      <w:kern w:val="21"/>
                      <w:szCs w:val="21"/>
                    </w:rPr>
                    <w:t>严格环境准入门槛</w:t>
                  </w:r>
                </w:p>
              </w:tc>
              <w:tc>
                <w:tcPr>
                  <w:tcW w:w="3420" w:type="dxa"/>
                  <w:tcBorders>
                    <w:tl2br w:val="nil"/>
                    <w:tr2bl w:val="nil"/>
                  </w:tcBorders>
                  <w:vAlign w:val="center"/>
                </w:tcPr>
                <w:p>
                  <w:pPr>
                    <w:adjustRightInd w:val="0"/>
                    <w:snapToGrid w:val="0"/>
                    <w:jc w:val="center"/>
                    <w:rPr>
                      <w:kern w:val="21"/>
                      <w:szCs w:val="21"/>
                    </w:rPr>
                  </w:pPr>
                  <w:r>
                    <w:rPr>
                      <w:rFonts w:hint="eastAsia"/>
                      <w:kern w:val="21"/>
                      <w:szCs w:val="21"/>
                    </w:rPr>
                    <w:t>禁止建设生产和使用高VOCs 含量的溶剂型涂料、油墨、胶黏剂项目。其他新、改、扩建排放VOCs 的项目，应从源头加强控制，使用低（无）VOCs 含量的原辅材料，配套安装高效收集、治理设施，其中新建涉VOCs 排放的工业企业要入园区，实行区域内VOCs 排放总量倍量消减替代。</w:t>
                  </w:r>
                </w:p>
              </w:tc>
              <w:tc>
                <w:tcPr>
                  <w:tcW w:w="3608" w:type="dxa"/>
                  <w:tcBorders>
                    <w:tl2br w:val="nil"/>
                    <w:tr2bl w:val="nil"/>
                  </w:tcBorders>
                  <w:vAlign w:val="center"/>
                </w:tcPr>
                <w:p>
                  <w:pPr>
                    <w:adjustRightInd w:val="0"/>
                    <w:snapToGrid w:val="0"/>
                    <w:jc w:val="left"/>
                    <w:rPr>
                      <w:rFonts w:hint="eastAsia" w:eastAsia="宋体"/>
                      <w:kern w:val="21"/>
                      <w:szCs w:val="21"/>
                      <w:lang w:val="en-US" w:eastAsia="zh-CN"/>
                    </w:rPr>
                  </w:pPr>
                  <w:r>
                    <w:rPr>
                      <w:rFonts w:hint="eastAsia"/>
                      <w:kern w:val="21"/>
                      <w:szCs w:val="21"/>
                    </w:rPr>
                    <w:t>本项目属于新建项目，厂址位于新乡经济技术产业集聚区，本项目使用</w:t>
                  </w:r>
                  <w:r>
                    <w:rPr>
                      <w:rFonts w:hint="eastAsia"/>
                      <w:kern w:val="21"/>
                      <w:szCs w:val="21"/>
                      <w:lang w:val="en-US" w:eastAsia="zh-CN"/>
                    </w:rPr>
                    <w:t>PP、PE材料</w:t>
                  </w:r>
                  <w:r>
                    <w:rPr>
                      <w:rFonts w:hint="eastAsia"/>
                      <w:kern w:val="21"/>
                      <w:szCs w:val="21"/>
                    </w:rPr>
                    <w:t>，使用原料为低挥发性，符合要求。</w:t>
                  </w:r>
                  <w:r>
                    <w:rPr>
                      <w:rFonts w:hint="eastAsia"/>
                      <w:color w:val="000000" w:themeColor="text1"/>
                      <w:kern w:val="21"/>
                      <w:szCs w:val="21"/>
                      <w14:textFill>
                        <w14:solidFill>
                          <w14:schemeClr w14:val="tx1"/>
                        </w14:solidFill>
                      </w14:textFill>
                    </w:rPr>
                    <w:t xml:space="preserve">本项目VOCs </w:t>
                  </w:r>
                  <w:r>
                    <w:rPr>
                      <w:rFonts w:hint="eastAsia"/>
                      <w:color w:val="000000" w:themeColor="text1"/>
                      <w:kern w:val="21"/>
                      <w:szCs w:val="21"/>
                      <w:lang w:eastAsia="zh-CN"/>
                      <w14:textFill>
                        <w14:solidFill>
                          <w14:schemeClr w14:val="tx1"/>
                        </w14:solidFill>
                      </w14:textFill>
                    </w:rPr>
                    <w:t>有组织</w:t>
                  </w:r>
                  <w:r>
                    <w:rPr>
                      <w:rFonts w:hint="eastAsia"/>
                      <w:color w:val="000000" w:themeColor="text1"/>
                      <w:kern w:val="21"/>
                      <w:sz w:val="21"/>
                      <w:szCs w:val="21"/>
                      <w:lang w:eastAsia="zh-CN"/>
                      <w14:textFill>
                        <w14:solidFill>
                          <w14:schemeClr w14:val="tx1"/>
                        </w14:solidFill>
                      </w14:textFill>
                    </w:rPr>
                    <w:t>排放量为</w:t>
                  </w:r>
                  <w:r>
                    <w:rPr>
                      <w:rFonts w:hint="eastAsia"/>
                      <w:color w:val="000000" w:themeColor="text1"/>
                      <w:kern w:val="21"/>
                      <w:sz w:val="21"/>
                      <w:szCs w:val="21"/>
                      <w14:textFill>
                        <w14:solidFill>
                          <w14:schemeClr w14:val="tx1"/>
                        </w14:solidFill>
                      </w14:textFill>
                    </w:rPr>
                    <w:t>0.00</w:t>
                  </w:r>
                  <w:r>
                    <w:rPr>
                      <w:rFonts w:hint="eastAsia"/>
                      <w:color w:val="000000" w:themeColor="text1"/>
                      <w:kern w:val="21"/>
                      <w:sz w:val="21"/>
                      <w:szCs w:val="21"/>
                      <w:lang w:val="en-US" w:eastAsia="zh-CN"/>
                      <w14:textFill>
                        <w14:solidFill>
                          <w14:schemeClr w14:val="tx1"/>
                        </w14:solidFill>
                      </w14:textFill>
                    </w:rPr>
                    <w:t xml:space="preserve">48 </w:t>
                  </w:r>
                  <w:r>
                    <w:rPr>
                      <w:rFonts w:hint="eastAsia"/>
                      <w:color w:val="000000" w:themeColor="text1"/>
                      <w:kern w:val="21"/>
                      <w:sz w:val="21"/>
                      <w:szCs w:val="21"/>
                      <w14:textFill>
                        <w14:solidFill>
                          <w14:schemeClr w14:val="tx1"/>
                        </w14:solidFill>
                      </w14:textFill>
                    </w:rPr>
                    <w:t>t/a，</w:t>
                  </w:r>
                  <w:r>
                    <w:rPr>
                      <w:rFonts w:hint="eastAsia"/>
                      <w:color w:val="000000" w:themeColor="text1"/>
                      <w:kern w:val="21"/>
                      <w:sz w:val="21"/>
                      <w:szCs w:val="21"/>
                      <w:lang w:eastAsia="zh-CN"/>
                      <w14:textFill>
                        <w14:solidFill>
                          <w14:schemeClr w14:val="tx1"/>
                        </w14:solidFill>
                      </w14:textFill>
                    </w:rPr>
                    <w:t>无组织排放量为</w:t>
                  </w:r>
                  <w:r>
                    <w:rPr>
                      <w:rFonts w:hint="eastAsia"/>
                      <w:color w:val="000000" w:themeColor="text1"/>
                      <w:kern w:val="21"/>
                      <w:sz w:val="21"/>
                      <w:szCs w:val="21"/>
                      <w:lang w:val="en-US" w:eastAsia="zh-CN"/>
                      <w14:textFill>
                        <w14:solidFill>
                          <w14:schemeClr w14:val="tx1"/>
                        </w14:solidFill>
                      </w14:textFill>
                    </w:rPr>
                    <w:t xml:space="preserve">0.0024 </w:t>
                  </w:r>
                  <w:r>
                    <w:rPr>
                      <w:rFonts w:hint="eastAsia"/>
                      <w:color w:val="000000" w:themeColor="text1"/>
                      <w:kern w:val="21"/>
                      <w:sz w:val="21"/>
                      <w:szCs w:val="21"/>
                      <w14:textFill>
                        <w14:solidFill>
                          <w14:schemeClr w14:val="tx1"/>
                        </w14:solidFill>
                      </w14:textFill>
                    </w:rPr>
                    <w:t>t/a</w:t>
                  </w:r>
                  <w:r>
                    <w:rPr>
                      <w:rFonts w:hint="eastAsia"/>
                      <w:color w:val="000000" w:themeColor="text1"/>
                      <w:kern w:val="21"/>
                      <w:sz w:val="21"/>
                      <w:szCs w:val="21"/>
                      <w:lang w:eastAsia="zh-CN"/>
                      <w14:textFill>
                        <w14:solidFill>
                          <w14:schemeClr w14:val="tx1"/>
                        </w14:solidFill>
                      </w14:textFill>
                    </w:rPr>
                    <w:t>，共计</w:t>
                  </w:r>
                  <w:r>
                    <w:rPr>
                      <w:rFonts w:hint="eastAsia"/>
                      <w:color w:val="000000" w:themeColor="text1"/>
                      <w:kern w:val="21"/>
                      <w:sz w:val="21"/>
                      <w:szCs w:val="21"/>
                      <w:lang w:val="en-US" w:eastAsia="zh-CN"/>
                      <w14:textFill>
                        <w14:solidFill>
                          <w14:schemeClr w14:val="tx1"/>
                        </w14:solidFill>
                      </w14:textFill>
                    </w:rPr>
                    <w:t xml:space="preserve">0.0072 </w:t>
                  </w:r>
                  <w:r>
                    <w:rPr>
                      <w:rFonts w:hint="eastAsia"/>
                      <w:color w:val="000000" w:themeColor="text1"/>
                      <w:kern w:val="21"/>
                      <w:sz w:val="21"/>
                      <w:szCs w:val="21"/>
                      <w14:textFill>
                        <w14:solidFill>
                          <w14:schemeClr w14:val="tx1"/>
                        </w14:solidFill>
                      </w14:textFill>
                    </w:rPr>
                    <w:t>t/a</w:t>
                  </w:r>
                  <w:r>
                    <w:rPr>
                      <w:rFonts w:hint="eastAsia"/>
                      <w:color w:val="000000" w:themeColor="text1"/>
                      <w:kern w:val="21"/>
                      <w:sz w:val="21"/>
                      <w:szCs w:val="21"/>
                      <w:lang w:eastAsia="zh-CN"/>
                      <w14:textFill>
                        <w14:solidFill>
                          <w14:schemeClr w14:val="tx1"/>
                        </w14:solidFill>
                      </w14:textFill>
                    </w:rPr>
                    <w:t>，</w:t>
                  </w:r>
                  <w:r>
                    <w:rPr>
                      <w:rFonts w:hint="eastAsia"/>
                      <w:color w:val="000000" w:themeColor="text1"/>
                      <w:kern w:val="21"/>
                      <w:sz w:val="21"/>
                      <w:szCs w:val="21"/>
                      <w14:textFill>
                        <w14:solidFill>
                          <w14:schemeClr w14:val="tx1"/>
                        </w14:solidFill>
                      </w14:textFill>
                    </w:rPr>
                    <w:t>根据VOCs 排放总量倍量消减替代，应消减替代</w:t>
                  </w:r>
                  <w:r>
                    <w:rPr>
                      <w:rFonts w:hint="eastAsia"/>
                      <w:color w:val="000000" w:themeColor="text1"/>
                      <w:kern w:val="21"/>
                      <w:sz w:val="21"/>
                      <w:szCs w:val="21"/>
                      <w:lang w:val="en-US" w:eastAsia="zh-CN"/>
                      <w14:textFill>
                        <w14:solidFill>
                          <w14:schemeClr w14:val="tx1"/>
                        </w14:solidFill>
                      </w14:textFill>
                    </w:rPr>
                    <w:t>0.0144</w:t>
                  </w:r>
                  <w:r>
                    <w:rPr>
                      <w:rFonts w:hint="eastAsia"/>
                      <w:color w:val="000000" w:themeColor="text1"/>
                      <w:kern w:val="21"/>
                      <w:sz w:val="21"/>
                      <w:szCs w:val="21"/>
                      <w14:textFill>
                        <w14:solidFill>
                          <w14:schemeClr w14:val="tx1"/>
                        </w14:solidFill>
                      </w14:textFill>
                    </w:rPr>
                    <w:t>t/a</w:t>
                  </w:r>
                  <w:r>
                    <w:rPr>
                      <w:rFonts w:hint="eastAsia"/>
                      <w:color w:val="000000" w:themeColor="text1"/>
                      <w:kern w:val="21"/>
                      <w:sz w:val="21"/>
                      <w:szCs w:val="21"/>
                      <w:lang w:eastAsia="zh-CN"/>
                      <w14:textFill>
                        <w14:solidFill>
                          <w14:schemeClr w14:val="tx1"/>
                        </w14:solidFill>
                      </w14:textFill>
                    </w:rPr>
                    <w:t>，</w:t>
                  </w:r>
                  <w:r>
                    <w:rPr>
                      <w:rFonts w:hint="eastAsia"/>
                      <w:kern w:val="21"/>
                      <w:szCs w:val="21"/>
                      <w:lang w:val="en-US" w:eastAsia="zh-CN"/>
                    </w:rPr>
                    <w:t>本项目拟从新乡县大召营镇贵波橡胶制品厂VOCs 排放总量中消减替代</w:t>
                  </w:r>
                  <w:r>
                    <w:rPr>
                      <w:rFonts w:hint="eastAsia"/>
                      <w:color w:val="000000" w:themeColor="text1"/>
                      <w:kern w:val="21"/>
                      <w:sz w:val="21"/>
                      <w:szCs w:val="21"/>
                      <w:lang w:val="en-US" w:eastAsia="zh-CN"/>
                      <w14:textFill>
                        <w14:solidFill>
                          <w14:schemeClr w14:val="tx1"/>
                        </w14:solidFill>
                      </w14:textFill>
                    </w:rPr>
                    <w:t>0.0144</w:t>
                  </w:r>
                  <w:r>
                    <w:rPr>
                      <w:rFonts w:hint="eastAsia"/>
                      <w:color w:val="000000" w:themeColor="text1"/>
                      <w:kern w:val="21"/>
                      <w:sz w:val="21"/>
                      <w:szCs w:val="21"/>
                      <w14:textFill>
                        <w14:solidFill>
                          <w14:schemeClr w14:val="tx1"/>
                        </w14:solidFill>
                      </w14:textFill>
                    </w:rPr>
                    <w:t>t/a</w:t>
                  </w:r>
                  <w:r>
                    <w:rPr>
                      <w:rFonts w:hint="eastAsia"/>
                      <w:color w:val="000000" w:themeColor="text1"/>
                      <w:kern w:val="21"/>
                      <w:sz w:val="21"/>
                      <w:szCs w:val="21"/>
                      <w:lang w:eastAsia="zh-CN"/>
                      <w14:textFill>
                        <w14:solidFill>
                          <w14:schemeClr w14:val="tx1"/>
                        </w14:solidFill>
                      </w14:textFill>
                    </w:rPr>
                    <w:t>。</w:t>
                  </w:r>
                </w:p>
              </w:tc>
              <w:tc>
                <w:tcPr>
                  <w:tcW w:w="809" w:type="dxa"/>
                  <w:tcBorders>
                    <w:tl2br w:val="nil"/>
                    <w:tr2bl w:val="nil"/>
                  </w:tcBorders>
                  <w:vAlign w:val="center"/>
                </w:tcPr>
                <w:p>
                  <w:pPr>
                    <w:adjustRightInd w:val="0"/>
                    <w:snapToGrid w:val="0"/>
                    <w:jc w:val="center"/>
                    <w:rPr>
                      <w:kern w:val="21"/>
                      <w:szCs w:val="21"/>
                    </w:rPr>
                  </w:pPr>
                  <w:r>
                    <w:rPr>
                      <w:rFonts w:hint="eastAsia"/>
                      <w:kern w:val="21"/>
                      <w:szCs w:val="21"/>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113" w:type="dxa"/>
                  <w:left w:w="85" w:type="dxa"/>
                  <w:bottom w:w="113" w:type="dxa"/>
                  <w:right w:w="85" w:type="dxa"/>
                </w:tblCellMar>
              </w:tblPrEx>
              <w:trPr>
                <w:trHeight w:val="454" w:hRule="atLeast"/>
                <w:jc w:val="center"/>
              </w:trPr>
              <w:tc>
                <w:tcPr>
                  <w:tcW w:w="667" w:type="dxa"/>
                  <w:tcBorders>
                    <w:tl2br w:val="nil"/>
                    <w:tr2bl w:val="nil"/>
                  </w:tcBorders>
                  <w:vAlign w:val="center"/>
                </w:tcPr>
                <w:p>
                  <w:pPr>
                    <w:adjustRightInd w:val="0"/>
                    <w:snapToGrid w:val="0"/>
                    <w:jc w:val="center"/>
                    <w:rPr>
                      <w:kern w:val="21"/>
                      <w:szCs w:val="21"/>
                    </w:rPr>
                  </w:pPr>
                  <w:r>
                    <w:rPr>
                      <w:rFonts w:hint="eastAsia"/>
                      <w:kern w:val="21"/>
                      <w:szCs w:val="21"/>
                    </w:rPr>
                    <w:t>加快工业源VOCs 治理</w:t>
                  </w:r>
                </w:p>
              </w:tc>
              <w:tc>
                <w:tcPr>
                  <w:tcW w:w="3420" w:type="dxa"/>
                  <w:tcBorders>
                    <w:tl2br w:val="nil"/>
                    <w:tr2bl w:val="nil"/>
                  </w:tcBorders>
                  <w:vAlign w:val="center"/>
                </w:tcPr>
                <w:p>
                  <w:pPr>
                    <w:adjustRightInd w:val="0"/>
                    <w:snapToGrid w:val="0"/>
                    <w:jc w:val="center"/>
                    <w:rPr>
                      <w:kern w:val="21"/>
                      <w:szCs w:val="21"/>
                    </w:rPr>
                  </w:pPr>
                  <w:r>
                    <w:rPr>
                      <w:rFonts w:hint="eastAsia"/>
                      <w:kern w:val="21"/>
                      <w:szCs w:val="21"/>
                    </w:rPr>
                    <w:t>坚持源头减排、过程控制、末端治理和强化管理相结合的综合防治原则，深入开展工业VOCs 治理。对VOCs 废气末端处理工艺进行提升改造，鼓励企业采用多种技术组合工艺，提高VOCs治理效率。低温等离子体技术、光催化技术仅适用于处理低浓度有机废气或恶臭气体。</w:t>
                  </w:r>
                </w:p>
              </w:tc>
              <w:tc>
                <w:tcPr>
                  <w:tcW w:w="3608" w:type="dxa"/>
                  <w:tcBorders>
                    <w:tl2br w:val="nil"/>
                    <w:tr2bl w:val="nil"/>
                  </w:tcBorders>
                  <w:vAlign w:val="center"/>
                </w:tcPr>
                <w:p>
                  <w:pPr>
                    <w:adjustRightInd w:val="0"/>
                    <w:snapToGrid w:val="0"/>
                    <w:jc w:val="center"/>
                    <w:rPr>
                      <w:kern w:val="21"/>
                      <w:szCs w:val="21"/>
                    </w:rPr>
                  </w:pPr>
                  <w:r>
                    <w:rPr>
                      <w:rFonts w:hint="eastAsia"/>
                      <w:kern w:val="21"/>
                      <w:szCs w:val="21"/>
                    </w:rPr>
                    <w:t>本项目废气属于低浓度有机废气，故采用采用UV光催化氧化设备+活性炭吸附装置处理有机废气</w:t>
                  </w:r>
                </w:p>
              </w:tc>
              <w:tc>
                <w:tcPr>
                  <w:tcW w:w="809" w:type="dxa"/>
                  <w:tcBorders>
                    <w:tl2br w:val="nil"/>
                    <w:tr2bl w:val="nil"/>
                  </w:tcBorders>
                  <w:vAlign w:val="center"/>
                </w:tcPr>
                <w:p>
                  <w:pPr>
                    <w:adjustRightInd w:val="0"/>
                    <w:snapToGrid w:val="0"/>
                    <w:jc w:val="center"/>
                    <w:rPr>
                      <w:kern w:val="21"/>
                      <w:szCs w:val="21"/>
                    </w:rPr>
                  </w:pPr>
                  <w:r>
                    <w:rPr>
                      <w:rFonts w:hint="eastAsia"/>
                      <w:kern w:val="21"/>
                      <w:szCs w:val="21"/>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113" w:type="dxa"/>
                  <w:left w:w="85" w:type="dxa"/>
                  <w:bottom w:w="113" w:type="dxa"/>
                  <w:right w:w="85" w:type="dxa"/>
                </w:tblCellMar>
              </w:tblPrEx>
              <w:trPr>
                <w:trHeight w:val="454" w:hRule="atLeast"/>
                <w:jc w:val="center"/>
              </w:trPr>
              <w:tc>
                <w:tcPr>
                  <w:tcW w:w="667" w:type="dxa"/>
                  <w:tcBorders>
                    <w:tl2br w:val="nil"/>
                    <w:tr2bl w:val="nil"/>
                  </w:tcBorders>
                  <w:vAlign w:val="center"/>
                </w:tcPr>
                <w:p>
                  <w:pPr>
                    <w:adjustRightInd w:val="0"/>
                    <w:snapToGrid w:val="0"/>
                    <w:jc w:val="center"/>
                    <w:rPr>
                      <w:kern w:val="21"/>
                      <w:szCs w:val="21"/>
                    </w:rPr>
                  </w:pPr>
                  <w:r>
                    <w:rPr>
                      <w:rFonts w:hint="eastAsia"/>
                      <w:kern w:val="21"/>
                      <w:szCs w:val="21"/>
                    </w:rPr>
                    <w:t>提高环境监测与预警应急能力</w:t>
                  </w:r>
                </w:p>
              </w:tc>
              <w:tc>
                <w:tcPr>
                  <w:tcW w:w="3420" w:type="dxa"/>
                  <w:tcBorders>
                    <w:tl2br w:val="nil"/>
                    <w:tr2bl w:val="nil"/>
                  </w:tcBorders>
                  <w:vAlign w:val="center"/>
                </w:tcPr>
                <w:p>
                  <w:pPr>
                    <w:jc w:val="center"/>
                    <w:rPr>
                      <w:kern w:val="21"/>
                      <w:szCs w:val="21"/>
                    </w:rPr>
                  </w:pPr>
                  <w:r>
                    <w:rPr>
                      <w:kern w:val="21"/>
                      <w:szCs w:val="21"/>
                    </w:rPr>
                    <w:t>到2020年</w:t>
                  </w:r>
                  <w:r>
                    <w:rPr>
                      <w:rFonts w:hint="eastAsia" w:ascii="宋体" w:hAnsi="宋体" w:cs="宋体"/>
                      <w:kern w:val="21"/>
                      <w:szCs w:val="21"/>
                    </w:rPr>
                    <w:t>,</w:t>
                  </w:r>
                  <w:r>
                    <w:rPr>
                      <w:kern w:val="21"/>
                      <w:szCs w:val="21"/>
                    </w:rPr>
                    <w:t>实现重点涉气企业VOCs在线监控设施安装全覆盖。加强企业自行监测建设</w:t>
                  </w:r>
                  <w:r>
                    <w:rPr>
                      <w:rFonts w:hint="eastAsia"/>
                      <w:kern w:val="21"/>
                      <w:szCs w:val="21"/>
                    </w:rPr>
                    <w:t>，</w:t>
                  </w:r>
                  <w:r>
                    <w:rPr>
                      <w:kern w:val="21"/>
                      <w:szCs w:val="21"/>
                    </w:rPr>
                    <w:t>全面开展LDAR体系建设</w:t>
                  </w:r>
                  <w:r>
                    <w:rPr>
                      <w:rFonts w:hint="eastAsia" w:ascii="宋体" w:hAnsi="宋体" w:cs="宋体"/>
                      <w:kern w:val="21"/>
                      <w:szCs w:val="21"/>
                    </w:rPr>
                    <w:t>,</w:t>
                  </w:r>
                  <w:r>
                    <w:rPr>
                      <w:kern w:val="21"/>
                      <w:szCs w:val="21"/>
                    </w:rPr>
                    <w:t>建立完善涉气刷卡排污系统的运行和监管。</w:t>
                  </w:r>
                </w:p>
              </w:tc>
              <w:tc>
                <w:tcPr>
                  <w:tcW w:w="3608" w:type="dxa"/>
                  <w:tcBorders>
                    <w:tl2br w:val="nil"/>
                    <w:tr2bl w:val="nil"/>
                  </w:tcBorders>
                  <w:vAlign w:val="center"/>
                </w:tcPr>
                <w:p>
                  <w:pPr>
                    <w:adjustRightInd w:val="0"/>
                    <w:snapToGrid w:val="0"/>
                    <w:jc w:val="center"/>
                    <w:rPr>
                      <w:kern w:val="21"/>
                      <w:szCs w:val="21"/>
                    </w:rPr>
                  </w:pPr>
                  <w:r>
                    <w:rPr>
                      <w:rFonts w:hint="eastAsia"/>
                      <w:kern w:val="21"/>
                      <w:szCs w:val="21"/>
                    </w:rPr>
                    <w:t>本项目在VOCs排放口设置在线监控设备</w:t>
                  </w:r>
                </w:p>
              </w:tc>
              <w:tc>
                <w:tcPr>
                  <w:tcW w:w="809" w:type="dxa"/>
                  <w:tcBorders>
                    <w:tl2br w:val="nil"/>
                    <w:tr2bl w:val="nil"/>
                  </w:tcBorders>
                  <w:vAlign w:val="center"/>
                </w:tcPr>
                <w:p>
                  <w:pPr>
                    <w:adjustRightInd w:val="0"/>
                    <w:snapToGrid w:val="0"/>
                    <w:jc w:val="center"/>
                    <w:rPr>
                      <w:kern w:val="21"/>
                      <w:szCs w:val="21"/>
                    </w:rPr>
                  </w:pPr>
                  <w:r>
                    <w:rPr>
                      <w:rFonts w:hint="eastAsia"/>
                      <w:kern w:val="21"/>
                      <w:szCs w:val="21"/>
                    </w:rPr>
                    <w:t>符合</w:t>
                  </w:r>
                </w:p>
              </w:tc>
            </w:tr>
          </w:tbl>
          <w:p>
            <w:pPr>
              <w:spacing w:line="360" w:lineRule="auto"/>
              <w:ind w:firstLine="480" w:firstLineChars="200"/>
              <w:rPr>
                <w:rFonts w:eastAsiaTheme="minorEastAsia"/>
                <w:sz w:val="24"/>
              </w:rPr>
            </w:pPr>
            <w:r>
              <w:rPr>
                <w:sz w:val="24"/>
              </w:rPr>
              <w:t>本项目符合</w:t>
            </w:r>
            <w:r>
              <w:rPr>
                <w:rFonts w:hint="eastAsia" w:eastAsiaTheme="minorEastAsia"/>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新乡市环境污染防治攻坚战三年行动实施方案（2018-2020年）</w:t>
            </w:r>
            <w:r>
              <w:rPr>
                <w:rFonts w:hint="eastAsia" w:eastAsiaTheme="minorEastAsia"/>
                <w:color w:val="000000" w:themeColor="text1"/>
                <w:sz w:val="24"/>
                <w14:textFill>
                  <w14:solidFill>
                    <w14:schemeClr w14:val="tx1"/>
                  </w14:solidFill>
                </w14:textFill>
              </w:rPr>
              <w:t>》</w:t>
            </w:r>
            <w:r>
              <w:rPr>
                <w:sz w:val="24"/>
              </w:rPr>
              <w:t>要求</w:t>
            </w:r>
            <w:r>
              <w:rPr>
                <w:rFonts w:eastAsiaTheme="minorEastAsia"/>
                <w:sz w:val="24"/>
              </w:rPr>
              <w:t>。</w:t>
            </w:r>
          </w:p>
          <w:p>
            <w:pPr>
              <w:adjustRightInd w:val="0"/>
              <w:snapToGrid w:val="0"/>
              <w:spacing w:line="360" w:lineRule="auto"/>
              <w:rPr>
                <w:rFonts w:eastAsia="黑体"/>
                <w:sz w:val="24"/>
              </w:rPr>
            </w:pPr>
            <w:r>
              <w:rPr>
                <w:rFonts w:hint="eastAsia" w:eastAsiaTheme="minorEastAsia"/>
                <w:b/>
                <w:bCs/>
                <w:color w:val="000000" w:themeColor="text1"/>
                <w:sz w:val="24"/>
                <w14:textFill>
                  <w14:solidFill>
                    <w14:schemeClr w14:val="tx1"/>
                  </w14:solidFill>
                </w14:textFill>
              </w:rPr>
              <w:t>7、与《京津冀及周边地区2018-2019年秋冬季大气污染综合治理攻坚行动方案》相符性分析</w:t>
            </w:r>
          </w:p>
          <w:p>
            <w:pPr>
              <w:adjustRightInd w:val="0"/>
              <w:snapToGrid w:val="0"/>
              <w:jc w:val="center"/>
              <w:rPr>
                <w:rFonts w:eastAsia="黑体"/>
                <w:sz w:val="24"/>
              </w:rPr>
            </w:pPr>
            <w:r>
              <w:rPr>
                <w:rFonts w:eastAsia="黑体"/>
                <w:sz w:val="24"/>
              </w:rPr>
              <w:t>表</w:t>
            </w:r>
            <w:r>
              <w:rPr>
                <w:rFonts w:hint="eastAsia" w:eastAsia="黑体"/>
                <w:sz w:val="24"/>
              </w:rPr>
              <w:t xml:space="preserve">13  </w:t>
            </w:r>
            <w:r>
              <w:rPr>
                <w:rFonts w:eastAsia="黑体"/>
                <w:sz w:val="24"/>
              </w:rPr>
              <w:t>本项目情况与</w:t>
            </w:r>
            <w:r>
              <w:rPr>
                <w:rFonts w:hint="eastAsia" w:eastAsia="黑体"/>
                <w:sz w:val="24"/>
              </w:rPr>
              <w:t>方案要求</w:t>
            </w:r>
            <w:r>
              <w:rPr>
                <w:rFonts w:eastAsia="黑体"/>
                <w:sz w:val="24"/>
              </w:rPr>
              <w:t>对照一览表</w:t>
            </w:r>
          </w:p>
          <w:tbl>
            <w:tblPr>
              <w:tblStyle w:val="23"/>
              <w:tblW w:w="8504" w:type="dxa"/>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113" w:type="dxa"/>
                <w:left w:w="85" w:type="dxa"/>
                <w:bottom w:w="113" w:type="dxa"/>
                <w:right w:w="85" w:type="dxa"/>
              </w:tblCellMar>
            </w:tblPr>
            <w:tblGrid>
              <w:gridCol w:w="1111"/>
              <w:gridCol w:w="3960"/>
              <w:gridCol w:w="2010"/>
              <w:gridCol w:w="1423"/>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113" w:type="dxa"/>
                  <w:left w:w="85" w:type="dxa"/>
                  <w:bottom w:w="113" w:type="dxa"/>
                  <w:right w:w="85" w:type="dxa"/>
                </w:tblCellMar>
              </w:tblPrEx>
              <w:trPr>
                <w:trHeight w:val="273" w:hRule="atLeast"/>
                <w:jc w:val="center"/>
              </w:trPr>
              <w:tc>
                <w:tcPr>
                  <w:tcW w:w="1111" w:type="dxa"/>
                  <w:tcBorders>
                    <w:tl2br w:val="nil"/>
                    <w:tr2bl w:val="nil"/>
                  </w:tcBorders>
                  <w:vAlign w:val="center"/>
                </w:tcPr>
                <w:p>
                  <w:pPr>
                    <w:adjustRightInd w:val="0"/>
                    <w:snapToGrid w:val="0"/>
                    <w:jc w:val="center"/>
                    <w:rPr>
                      <w:kern w:val="21"/>
                      <w:szCs w:val="21"/>
                    </w:rPr>
                  </w:pPr>
                  <w:r>
                    <w:rPr>
                      <w:kern w:val="21"/>
                      <w:szCs w:val="21"/>
                    </w:rPr>
                    <w:t>类别</w:t>
                  </w:r>
                </w:p>
              </w:tc>
              <w:tc>
                <w:tcPr>
                  <w:tcW w:w="3960" w:type="dxa"/>
                  <w:tcBorders>
                    <w:tl2br w:val="nil"/>
                    <w:tr2bl w:val="nil"/>
                  </w:tcBorders>
                  <w:vAlign w:val="center"/>
                </w:tcPr>
                <w:p>
                  <w:pPr>
                    <w:adjustRightInd w:val="0"/>
                    <w:snapToGrid w:val="0"/>
                    <w:jc w:val="center"/>
                    <w:rPr>
                      <w:kern w:val="21"/>
                      <w:szCs w:val="21"/>
                    </w:rPr>
                  </w:pPr>
                  <w:r>
                    <w:rPr>
                      <w:rFonts w:hint="eastAsia"/>
                      <w:kern w:val="21"/>
                      <w:szCs w:val="21"/>
                    </w:rPr>
                    <w:t>综合治理要求</w:t>
                  </w:r>
                </w:p>
              </w:tc>
              <w:tc>
                <w:tcPr>
                  <w:tcW w:w="2010" w:type="dxa"/>
                  <w:tcBorders>
                    <w:tl2br w:val="nil"/>
                    <w:tr2bl w:val="nil"/>
                  </w:tcBorders>
                  <w:vAlign w:val="center"/>
                </w:tcPr>
                <w:p>
                  <w:pPr>
                    <w:adjustRightInd w:val="0"/>
                    <w:snapToGrid w:val="0"/>
                    <w:jc w:val="center"/>
                    <w:rPr>
                      <w:kern w:val="21"/>
                      <w:szCs w:val="21"/>
                    </w:rPr>
                  </w:pPr>
                  <w:r>
                    <w:rPr>
                      <w:rFonts w:hint="eastAsia"/>
                      <w:kern w:val="21"/>
                      <w:szCs w:val="21"/>
                    </w:rPr>
                    <w:t>项目情况</w:t>
                  </w:r>
                </w:p>
              </w:tc>
              <w:tc>
                <w:tcPr>
                  <w:tcW w:w="1423" w:type="dxa"/>
                  <w:tcBorders>
                    <w:tl2br w:val="nil"/>
                    <w:tr2bl w:val="nil"/>
                  </w:tcBorders>
                  <w:vAlign w:val="center"/>
                </w:tcPr>
                <w:p>
                  <w:pPr>
                    <w:adjustRightInd w:val="0"/>
                    <w:snapToGrid w:val="0"/>
                    <w:jc w:val="center"/>
                    <w:rPr>
                      <w:kern w:val="21"/>
                      <w:szCs w:val="21"/>
                    </w:rPr>
                  </w:pPr>
                  <w:r>
                    <w:rPr>
                      <w:rFonts w:hint="eastAsia"/>
                      <w:kern w:val="21"/>
                      <w:szCs w:val="21"/>
                    </w:rPr>
                    <w:t>符合性分析</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113" w:type="dxa"/>
                  <w:left w:w="85" w:type="dxa"/>
                  <w:bottom w:w="113" w:type="dxa"/>
                  <w:right w:w="85" w:type="dxa"/>
                </w:tblCellMar>
              </w:tblPrEx>
              <w:trPr>
                <w:trHeight w:val="454" w:hRule="atLeast"/>
                <w:jc w:val="center"/>
              </w:trPr>
              <w:tc>
                <w:tcPr>
                  <w:tcW w:w="1111" w:type="dxa"/>
                  <w:tcBorders>
                    <w:tl2br w:val="nil"/>
                    <w:tr2bl w:val="nil"/>
                  </w:tcBorders>
                  <w:vAlign w:val="center"/>
                </w:tcPr>
                <w:p>
                  <w:pPr>
                    <w:adjustRightInd w:val="0"/>
                    <w:snapToGrid w:val="0"/>
                    <w:jc w:val="center"/>
                    <w:rPr>
                      <w:kern w:val="21"/>
                      <w:szCs w:val="21"/>
                    </w:rPr>
                  </w:pPr>
                  <w:r>
                    <w:rPr>
                      <w:rFonts w:hint="eastAsia"/>
                      <w:kern w:val="21"/>
                      <w:szCs w:val="21"/>
                    </w:rPr>
                    <w:t>加强源头控制</w:t>
                  </w:r>
                </w:p>
              </w:tc>
              <w:tc>
                <w:tcPr>
                  <w:tcW w:w="3960" w:type="dxa"/>
                  <w:tcBorders>
                    <w:tl2br w:val="nil"/>
                    <w:tr2bl w:val="nil"/>
                  </w:tcBorders>
                  <w:vAlign w:val="center"/>
                </w:tcPr>
                <w:p>
                  <w:pPr>
                    <w:adjustRightInd w:val="0"/>
                    <w:snapToGrid w:val="0"/>
                    <w:jc w:val="center"/>
                    <w:rPr>
                      <w:kern w:val="21"/>
                      <w:szCs w:val="21"/>
                    </w:rPr>
                  </w:pPr>
                  <w:r>
                    <w:rPr>
                      <w:rFonts w:hint="eastAsia"/>
                      <w:kern w:val="21"/>
                      <w:szCs w:val="21"/>
                    </w:rPr>
                    <w:t>禁止新改扩建涉高VOCs 含量溶剂型涂料、油墨、胶粘剂等生产和使用的项目。积极推进工业、建筑、汽修等行业使用低（无）VOCs 含量原辅材料和产品。自2019 年1月1日起，汽车原厂涂料、木器涂料、工程机械涂料、工业防腐涂料即用状态下的VOCs 含量限值分别不高于580、600、550、550 克/升。北京、天津、河北省（市）严格执行《建筑类涂料与胶粘剂挥发性有机化合物含量限值标准》要求，加强建筑类涂料和胶粘剂产品质量监督检测；“2+26”城市中其他城市自2019 年1 月1 日起参照执行。积极推进汽修行业使用低VOCs 含量的涂料，自2019 年1 月1 日起，汽车修补漆全部使用即用状态下VOCs 含量不高于540 克/升的涂料，其中，底色漆和面漆不高于420 克/升。</w:t>
                  </w:r>
                </w:p>
              </w:tc>
              <w:tc>
                <w:tcPr>
                  <w:tcW w:w="2010" w:type="dxa"/>
                  <w:tcBorders>
                    <w:tl2br w:val="nil"/>
                    <w:tr2bl w:val="nil"/>
                  </w:tcBorders>
                  <w:vAlign w:val="center"/>
                </w:tcPr>
                <w:p>
                  <w:pPr>
                    <w:adjustRightInd w:val="0"/>
                    <w:snapToGrid w:val="0"/>
                    <w:jc w:val="center"/>
                    <w:rPr>
                      <w:kern w:val="21"/>
                      <w:szCs w:val="21"/>
                    </w:rPr>
                  </w:pPr>
                  <w:r>
                    <w:rPr>
                      <w:rFonts w:hint="eastAsia"/>
                      <w:kern w:val="21"/>
                      <w:szCs w:val="21"/>
                    </w:rPr>
                    <w:t>本项目使用</w:t>
                  </w:r>
                  <w:r>
                    <w:rPr>
                      <w:rFonts w:hint="eastAsia"/>
                      <w:kern w:val="21"/>
                      <w:szCs w:val="21"/>
                      <w:lang w:val="en-US" w:eastAsia="zh-CN"/>
                    </w:rPr>
                    <w:t>PP、PE材料</w:t>
                  </w:r>
                  <w:r>
                    <w:rPr>
                      <w:rFonts w:hint="eastAsia"/>
                      <w:kern w:val="21"/>
                      <w:szCs w:val="21"/>
                    </w:rPr>
                    <w:t>，属于低（无）VOCs 含量原辅材料</w:t>
                  </w:r>
                </w:p>
              </w:tc>
              <w:tc>
                <w:tcPr>
                  <w:tcW w:w="1423" w:type="dxa"/>
                  <w:tcBorders>
                    <w:tl2br w:val="nil"/>
                    <w:tr2bl w:val="nil"/>
                  </w:tcBorders>
                  <w:vAlign w:val="center"/>
                </w:tcPr>
                <w:p>
                  <w:pPr>
                    <w:adjustRightInd w:val="0"/>
                    <w:snapToGrid w:val="0"/>
                    <w:jc w:val="center"/>
                    <w:rPr>
                      <w:kern w:val="21"/>
                      <w:szCs w:val="21"/>
                    </w:rPr>
                  </w:pPr>
                  <w:r>
                    <w:rPr>
                      <w:rFonts w:hint="eastAsia"/>
                      <w:kern w:val="21"/>
                      <w:szCs w:val="21"/>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113" w:type="dxa"/>
                  <w:left w:w="85" w:type="dxa"/>
                  <w:bottom w:w="113" w:type="dxa"/>
                  <w:right w:w="85" w:type="dxa"/>
                </w:tblCellMar>
              </w:tblPrEx>
              <w:trPr>
                <w:trHeight w:val="454" w:hRule="atLeast"/>
                <w:jc w:val="center"/>
              </w:trPr>
              <w:tc>
                <w:tcPr>
                  <w:tcW w:w="1111" w:type="dxa"/>
                  <w:tcBorders>
                    <w:tl2br w:val="nil"/>
                    <w:tr2bl w:val="nil"/>
                  </w:tcBorders>
                  <w:vAlign w:val="center"/>
                </w:tcPr>
                <w:p>
                  <w:pPr>
                    <w:adjustRightInd w:val="0"/>
                    <w:snapToGrid w:val="0"/>
                    <w:jc w:val="center"/>
                    <w:rPr>
                      <w:kern w:val="21"/>
                      <w:szCs w:val="21"/>
                    </w:rPr>
                  </w:pPr>
                  <w:r>
                    <w:rPr>
                      <w:rFonts w:hint="eastAsia"/>
                      <w:kern w:val="21"/>
                      <w:szCs w:val="21"/>
                    </w:rPr>
                    <w:t>强化VOCs 无组织排放管控</w:t>
                  </w:r>
                </w:p>
              </w:tc>
              <w:tc>
                <w:tcPr>
                  <w:tcW w:w="3960" w:type="dxa"/>
                  <w:tcBorders>
                    <w:tl2br w:val="nil"/>
                    <w:tr2bl w:val="nil"/>
                  </w:tcBorders>
                  <w:vAlign w:val="center"/>
                </w:tcPr>
                <w:p>
                  <w:pPr>
                    <w:adjustRightInd w:val="0"/>
                    <w:snapToGrid w:val="0"/>
                    <w:jc w:val="center"/>
                    <w:rPr>
                      <w:kern w:val="21"/>
                      <w:szCs w:val="21"/>
                    </w:rPr>
                  </w:pPr>
                  <w:r>
                    <w:rPr>
                      <w:rFonts w:hint="eastAsia"/>
                      <w:kern w:val="21"/>
                      <w:szCs w:val="21"/>
                    </w:rPr>
                    <w:t>加强工艺过程无组织排放控制。VOCs 物料应储存于密闭储罐或密闭容器中，并采用密闭管道或密闭容器输送。</w:t>
                  </w:r>
                </w:p>
              </w:tc>
              <w:tc>
                <w:tcPr>
                  <w:tcW w:w="2010" w:type="dxa"/>
                  <w:tcBorders>
                    <w:tl2br w:val="nil"/>
                    <w:tr2bl w:val="nil"/>
                  </w:tcBorders>
                  <w:vAlign w:val="center"/>
                </w:tcPr>
                <w:p>
                  <w:pPr>
                    <w:adjustRightInd w:val="0"/>
                    <w:snapToGrid w:val="0"/>
                    <w:jc w:val="center"/>
                    <w:rPr>
                      <w:kern w:val="21"/>
                      <w:szCs w:val="21"/>
                    </w:rPr>
                  </w:pPr>
                  <w:r>
                    <w:rPr>
                      <w:rFonts w:hint="eastAsia"/>
                      <w:kern w:val="21"/>
                      <w:szCs w:val="21"/>
                    </w:rPr>
                    <w:t>项目对生产过程中的无组织废气进行收集处理。</w:t>
                  </w:r>
                </w:p>
              </w:tc>
              <w:tc>
                <w:tcPr>
                  <w:tcW w:w="1423" w:type="dxa"/>
                  <w:tcBorders>
                    <w:tl2br w:val="nil"/>
                    <w:tr2bl w:val="nil"/>
                  </w:tcBorders>
                  <w:vAlign w:val="center"/>
                </w:tcPr>
                <w:p>
                  <w:pPr>
                    <w:adjustRightInd w:val="0"/>
                    <w:snapToGrid w:val="0"/>
                    <w:jc w:val="center"/>
                    <w:rPr>
                      <w:kern w:val="21"/>
                      <w:szCs w:val="21"/>
                    </w:rPr>
                  </w:pPr>
                  <w:r>
                    <w:rPr>
                      <w:rFonts w:hint="eastAsia"/>
                      <w:kern w:val="21"/>
                      <w:szCs w:val="21"/>
                    </w:rPr>
                    <w:t>符合</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113" w:type="dxa"/>
                  <w:left w:w="85" w:type="dxa"/>
                  <w:bottom w:w="113" w:type="dxa"/>
                  <w:right w:w="85" w:type="dxa"/>
                </w:tblCellMar>
              </w:tblPrEx>
              <w:trPr>
                <w:trHeight w:val="454" w:hRule="atLeast"/>
                <w:jc w:val="center"/>
              </w:trPr>
              <w:tc>
                <w:tcPr>
                  <w:tcW w:w="1111" w:type="dxa"/>
                  <w:tcBorders>
                    <w:tl2br w:val="nil"/>
                    <w:tr2bl w:val="nil"/>
                  </w:tcBorders>
                  <w:vAlign w:val="center"/>
                </w:tcPr>
                <w:p>
                  <w:pPr>
                    <w:adjustRightInd w:val="0"/>
                    <w:snapToGrid w:val="0"/>
                    <w:jc w:val="center"/>
                    <w:rPr>
                      <w:kern w:val="21"/>
                      <w:szCs w:val="21"/>
                    </w:rPr>
                  </w:pPr>
                  <w:r>
                    <w:rPr>
                      <w:rFonts w:hint="eastAsia"/>
                      <w:kern w:val="21"/>
                      <w:szCs w:val="21"/>
                    </w:rPr>
                    <w:t>推进治污设施升级改造</w:t>
                  </w:r>
                </w:p>
              </w:tc>
              <w:tc>
                <w:tcPr>
                  <w:tcW w:w="3960" w:type="dxa"/>
                  <w:tcBorders>
                    <w:tl2br w:val="nil"/>
                    <w:tr2bl w:val="nil"/>
                  </w:tcBorders>
                  <w:vAlign w:val="center"/>
                </w:tcPr>
                <w:p>
                  <w:pPr>
                    <w:adjustRightInd w:val="0"/>
                    <w:snapToGrid w:val="0"/>
                    <w:jc w:val="center"/>
                    <w:rPr>
                      <w:kern w:val="21"/>
                      <w:szCs w:val="21"/>
                    </w:rPr>
                  </w:pPr>
                  <w:r>
                    <w:rPr>
                      <w:rFonts w:hint="eastAsia"/>
                      <w:kern w:val="21"/>
                      <w:szCs w:val="21"/>
                    </w:rPr>
                    <w:t>鼓励企业采用多种技术组合工艺，提高VOCs 治理效率。低温等离子体技术、光催化技术仅适用于处理低浓度有机废气或恶臭气体。采用活性炭吸附技术应配备脱附工艺，或定期更换活性炭并建立台账。</w:t>
                  </w:r>
                </w:p>
              </w:tc>
              <w:tc>
                <w:tcPr>
                  <w:tcW w:w="2010" w:type="dxa"/>
                  <w:tcBorders>
                    <w:tl2br w:val="nil"/>
                    <w:tr2bl w:val="nil"/>
                  </w:tcBorders>
                  <w:vAlign w:val="center"/>
                </w:tcPr>
                <w:p>
                  <w:pPr>
                    <w:adjustRightInd w:val="0"/>
                    <w:snapToGrid w:val="0"/>
                    <w:jc w:val="center"/>
                    <w:rPr>
                      <w:kern w:val="21"/>
                      <w:szCs w:val="21"/>
                    </w:rPr>
                  </w:pPr>
                  <w:r>
                    <w:rPr>
                      <w:rFonts w:hint="eastAsia"/>
                      <w:kern w:val="21"/>
                      <w:szCs w:val="21"/>
                    </w:rPr>
                    <w:t>本项目采用UV光催化氧化设备+活性炭吸附装置组合工艺对</w:t>
                  </w:r>
                  <w:r>
                    <w:rPr>
                      <w:rFonts w:hint="eastAsia"/>
                      <w:kern w:val="21"/>
                      <w:szCs w:val="21"/>
                      <w:lang w:val="en-US" w:eastAsia="zh-CN"/>
                    </w:rPr>
                    <w:t>塑化挤出、</w:t>
                  </w:r>
                  <w:r>
                    <w:rPr>
                      <w:rFonts w:hint="eastAsia"/>
                      <w:kern w:val="21"/>
                      <w:szCs w:val="21"/>
                    </w:rPr>
                    <w:t>注塑废气处理，活性炭定期交由厂家更换</w:t>
                  </w:r>
                </w:p>
              </w:tc>
              <w:tc>
                <w:tcPr>
                  <w:tcW w:w="1423" w:type="dxa"/>
                  <w:tcBorders>
                    <w:tl2br w:val="nil"/>
                    <w:tr2bl w:val="nil"/>
                  </w:tcBorders>
                  <w:vAlign w:val="center"/>
                </w:tcPr>
                <w:p>
                  <w:pPr>
                    <w:adjustRightInd w:val="0"/>
                    <w:snapToGrid w:val="0"/>
                    <w:jc w:val="center"/>
                    <w:rPr>
                      <w:kern w:val="21"/>
                      <w:szCs w:val="21"/>
                    </w:rPr>
                  </w:pPr>
                  <w:r>
                    <w:rPr>
                      <w:rFonts w:hint="eastAsia"/>
                      <w:kern w:val="21"/>
                      <w:szCs w:val="21"/>
                    </w:rPr>
                    <w:t>符合</w:t>
                  </w:r>
                </w:p>
              </w:tc>
            </w:tr>
          </w:tbl>
          <w:p>
            <w:pPr>
              <w:spacing w:line="360" w:lineRule="auto"/>
              <w:ind w:firstLine="480" w:firstLineChars="200"/>
              <w:rPr>
                <w:rFonts w:eastAsiaTheme="minorEastAsia"/>
                <w:sz w:val="24"/>
              </w:rPr>
            </w:pPr>
            <w:r>
              <w:rPr>
                <w:rFonts w:eastAsiaTheme="minorEastAsia"/>
                <w:sz w:val="24"/>
              </w:rPr>
              <w:t>本项目</w:t>
            </w:r>
            <w:r>
              <w:rPr>
                <w:rFonts w:hint="eastAsia" w:eastAsiaTheme="minorEastAsia"/>
                <w:sz w:val="24"/>
              </w:rPr>
              <w:t>符合京津冀及周边地区2018-2019年秋冬季大气污染综合治理攻坚行动方案要求</w:t>
            </w:r>
            <w:r>
              <w:rPr>
                <w:rFonts w:eastAsiaTheme="minorEastAsia"/>
                <w:sz w:val="24"/>
              </w:rPr>
              <w:t>。</w:t>
            </w:r>
          </w:p>
          <w:p>
            <w:pPr>
              <w:numPr>
                <w:ilvl w:val="0"/>
                <w:numId w:val="3"/>
              </w:numPr>
              <w:spacing w:line="360" w:lineRule="auto"/>
              <w:ind w:firstLine="482" w:firstLineChars="200"/>
              <w:rPr>
                <w:rFonts w:eastAsiaTheme="minorEastAsia"/>
                <w:sz w:val="24"/>
              </w:rPr>
            </w:pPr>
            <w:r>
              <w:rPr>
                <w:b/>
                <w:bCs/>
                <w:sz w:val="24"/>
              </w:rPr>
              <w:t>与豫环攻坚办[2019]25号文相符性</w:t>
            </w:r>
            <w:r>
              <w:rPr>
                <w:rFonts w:hint="eastAsia" w:eastAsiaTheme="minorEastAsia"/>
                <w:sz w:val="24"/>
              </w:rPr>
              <w:br w:type="textWrapping"/>
            </w:r>
            <w:r>
              <w:rPr>
                <w:rFonts w:hint="eastAsia" w:eastAsiaTheme="minorEastAsia"/>
                <w:sz w:val="24"/>
              </w:rPr>
              <w:t xml:space="preserve">                      </w:t>
            </w:r>
            <w:r>
              <w:rPr>
                <w:rFonts w:eastAsia="黑体"/>
                <w:sz w:val="24"/>
              </w:rPr>
              <w:t>表14  与豫环攻坚办[2019]25号文相符性</w:t>
            </w:r>
          </w:p>
          <w:tbl>
            <w:tblPr>
              <w:tblStyle w:val="24"/>
              <w:tblW w:w="83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2800"/>
              <w:gridCol w:w="2858"/>
              <w:gridCol w:w="15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20" w:type="dxa"/>
                  <w:tcBorders>
                    <w:tl2br w:val="nil"/>
                    <w:tr2bl w:val="nil"/>
                  </w:tcBorders>
                  <w:vAlign w:val="center"/>
                </w:tcPr>
                <w:p>
                  <w:pPr>
                    <w:jc w:val="center"/>
                    <w:rPr>
                      <w:rFonts w:eastAsiaTheme="minorEastAsia"/>
                      <w:szCs w:val="21"/>
                    </w:rPr>
                  </w:pPr>
                  <w:r>
                    <w:rPr>
                      <w:kern w:val="21"/>
                      <w:szCs w:val="21"/>
                    </w:rPr>
                    <w:t>类别</w:t>
                  </w:r>
                </w:p>
              </w:tc>
              <w:tc>
                <w:tcPr>
                  <w:tcW w:w="2800" w:type="dxa"/>
                  <w:tcBorders>
                    <w:tl2br w:val="nil"/>
                    <w:tr2bl w:val="nil"/>
                  </w:tcBorders>
                  <w:vAlign w:val="center"/>
                </w:tcPr>
                <w:p>
                  <w:pPr>
                    <w:jc w:val="center"/>
                    <w:rPr>
                      <w:rFonts w:eastAsiaTheme="minorEastAsia"/>
                      <w:szCs w:val="21"/>
                    </w:rPr>
                  </w:pPr>
                  <w:r>
                    <w:rPr>
                      <w:rFonts w:hint="eastAsia"/>
                      <w:kern w:val="21"/>
                      <w:szCs w:val="21"/>
                    </w:rPr>
                    <w:t>综合治理要求</w:t>
                  </w:r>
                </w:p>
              </w:tc>
              <w:tc>
                <w:tcPr>
                  <w:tcW w:w="2858" w:type="dxa"/>
                  <w:tcBorders>
                    <w:tl2br w:val="nil"/>
                    <w:tr2bl w:val="nil"/>
                  </w:tcBorders>
                  <w:vAlign w:val="center"/>
                </w:tcPr>
                <w:p>
                  <w:pPr>
                    <w:jc w:val="center"/>
                    <w:rPr>
                      <w:rFonts w:eastAsiaTheme="minorEastAsia"/>
                      <w:szCs w:val="21"/>
                    </w:rPr>
                  </w:pPr>
                  <w:r>
                    <w:rPr>
                      <w:rFonts w:hint="eastAsia"/>
                      <w:kern w:val="21"/>
                      <w:szCs w:val="21"/>
                    </w:rPr>
                    <w:t>项目情况</w:t>
                  </w:r>
                </w:p>
              </w:tc>
              <w:tc>
                <w:tcPr>
                  <w:tcW w:w="1500" w:type="dxa"/>
                  <w:tcBorders>
                    <w:tl2br w:val="nil"/>
                    <w:tr2bl w:val="nil"/>
                  </w:tcBorders>
                  <w:vAlign w:val="center"/>
                </w:tcPr>
                <w:p>
                  <w:pPr>
                    <w:jc w:val="center"/>
                    <w:rPr>
                      <w:rFonts w:eastAsiaTheme="minorEastAsia"/>
                      <w:szCs w:val="21"/>
                    </w:rPr>
                  </w:pPr>
                  <w:r>
                    <w:rPr>
                      <w:rFonts w:hint="eastAsia"/>
                      <w:kern w:val="21"/>
                      <w:szCs w:val="21"/>
                    </w:rPr>
                    <w:t>符合性分析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1220" w:type="dxa"/>
                  <w:tcBorders>
                    <w:tl2br w:val="nil"/>
                    <w:tr2bl w:val="nil"/>
                  </w:tcBorders>
                  <w:vAlign w:val="center"/>
                </w:tcPr>
                <w:p>
                  <w:pPr>
                    <w:jc w:val="center"/>
                    <w:rPr>
                      <w:rFonts w:eastAsiaTheme="minorEastAsia"/>
                      <w:szCs w:val="21"/>
                    </w:rPr>
                  </w:pPr>
                  <w:r>
                    <w:rPr>
                      <w:rFonts w:eastAsiaTheme="minorEastAsia"/>
                      <w:szCs w:val="21"/>
                    </w:rPr>
                    <w:t>挥发性有机物无组织排放控制措施</w:t>
                  </w:r>
                </w:p>
              </w:tc>
              <w:tc>
                <w:tcPr>
                  <w:tcW w:w="2800" w:type="dxa"/>
                  <w:tcBorders>
                    <w:tl2br w:val="nil"/>
                    <w:tr2bl w:val="nil"/>
                  </w:tcBorders>
                  <w:vAlign w:val="center"/>
                </w:tcPr>
                <w:p>
                  <w:pPr>
                    <w:jc w:val="center"/>
                    <w:rPr>
                      <w:rFonts w:eastAsiaTheme="minorEastAsia"/>
                      <w:szCs w:val="21"/>
                    </w:rPr>
                  </w:pPr>
                  <w:r>
                    <w:rPr>
                      <w:rFonts w:eastAsiaTheme="minorEastAsia"/>
                      <w:szCs w:val="21"/>
                    </w:rPr>
                    <w:t>注塑机必须进行全封闭，并保持闭罩内负压，无法封闭的制鞋注塑机可采用顶吸集气罩对废气进行收集，废气经处理装置处理后方可排放。</w:t>
                  </w:r>
                </w:p>
              </w:tc>
              <w:tc>
                <w:tcPr>
                  <w:tcW w:w="2858" w:type="dxa"/>
                  <w:tcBorders>
                    <w:tl2br w:val="nil"/>
                    <w:tr2bl w:val="nil"/>
                  </w:tcBorders>
                  <w:vAlign w:val="center"/>
                </w:tcPr>
                <w:p>
                  <w:pPr>
                    <w:jc w:val="center"/>
                    <w:rPr>
                      <w:rFonts w:eastAsiaTheme="minorEastAsia"/>
                      <w:szCs w:val="21"/>
                    </w:rPr>
                  </w:pPr>
                  <w:r>
                    <w:rPr>
                      <w:rFonts w:hint="eastAsia" w:eastAsiaTheme="minorEastAsia"/>
                      <w:szCs w:val="21"/>
                    </w:rPr>
                    <w:t>本项目</w:t>
                  </w:r>
                  <w:r>
                    <w:rPr>
                      <w:rFonts w:hint="eastAsia" w:eastAsiaTheme="minorEastAsia"/>
                      <w:szCs w:val="21"/>
                      <w:lang w:val="en-US" w:eastAsia="zh-CN"/>
                    </w:rPr>
                    <w:t>塑料挤出</w:t>
                  </w:r>
                  <w:r>
                    <w:rPr>
                      <w:rFonts w:hint="eastAsia" w:eastAsiaTheme="minorEastAsia"/>
                      <w:szCs w:val="21"/>
                    </w:rPr>
                    <w:t>机、</w:t>
                  </w:r>
                  <w:r>
                    <w:rPr>
                      <w:rFonts w:hint="eastAsia" w:eastAsiaTheme="minorEastAsia"/>
                      <w:szCs w:val="21"/>
                      <w:lang w:val="en-US" w:eastAsia="zh-CN"/>
                    </w:rPr>
                    <w:t>注</w:t>
                  </w:r>
                  <w:r>
                    <w:rPr>
                      <w:rFonts w:hint="eastAsia" w:eastAsiaTheme="minorEastAsia"/>
                      <w:szCs w:val="21"/>
                    </w:rPr>
                    <w:t>塑机产生的废气经集气罩收集后，通过UV光催化氧化设备+活性炭吸附装置组合工艺处理，经15米高排气筒排放</w:t>
                  </w:r>
                </w:p>
              </w:tc>
              <w:tc>
                <w:tcPr>
                  <w:tcW w:w="1500" w:type="dxa"/>
                  <w:tcBorders>
                    <w:tl2br w:val="nil"/>
                    <w:tr2bl w:val="nil"/>
                  </w:tcBorders>
                  <w:vAlign w:val="center"/>
                </w:tcPr>
                <w:p>
                  <w:pPr>
                    <w:jc w:val="center"/>
                    <w:rPr>
                      <w:rFonts w:eastAsiaTheme="minorEastAsia"/>
                      <w:szCs w:val="21"/>
                    </w:rPr>
                  </w:pPr>
                  <w:r>
                    <w:rPr>
                      <w:rFonts w:hint="eastAsia" w:eastAsiaTheme="minorEastAsia"/>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1220" w:type="dxa"/>
                  <w:tcBorders>
                    <w:tl2br w:val="nil"/>
                    <w:tr2bl w:val="nil"/>
                  </w:tcBorders>
                  <w:vAlign w:val="center"/>
                </w:tcPr>
                <w:p>
                  <w:pPr>
                    <w:jc w:val="center"/>
                    <w:rPr>
                      <w:rFonts w:eastAsiaTheme="minorEastAsia"/>
                      <w:szCs w:val="21"/>
                    </w:rPr>
                  </w:pPr>
                  <w:r>
                    <w:rPr>
                      <w:rFonts w:hint="eastAsia" w:eastAsiaTheme="minorEastAsia"/>
                      <w:szCs w:val="21"/>
                    </w:rPr>
                    <w:t>开展VOCs排放监控</w:t>
                  </w:r>
                </w:p>
              </w:tc>
              <w:tc>
                <w:tcPr>
                  <w:tcW w:w="2800" w:type="dxa"/>
                  <w:tcBorders>
                    <w:tl2br w:val="nil"/>
                    <w:tr2bl w:val="nil"/>
                  </w:tcBorders>
                  <w:vAlign w:val="center"/>
                </w:tcPr>
                <w:p>
                  <w:pPr>
                    <w:jc w:val="center"/>
                    <w:rPr>
                      <w:rFonts w:eastAsiaTheme="minorEastAsia"/>
                      <w:szCs w:val="21"/>
                    </w:rPr>
                  </w:pPr>
                  <w:r>
                    <w:rPr>
                      <w:rFonts w:hint="eastAsia" w:eastAsiaTheme="minorEastAsia"/>
                      <w:szCs w:val="21"/>
                    </w:rPr>
                    <w:t>构建工业企业VOCs排放监控体系，根据《固定污染源废气非甲烷总烃连续监测系统技术要求及检测方法（HJ 1013-2018）》（HJ 1013-2018），制定VOCs在线监控设备安装、运行、比对及联网技术规范</w:t>
                  </w:r>
                </w:p>
              </w:tc>
              <w:tc>
                <w:tcPr>
                  <w:tcW w:w="2858" w:type="dxa"/>
                  <w:tcBorders>
                    <w:tl2br w:val="nil"/>
                    <w:tr2bl w:val="nil"/>
                  </w:tcBorders>
                  <w:vAlign w:val="center"/>
                </w:tcPr>
                <w:p>
                  <w:pPr>
                    <w:jc w:val="center"/>
                    <w:rPr>
                      <w:rFonts w:eastAsiaTheme="minorEastAsia"/>
                      <w:szCs w:val="21"/>
                    </w:rPr>
                  </w:pPr>
                  <w:r>
                    <w:rPr>
                      <w:rFonts w:hint="eastAsia" w:eastAsiaTheme="minorEastAsia"/>
                      <w:szCs w:val="21"/>
                    </w:rPr>
                    <w:t>本项目在VOCs排放口设置在线监控设备</w:t>
                  </w:r>
                </w:p>
              </w:tc>
              <w:tc>
                <w:tcPr>
                  <w:tcW w:w="1500" w:type="dxa"/>
                  <w:tcBorders>
                    <w:tl2br w:val="nil"/>
                    <w:tr2bl w:val="nil"/>
                  </w:tcBorders>
                  <w:vAlign w:val="center"/>
                </w:tcPr>
                <w:p>
                  <w:pPr>
                    <w:jc w:val="center"/>
                    <w:rPr>
                      <w:rFonts w:eastAsiaTheme="minorEastAsia"/>
                      <w:szCs w:val="21"/>
                    </w:rPr>
                  </w:pPr>
                  <w:r>
                    <w:rPr>
                      <w:rFonts w:hint="eastAsia" w:eastAsiaTheme="minorEastAsia"/>
                      <w:szCs w:val="21"/>
                    </w:rPr>
                    <w:t>相符</w:t>
                  </w:r>
                </w:p>
              </w:tc>
            </w:tr>
          </w:tbl>
          <w:p>
            <w:pPr>
              <w:numPr>
                <w:ilvl w:val="0"/>
                <w:numId w:val="0"/>
              </w:numPr>
              <w:adjustRightInd w:val="0"/>
              <w:snapToGrid w:val="0"/>
              <w:spacing w:before="156" w:beforeLines="50" w:line="360" w:lineRule="auto"/>
              <w:rPr>
                <w:rFonts w:hint="eastAsia" w:eastAsiaTheme="minorEastAsia"/>
                <w:sz w:val="24"/>
              </w:rPr>
            </w:pPr>
            <w:r>
              <w:rPr>
                <w:rFonts w:hint="eastAsia" w:eastAsiaTheme="minorEastAsia"/>
                <w:sz w:val="24"/>
              </w:rPr>
              <w:t>本项目符合豫环攻坚办[2019]25号文中相关要求。</w:t>
            </w:r>
          </w:p>
          <w:p>
            <w:pPr>
              <w:numPr>
                <w:ilvl w:val="0"/>
                <w:numId w:val="0"/>
              </w:numPr>
              <w:adjustRightInd w:val="0"/>
              <w:snapToGrid w:val="0"/>
              <w:spacing w:before="156" w:beforeLines="50" w:line="360" w:lineRule="auto"/>
              <w:rPr>
                <w:rFonts w:hint="eastAsia" w:asciiTheme="minorEastAsia" w:hAnsiTheme="minorEastAsia" w:eastAsiaTheme="minorEastAsia" w:cstheme="minorEastAsia"/>
                <w:b/>
                <w:bCs/>
                <w:sz w:val="24"/>
                <w:lang w:val="en-US" w:eastAsia="zh-CN"/>
              </w:rPr>
            </w:pPr>
            <w:r>
              <w:rPr>
                <w:rFonts w:hint="default" w:ascii="Times New Roman" w:hAnsi="Times New Roman" w:cs="Times New Roman" w:eastAsiaTheme="minorEastAsia"/>
                <w:b/>
                <w:bCs/>
                <w:sz w:val="24"/>
                <w:lang w:val="en-US" w:eastAsia="zh-CN"/>
              </w:rPr>
              <w:t>9</w:t>
            </w:r>
            <w:r>
              <w:rPr>
                <w:b/>
                <w:bCs/>
                <w:sz w:val="24"/>
              </w:rPr>
              <w:t>、</w:t>
            </w:r>
            <w:r>
              <w:rPr>
                <w:rFonts w:hint="eastAsia" w:asciiTheme="minorEastAsia" w:hAnsiTheme="minorEastAsia" w:eastAsiaTheme="minorEastAsia" w:cstheme="minorEastAsia"/>
                <w:b/>
                <w:bCs/>
                <w:sz w:val="24"/>
                <w:lang w:val="en-US" w:eastAsia="zh-CN"/>
              </w:rPr>
              <w:t>与河南省</w:t>
            </w:r>
            <w:r>
              <w:rPr>
                <w:rFonts w:hint="default" w:ascii="Times New Roman" w:hAnsi="Times New Roman" w:cs="Times New Roman" w:eastAsiaTheme="minorEastAsia"/>
                <w:b/>
                <w:bCs/>
                <w:sz w:val="24"/>
                <w:lang w:val="en-US" w:eastAsia="zh-CN"/>
              </w:rPr>
              <w:t>2019</w:t>
            </w:r>
            <w:r>
              <w:rPr>
                <w:rFonts w:hint="eastAsia" w:asciiTheme="minorEastAsia" w:hAnsiTheme="minorEastAsia" w:eastAsiaTheme="minorEastAsia" w:cstheme="minorEastAsia"/>
                <w:b/>
                <w:bCs/>
                <w:sz w:val="24"/>
                <w:lang w:val="en-US" w:eastAsia="zh-CN"/>
              </w:rPr>
              <w:t>年挥发性有机物治理方案对比分析</w:t>
            </w:r>
          </w:p>
          <w:p>
            <w:pPr>
              <w:bidi w:val="0"/>
              <w:jc w:val="center"/>
              <w:rPr>
                <w:rFonts w:hint="default"/>
                <w:lang w:val="en-US" w:eastAsia="zh-CN"/>
              </w:rPr>
            </w:pPr>
            <w:r>
              <w:rPr>
                <w:rFonts w:hint="eastAsia" w:ascii="黑体" w:hAnsi="黑体" w:eastAsia="黑体" w:cs="黑体"/>
                <w:b w:val="0"/>
                <w:bCs w:val="0"/>
                <w:sz w:val="24"/>
                <w:szCs w:val="24"/>
                <w:lang w:val="en-US" w:eastAsia="zh-CN"/>
              </w:rPr>
              <w:t>表</w:t>
            </w:r>
            <w:r>
              <w:rPr>
                <w:rFonts w:hint="eastAsia"/>
                <w:b w:val="0"/>
                <w:bCs w:val="0"/>
                <w:sz w:val="24"/>
                <w:szCs w:val="24"/>
                <w:lang w:val="en-US" w:eastAsia="zh-CN"/>
              </w:rPr>
              <w:t xml:space="preserve">15 </w:t>
            </w:r>
            <w:r>
              <w:rPr>
                <w:rFonts w:hint="eastAsia" w:ascii="黑体" w:hAnsi="黑体" w:eastAsia="黑体" w:cs="黑体"/>
                <w:b w:val="0"/>
                <w:bCs w:val="0"/>
                <w:sz w:val="24"/>
                <w:szCs w:val="24"/>
                <w:lang w:val="en-US" w:eastAsia="zh-CN"/>
              </w:rPr>
              <w:t>与河南省</w:t>
            </w:r>
            <w:r>
              <w:rPr>
                <w:rFonts w:hint="default" w:ascii="Times New Roman" w:hAnsi="Times New Roman" w:eastAsia="黑体" w:cs="Times New Roman"/>
                <w:b w:val="0"/>
                <w:bCs w:val="0"/>
                <w:sz w:val="24"/>
                <w:szCs w:val="24"/>
                <w:lang w:val="en-US" w:eastAsia="zh-CN"/>
              </w:rPr>
              <w:t>2019</w:t>
            </w:r>
            <w:r>
              <w:rPr>
                <w:rFonts w:hint="eastAsia" w:ascii="黑体" w:hAnsi="黑体" w:eastAsia="黑体" w:cs="黑体"/>
                <w:b w:val="0"/>
                <w:bCs w:val="0"/>
                <w:sz w:val="24"/>
                <w:szCs w:val="24"/>
                <w:lang w:val="en-US" w:eastAsia="zh-CN"/>
              </w:rPr>
              <w:t>年挥发性有机物治理方案对比分析</w:t>
            </w:r>
          </w:p>
          <w:tbl>
            <w:tblPr>
              <w:tblStyle w:val="24"/>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5"/>
              <w:gridCol w:w="5101"/>
              <w:gridCol w:w="473"/>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2105" w:type="dxa"/>
                  <w:vAlign w:val="center"/>
                </w:tcPr>
                <w:p>
                  <w:pPr>
                    <w:adjustRightInd w:val="0"/>
                    <w:snapToGrid w:val="0"/>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kern w:val="21"/>
                      <w:szCs w:val="21"/>
                    </w:rPr>
                    <w:t>类别</w:t>
                  </w:r>
                </w:p>
              </w:tc>
              <w:tc>
                <w:tcPr>
                  <w:tcW w:w="5101" w:type="dxa"/>
                  <w:vAlign w:val="center"/>
                </w:tcPr>
                <w:p>
                  <w:pPr>
                    <w:adjustRightInd w:val="0"/>
                    <w:snapToGrid w:val="0"/>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kern w:val="21"/>
                      <w:szCs w:val="21"/>
                    </w:rPr>
                    <w:t>综合治理要求</w:t>
                  </w:r>
                </w:p>
              </w:tc>
              <w:tc>
                <w:tcPr>
                  <w:tcW w:w="473" w:type="dxa"/>
                  <w:vAlign w:val="center"/>
                </w:tcPr>
                <w:p>
                  <w:pPr>
                    <w:adjustRightInd w:val="0"/>
                    <w:snapToGrid w:val="0"/>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kern w:val="21"/>
                      <w:szCs w:val="21"/>
                    </w:rPr>
                    <w:t>项目情况</w:t>
                  </w:r>
                </w:p>
              </w:tc>
              <w:tc>
                <w:tcPr>
                  <w:tcW w:w="741" w:type="dxa"/>
                  <w:vAlign w:val="center"/>
                </w:tcPr>
                <w:p>
                  <w:pPr>
                    <w:adjustRightInd w:val="0"/>
                    <w:snapToGrid w:val="0"/>
                    <w:jc w:val="cente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kern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jc w:val="center"/>
              </w:trPr>
              <w:tc>
                <w:tcPr>
                  <w:tcW w:w="2105"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rPr>
                    <w:t>推进石油炼制、石油化学行业全面达标排放治理。</w:t>
                  </w:r>
                </w:p>
              </w:tc>
              <w:tc>
                <w:tcPr>
                  <w:tcW w:w="5101"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rPr>
                    <w:t>强化源头控制，严格过程管理，推广采用先进的干燥、固液分离及真空设备，以连续、自动、密闭生产工艺替代间歇式、敞开式生产工艺，并采取停工退料等措施，加强非正常工况的过程控制。深化末端治理，在涉及</w:t>
                  </w:r>
                  <w:r>
                    <w:rPr>
                      <w:rFonts w:hint="default" w:ascii="Times New Roman" w:hAnsi="Times New Roman" w:cs="Times New Roman" w:eastAsiaTheme="minorEastAsia"/>
                      <w:b w:val="0"/>
                      <w:i w:val="0"/>
                      <w:caps w:val="0"/>
                      <w:color w:val="333333"/>
                      <w:spacing w:val="0"/>
                      <w:sz w:val="21"/>
                      <w:szCs w:val="21"/>
                      <w:shd w:val="clear" w:fill="FFFFFF"/>
                    </w:rPr>
                    <w:t>VOCs</w:t>
                  </w:r>
                  <w:r>
                    <w:rPr>
                      <w:rFonts w:hint="eastAsia" w:asciiTheme="minorEastAsia" w:hAnsiTheme="minorEastAsia" w:eastAsiaTheme="minorEastAsia" w:cstheme="minorEastAsia"/>
                      <w:b w:val="0"/>
                      <w:i w:val="0"/>
                      <w:caps w:val="0"/>
                      <w:color w:val="333333"/>
                      <w:spacing w:val="0"/>
                      <w:sz w:val="21"/>
                      <w:szCs w:val="21"/>
                      <w:shd w:val="clear" w:fill="FFFFFF"/>
                    </w:rPr>
                    <w:t>排放环节安装集气罩或密闭式负压收集装置，采取回收或焚烧等方式进行治理。参照石化行业</w:t>
                  </w:r>
                  <w:r>
                    <w:rPr>
                      <w:rFonts w:hint="default" w:ascii="Times New Roman" w:hAnsi="Times New Roman" w:cs="Times New Roman" w:eastAsiaTheme="minorEastAsia"/>
                      <w:b w:val="0"/>
                      <w:i w:val="0"/>
                      <w:caps w:val="0"/>
                      <w:color w:val="333333"/>
                      <w:spacing w:val="0"/>
                      <w:sz w:val="21"/>
                      <w:szCs w:val="21"/>
                      <w:shd w:val="clear" w:fill="FFFFFF"/>
                    </w:rPr>
                    <w:t>VOCs</w:t>
                  </w:r>
                  <w:r>
                    <w:rPr>
                      <w:rFonts w:hint="eastAsia" w:asciiTheme="minorEastAsia" w:hAnsiTheme="minorEastAsia" w:eastAsiaTheme="minorEastAsia" w:cstheme="minorEastAsia"/>
                      <w:b w:val="0"/>
                      <w:i w:val="0"/>
                      <w:caps w:val="0"/>
                      <w:color w:val="333333"/>
                      <w:spacing w:val="0"/>
                      <w:sz w:val="21"/>
                      <w:szCs w:val="21"/>
                      <w:shd w:val="clear" w:fill="FFFFFF"/>
                    </w:rPr>
                    <w:t>治理要求，全面推进化工企业设备动静密封点、储存、装卸、废水系统、有组织工艺废气和非正常工况等源项整治。</w:t>
                  </w:r>
                </w:p>
              </w:tc>
              <w:tc>
                <w:tcPr>
                  <w:tcW w:w="473"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不属于</w:t>
                  </w:r>
                </w:p>
              </w:tc>
              <w:tc>
                <w:tcPr>
                  <w:tcW w:w="741"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jc w:val="center"/>
              </w:trPr>
              <w:tc>
                <w:tcPr>
                  <w:tcW w:w="2105"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rPr>
                    <w:t>推进化工、医药行业综合治理</w:t>
                  </w:r>
                </w:p>
              </w:tc>
              <w:tc>
                <w:tcPr>
                  <w:tcW w:w="5101"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rPr>
                    <w:t>强化源头控制，严格过程管理，推广采用先进的干燥、固液分离及真空设备，以连续、自动、密闭生产工艺替代间歇式、敞开式生产工艺，并采取停工退料等措施，加强非正常工况的过程控制。深化末端治理，在涉及</w:t>
                  </w:r>
                  <w:r>
                    <w:rPr>
                      <w:rFonts w:hint="default" w:ascii="Times New Roman" w:hAnsi="Times New Roman" w:cs="Times New Roman" w:eastAsiaTheme="minorEastAsia"/>
                      <w:b w:val="0"/>
                      <w:i w:val="0"/>
                      <w:caps w:val="0"/>
                      <w:color w:val="333333"/>
                      <w:spacing w:val="0"/>
                      <w:sz w:val="21"/>
                      <w:szCs w:val="21"/>
                      <w:shd w:val="clear" w:fill="FFFFFF"/>
                    </w:rPr>
                    <w:t>VOCs</w:t>
                  </w:r>
                  <w:r>
                    <w:rPr>
                      <w:rFonts w:hint="eastAsia" w:asciiTheme="minorEastAsia" w:hAnsiTheme="minorEastAsia" w:eastAsiaTheme="minorEastAsia" w:cstheme="minorEastAsia"/>
                      <w:b w:val="0"/>
                      <w:i w:val="0"/>
                      <w:caps w:val="0"/>
                      <w:color w:val="333333"/>
                      <w:spacing w:val="0"/>
                      <w:sz w:val="21"/>
                      <w:szCs w:val="21"/>
                      <w:shd w:val="clear" w:fill="FFFFFF"/>
                    </w:rPr>
                    <w:t>排放环节安装集气罩或密闭式负压收集装置，采取回收或焚烧等方式进行治理。参照石化行业</w:t>
                  </w:r>
                  <w:r>
                    <w:rPr>
                      <w:rFonts w:hint="default" w:ascii="Times New Roman" w:hAnsi="Times New Roman" w:cs="Times New Roman" w:eastAsiaTheme="minorEastAsia"/>
                      <w:b w:val="0"/>
                      <w:i w:val="0"/>
                      <w:caps w:val="0"/>
                      <w:color w:val="333333"/>
                      <w:spacing w:val="0"/>
                      <w:sz w:val="21"/>
                      <w:szCs w:val="21"/>
                      <w:shd w:val="clear" w:fill="FFFFFF"/>
                    </w:rPr>
                    <w:t>VOCs</w:t>
                  </w:r>
                  <w:r>
                    <w:rPr>
                      <w:rFonts w:hint="eastAsia" w:asciiTheme="minorEastAsia" w:hAnsiTheme="minorEastAsia" w:eastAsiaTheme="minorEastAsia" w:cstheme="minorEastAsia"/>
                      <w:b w:val="0"/>
                      <w:i w:val="0"/>
                      <w:caps w:val="0"/>
                      <w:color w:val="333333"/>
                      <w:spacing w:val="0"/>
                      <w:sz w:val="21"/>
                      <w:szCs w:val="21"/>
                      <w:shd w:val="clear" w:fill="FFFFFF"/>
                    </w:rPr>
                    <w:t>治理要求，全面推进化工企业设备动静密封点、储存、装卸、废水系统、有组织工艺废气和非正常工况等源项整治。</w:t>
                  </w:r>
                </w:p>
              </w:tc>
              <w:tc>
                <w:tcPr>
                  <w:tcW w:w="473"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属于</w:t>
                  </w:r>
                </w:p>
              </w:tc>
              <w:tc>
                <w:tcPr>
                  <w:tcW w:w="741"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jc w:val="center"/>
              </w:trPr>
              <w:tc>
                <w:tcPr>
                  <w:tcW w:w="2105"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rPr>
                    <w:t>推进印刷行业综合整治</w:t>
                  </w:r>
                </w:p>
              </w:tc>
              <w:tc>
                <w:tcPr>
                  <w:tcW w:w="5101" w:type="dxa"/>
                </w:tcPr>
                <w:p>
                  <w:pPr>
                    <w:bidi w:val="0"/>
                    <w:rPr>
                      <w:rFonts w:hint="eastAsia" w:asciiTheme="minorEastAsia" w:hAnsiTheme="minorEastAsia" w:eastAsiaTheme="minorEastAsia" w:cstheme="minorEastAsia"/>
                      <w:vertAlign w:val="baseline"/>
                      <w:lang w:val="en-US" w:eastAsia="zh-CN"/>
                    </w:rPr>
                  </w:pPr>
                  <w:r>
                    <w:rPr>
                      <w:rFonts w:hint="default" w:ascii="Times New Roman" w:hAnsi="Times New Roman" w:cs="Times New Roman" w:eastAsiaTheme="minorEastAsia"/>
                      <w:b w:val="0"/>
                      <w:i w:val="0"/>
                      <w:caps w:val="0"/>
                      <w:color w:val="333333"/>
                      <w:spacing w:val="0"/>
                      <w:sz w:val="21"/>
                      <w:szCs w:val="21"/>
                      <w:shd w:val="clear" w:fill="FFFFFF"/>
                    </w:rPr>
                    <w:t>推广使用柔版印刷、胶版印刷等低排放印刷方式。对油墨、胶黏剂等有机原辅材料调配和使用等环节，要采取车间环境负压改造、安装高效集气装置等措施，加强废气收集，有机废气收集率达到70%以上，在烘干环节，采取循环风烘干技术，减少废气排放，收集的废气要采取回收、焚烧等末端治理措施进行净化处理，确保稳定达标排放，低浓度有机废气或恶臭气体采用低温等离子体技术、UV光催化氧化技术、活性炭吸附技术等两种或两种以上组合工艺，禁止使用单一吸附、催化氧化等处理技术</w:t>
                  </w:r>
                  <w:r>
                    <w:rPr>
                      <w:rFonts w:hint="eastAsia" w:asciiTheme="minorEastAsia" w:hAnsiTheme="minorEastAsia" w:eastAsiaTheme="minorEastAsia" w:cstheme="minorEastAsia"/>
                      <w:b w:val="0"/>
                      <w:i w:val="0"/>
                      <w:caps w:val="0"/>
                      <w:color w:val="333333"/>
                      <w:spacing w:val="0"/>
                      <w:sz w:val="21"/>
                      <w:szCs w:val="21"/>
                      <w:shd w:val="clear" w:fill="FFFFFF"/>
                    </w:rPr>
                    <w:t>。</w:t>
                  </w:r>
                </w:p>
              </w:tc>
              <w:tc>
                <w:tcPr>
                  <w:tcW w:w="473"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不属于</w:t>
                  </w:r>
                </w:p>
              </w:tc>
              <w:tc>
                <w:tcPr>
                  <w:tcW w:w="741"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jc w:val="center"/>
              </w:trPr>
              <w:tc>
                <w:tcPr>
                  <w:tcW w:w="2105"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rPr>
                    <w:t>推进工业涂装整治升级</w:t>
                  </w:r>
                </w:p>
              </w:tc>
              <w:tc>
                <w:tcPr>
                  <w:tcW w:w="5101" w:type="dxa"/>
                </w:tcPr>
                <w:p>
                  <w:pPr>
                    <w:bidi w:val="0"/>
                    <w:rPr>
                      <w:rFonts w:hint="eastAsia" w:asciiTheme="minorEastAsia" w:hAnsiTheme="minorEastAsia" w:eastAsiaTheme="minorEastAsia" w:cstheme="minorEastAsia"/>
                      <w:vertAlign w:val="baseline"/>
                      <w:lang w:val="en-US" w:eastAsia="zh-CN"/>
                    </w:rPr>
                  </w:pPr>
                  <w:r>
                    <w:rPr>
                      <w:rFonts w:hint="default" w:ascii="Times New Roman" w:hAnsi="Times New Roman" w:cs="Times New Roman" w:eastAsiaTheme="minorEastAsia"/>
                      <w:b w:val="0"/>
                      <w:i w:val="0"/>
                      <w:caps w:val="0"/>
                      <w:color w:val="333333"/>
                      <w:spacing w:val="0"/>
                      <w:sz w:val="21"/>
                      <w:szCs w:val="21"/>
                      <w:shd w:val="clear" w:fill="FFFFFF"/>
                    </w:rPr>
                    <w:t>推广使用柔版印刷、胶版印刷等低排放印刷方式。对油墨、胶黏剂等有机原辅材料调配和使用等环节，要采取车间环境负压改造、安装高效集气装置等措施，加强废气收集，有机废气收集率达到70%以上，在烘干环节，采取循环风烘干技术，减少废气排放，收集的废气要采取回收、焚烧等末端治理措施进行净化处理，确保稳定达标排放，低浓度有机废气或恶臭气体采用低温等离子体技术、UV光催化氧化技术、活性炭吸附技术等两种或两种以上组合工艺，禁止使用单一吸附、催化氧化等处理技术。</w:t>
                  </w:r>
                </w:p>
              </w:tc>
              <w:tc>
                <w:tcPr>
                  <w:tcW w:w="473"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不属于</w:t>
                  </w:r>
                </w:p>
              </w:tc>
              <w:tc>
                <w:tcPr>
                  <w:tcW w:w="741"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jc w:val="center"/>
              </w:trPr>
              <w:tc>
                <w:tcPr>
                  <w:tcW w:w="2105"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rPr>
                    <w:t>推进工业涂装整治升级</w:t>
                  </w:r>
                </w:p>
              </w:tc>
              <w:tc>
                <w:tcPr>
                  <w:tcW w:w="5101" w:type="dxa"/>
                </w:tcPr>
                <w:p>
                  <w:pPr>
                    <w:bidi w:val="0"/>
                    <w:rPr>
                      <w:rFonts w:hint="eastAsia" w:asciiTheme="minorEastAsia" w:hAnsiTheme="minorEastAsia" w:eastAsiaTheme="minorEastAsia" w:cstheme="minorEastAsia"/>
                      <w:vertAlign w:val="baseline"/>
                      <w:lang w:val="en-US" w:eastAsia="zh-CN"/>
                    </w:rPr>
                  </w:pPr>
                  <w:r>
                    <w:rPr>
                      <w:rFonts w:hint="default" w:ascii="Times New Roman" w:hAnsi="Times New Roman" w:cs="Times New Roman" w:eastAsiaTheme="minorEastAsia"/>
                      <w:b w:val="0"/>
                      <w:i w:val="0"/>
                      <w:caps w:val="0"/>
                      <w:color w:val="333333"/>
                      <w:spacing w:val="0"/>
                      <w:sz w:val="21"/>
                      <w:szCs w:val="21"/>
                      <w:shd w:val="clear" w:fill="FFFFFF"/>
                    </w:rPr>
                    <w:t>推广采用静电喷涂等高涂着效率的涂装工艺，喷漆、流平和烘干等工艺操作应置于喷烤漆房内，使用溶剂型涂料的喷枪应密闭清洗，产生的VOCs废气集中收集并导入治理设施，实现达标排放，低浓度有机废气或恶臭气体采用低温等离子体技术、UV光催化氧化技术、活性炭吸附技术等两种或两种以上组合工艺，禁止使用单一吸附、催化氧化等处理技术。</w:t>
                  </w:r>
                </w:p>
              </w:tc>
              <w:tc>
                <w:tcPr>
                  <w:tcW w:w="473"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不属于</w:t>
                  </w:r>
                </w:p>
              </w:tc>
              <w:tc>
                <w:tcPr>
                  <w:tcW w:w="741" w:type="dxa"/>
                </w:tcPr>
                <w:p>
                  <w:pPr>
                    <w:bidi w:val="0"/>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相符</w:t>
                  </w:r>
                </w:p>
              </w:tc>
            </w:tr>
          </w:tbl>
          <w:p>
            <w:pPr>
              <w:bidi w:val="0"/>
              <w:rPr>
                <w:rFonts w:hint="eastAsia"/>
                <w:lang w:val="en-US" w:eastAsia="zh-CN"/>
              </w:rPr>
            </w:pPr>
          </w:p>
          <w:p>
            <w:pPr>
              <w:spacing w:line="360" w:lineRule="auto"/>
              <w:ind w:firstLine="480" w:firstLineChars="200"/>
              <w:rPr>
                <w:rFonts w:eastAsia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5" w:hRule="atLeast"/>
          <w:jc w:val="center"/>
        </w:trPr>
        <w:tc>
          <w:tcPr>
            <w:tcW w:w="9216" w:type="dxa"/>
            <w:gridSpan w:val="9"/>
            <w:tcBorders>
              <w:top w:val="single" w:color="auto" w:sz="12" w:space="0"/>
            </w:tcBorders>
          </w:tcPr>
          <w:p>
            <w:pPr>
              <w:adjustRightInd w:val="0"/>
              <w:snapToGrid w:val="0"/>
              <w:spacing w:before="156" w:beforeLines="50" w:line="360" w:lineRule="auto"/>
              <w:rPr>
                <w:sz w:val="24"/>
              </w:rPr>
            </w:pPr>
            <w:r>
              <w:rPr>
                <w:sz w:val="24"/>
              </w:rPr>
              <w:t>与本项目有关的原有污染情况及主要环境问题：</w:t>
            </w:r>
          </w:p>
          <w:p>
            <w:pPr>
              <w:widowControl/>
              <w:adjustRightInd w:val="0"/>
              <w:snapToGrid w:val="0"/>
              <w:spacing w:line="360" w:lineRule="auto"/>
              <w:ind w:firstLine="480"/>
              <w:jc w:val="left"/>
              <w:rPr>
                <w:sz w:val="24"/>
              </w:rPr>
            </w:pPr>
            <w:r>
              <w:rPr>
                <w:rFonts w:hint="eastAsia"/>
                <w:sz w:val="24"/>
              </w:rPr>
              <w:t>本项目利用现有厂房建设，属于新建项目</w:t>
            </w:r>
            <w:r>
              <w:rPr>
                <w:sz w:val="24"/>
              </w:rPr>
              <w:t>，不存在与本项目有关的原有污染物情况及主要环境问题。</w:t>
            </w:r>
          </w:p>
          <w:p>
            <w:pPr>
              <w:widowControl/>
              <w:adjustRightInd w:val="0"/>
              <w:snapToGrid w:val="0"/>
              <w:spacing w:line="360" w:lineRule="auto"/>
              <w:jc w:val="left"/>
            </w:pPr>
          </w:p>
          <w:p>
            <w:pPr>
              <w:pStyle w:val="9"/>
            </w:pPr>
          </w:p>
        </w:tc>
      </w:tr>
    </w:tbl>
    <w:p>
      <w:pPr>
        <w:adjustRightInd w:val="0"/>
        <w:snapToGrid w:val="0"/>
        <w:spacing w:line="360" w:lineRule="auto"/>
        <w:rPr>
          <w:rFonts w:ascii="宋体" w:hAnsi="宋体" w:cs="宋体"/>
          <w:b/>
          <w:sz w:val="10"/>
          <w:szCs w:val="10"/>
        </w:rPr>
        <w:sectPr>
          <w:footerReference r:id="rId3" w:type="default"/>
          <w:pgSz w:w="11906" w:h="16838"/>
          <w:pgMar w:top="1440" w:right="1800" w:bottom="1440" w:left="1800" w:header="851" w:footer="992" w:gutter="0"/>
          <w:pgNumType w:start="1"/>
          <w:cols w:space="720" w:num="1"/>
          <w:docGrid w:type="lines" w:linePitch="312" w:charSpace="0"/>
        </w:sectPr>
      </w:pPr>
    </w:p>
    <w:p>
      <w:pPr>
        <w:adjustRightInd w:val="0"/>
        <w:snapToGrid w:val="0"/>
        <w:rPr>
          <w:rFonts w:ascii="宋体" w:hAnsi="宋体" w:cs="宋体"/>
          <w:b/>
          <w:sz w:val="28"/>
          <w:szCs w:val="28"/>
        </w:rPr>
      </w:pPr>
      <w:r>
        <w:rPr>
          <w:rFonts w:hint="eastAsia" w:ascii="宋体" w:hAnsi="宋体" w:cs="宋体"/>
          <w:b/>
          <w:sz w:val="28"/>
          <w:szCs w:val="28"/>
        </w:rPr>
        <w:t>建设项目所在地自然环境简况</w:t>
      </w:r>
    </w:p>
    <w:tbl>
      <w:tblPr>
        <w:tblStyle w:val="23"/>
        <w:tblW w:w="9071" w:type="dxa"/>
        <w:jc w:val="center"/>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91" w:hRule="atLeast"/>
          <w:jc w:val="center"/>
        </w:trPr>
        <w:tc>
          <w:tcPr>
            <w:tcW w:w="9071" w:type="dxa"/>
          </w:tcPr>
          <w:p>
            <w:pPr>
              <w:tabs>
                <w:tab w:val="left" w:pos="1440"/>
              </w:tabs>
              <w:adjustRightInd w:val="0"/>
              <w:snapToGrid w:val="0"/>
              <w:spacing w:line="360" w:lineRule="auto"/>
              <w:rPr>
                <w:b/>
                <w:bCs/>
                <w:sz w:val="24"/>
              </w:rPr>
            </w:pPr>
            <w:r>
              <w:rPr>
                <w:b/>
                <w:bCs/>
                <w:sz w:val="24"/>
              </w:rPr>
              <w:t>自然环境简况（地形、地貌、地质、气候、气象、水文、植被、生物多样性等）</w:t>
            </w:r>
          </w:p>
          <w:p>
            <w:pPr>
              <w:adjustRightInd w:val="0"/>
              <w:snapToGrid w:val="0"/>
              <w:spacing w:line="360" w:lineRule="auto"/>
              <w:ind w:firstLine="480" w:firstLineChars="200"/>
              <w:rPr>
                <w:rFonts w:hAnsi="宋体"/>
                <w:sz w:val="24"/>
              </w:rPr>
            </w:pPr>
            <w:r>
              <w:rPr>
                <w:rFonts w:hint="eastAsia" w:hAnsi="宋体"/>
                <w:sz w:val="24"/>
              </w:rPr>
              <w:t>1、地理位置</w:t>
            </w:r>
          </w:p>
          <w:p>
            <w:pPr>
              <w:adjustRightInd w:val="0"/>
              <w:snapToGrid w:val="0"/>
              <w:spacing w:line="360" w:lineRule="auto"/>
              <w:ind w:firstLine="480" w:firstLineChars="200"/>
              <w:rPr>
                <w:rFonts w:hAnsi="宋体"/>
                <w:sz w:val="24"/>
              </w:rPr>
            </w:pPr>
            <w:r>
              <w:rPr>
                <w:rFonts w:hint="eastAsia" w:hAnsi="宋体"/>
                <w:sz w:val="24"/>
              </w:rPr>
              <w:t>新乡市新乡县位于河南省中北部，太行山南麓，卫河上游，属新乡市管辖。地处东经</w:t>
            </w:r>
            <w:r>
              <w:rPr>
                <w:rFonts w:hint="default" w:ascii="Times New Roman" w:hAnsi="Times New Roman" w:cs="Times New Roman"/>
                <w:sz w:val="24"/>
              </w:rPr>
              <w:t>113°42′~114°04′</w:t>
            </w:r>
            <w:r>
              <w:rPr>
                <w:rFonts w:hint="eastAsia" w:hAnsi="宋体"/>
                <w:sz w:val="24"/>
              </w:rPr>
              <w:t>，北纬</w:t>
            </w:r>
            <w:r>
              <w:rPr>
                <w:rFonts w:hint="default" w:ascii="Times New Roman" w:hAnsi="Times New Roman" w:cs="Times New Roman"/>
                <w:sz w:val="24"/>
              </w:rPr>
              <w:t>35°05′~35°24′</w:t>
            </w:r>
            <w:r>
              <w:rPr>
                <w:rFonts w:hint="eastAsia" w:hAnsi="宋体"/>
                <w:sz w:val="24"/>
              </w:rPr>
              <w:t>。东与延津县相连，西毗获嘉县，南接原阳县，全境环绕新乡市市区东、西、南三面，县境东西最大距离为32.7 km，南北最大距离34.5 km，总面积523.6 km</w:t>
            </w:r>
            <w:r>
              <w:rPr>
                <w:rFonts w:hint="eastAsia" w:hAnsi="宋体"/>
                <w:sz w:val="24"/>
                <w:vertAlign w:val="superscript"/>
              </w:rPr>
              <w:t>2</w:t>
            </w:r>
            <w:r>
              <w:rPr>
                <w:rFonts w:hint="eastAsia" w:hAnsi="宋体"/>
                <w:sz w:val="24"/>
              </w:rPr>
              <w:t>。</w:t>
            </w:r>
          </w:p>
          <w:p>
            <w:pPr>
              <w:adjustRightInd w:val="0"/>
              <w:snapToGrid w:val="0"/>
              <w:spacing w:line="360" w:lineRule="auto"/>
              <w:ind w:firstLine="480" w:firstLineChars="200"/>
              <w:rPr>
                <w:rFonts w:hAnsi="宋体"/>
                <w:sz w:val="24"/>
              </w:rPr>
            </w:pPr>
            <w:r>
              <w:rPr>
                <w:rFonts w:hint="eastAsia" w:hAnsi="宋体"/>
                <w:sz w:val="24"/>
              </w:rPr>
              <w:t>2、地形地貌</w:t>
            </w:r>
          </w:p>
          <w:p>
            <w:pPr>
              <w:adjustRightInd w:val="0"/>
              <w:snapToGrid w:val="0"/>
              <w:spacing w:line="360" w:lineRule="auto"/>
              <w:ind w:firstLine="480" w:firstLineChars="200"/>
              <w:rPr>
                <w:rFonts w:hAnsi="宋体"/>
                <w:sz w:val="24"/>
              </w:rPr>
            </w:pPr>
            <w:r>
              <w:rPr>
                <w:rFonts w:hint="eastAsia" w:hAnsi="宋体"/>
                <w:sz w:val="24"/>
              </w:rPr>
              <w:t>新乡县属黄河冲积平原，南部多沙，中部低洼，地形低平，便于引黄灌溉和机械化操作。总的地势是西北高、东南低。自然坡降为1/4000，海拔高度70~80m。根据区域岩土工程勘查报告，项目所在区域所揭露的低层均为第四纪黄河冲积物，土体类型主要为粘性土组。场地土土质均匀，层位稳定，层面坡角平缓，属中软场地土，建筑场地类型为Ⅱ类。根据场地饱和砂土的液化判别结果，场地不存在地震液化土层，地震作用下不会发生震陷。</w:t>
            </w:r>
          </w:p>
          <w:p>
            <w:pPr>
              <w:adjustRightInd w:val="0"/>
              <w:snapToGrid w:val="0"/>
              <w:spacing w:line="360" w:lineRule="auto"/>
              <w:ind w:firstLine="480" w:firstLineChars="200"/>
              <w:rPr>
                <w:rFonts w:hAnsi="宋体"/>
                <w:sz w:val="24"/>
              </w:rPr>
            </w:pPr>
            <w:r>
              <w:rPr>
                <w:rFonts w:hint="eastAsia" w:hAnsi="宋体"/>
                <w:sz w:val="24"/>
              </w:rPr>
              <w:t>3、气候、气象</w:t>
            </w:r>
          </w:p>
          <w:p>
            <w:pPr>
              <w:adjustRightInd w:val="0"/>
              <w:snapToGrid w:val="0"/>
              <w:spacing w:line="360" w:lineRule="auto"/>
              <w:ind w:firstLine="480" w:firstLineChars="200"/>
              <w:rPr>
                <w:rFonts w:hAnsi="宋体"/>
                <w:sz w:val="24"/>
              </w:rPr>
            </w:pPr>
            <w:r>
              <w:rPr>
                <w:rFonts w:hint="eastAsia" w:hAnsi="宋体"/>
                <w:sz w:val="24"/>
              </w:rPr>
              <w:t>该地区属暖温带大陆性季风气候，季节变化明显，春季干燥少雨；夏季炎热高温，降雨集中；秋季天高气爽，气候宜人；冬季寒冷寡照少雨雪。年平均气温14℃，历年极端最低气温-21.3℃</w:t>
            </w:r>
            <w:r>
              <w:rPr>
                <w:rFonts w:hint="eastAsia" w:ascii="宋体" w:hAnsi="宋体" w:cs="宋体"/>
                <w:sz w:val="24"/>
              </w:rPr>
              <w:t>,</w:t>
            </w:r>
            <w:r>
              <w:rPr>
                <w:rFonts w:hint="eastAsia" w:hAnsi="宋体"/>
                <w:sz w:val="24"/>
              </w:rPr>
              <w:t>历年极端最高气温42.7℃</w:t>
            </w:r>
            <w:r>
              <w:rPr>
                <w:rFonts w:hint="eastAsia" w:ascii="宋体" w:hAnsi="宋体" w:cs="宋体"/>
                <w:sz w:val="24"/>
              </w:rPr>
              <w:t>,</w:t>
            </w:r>
            <w:r>
              <w:rPr>
                <w:rFonts w:hint="eastAsia" w:hAnsi="宋体"/>
                <w:sz w:val="24"/>
              </w:rPr>
              <w:t>年均降雨量为617.8mm。常年主导风向为东北风，次主导风向为西南风，历年平均风速为2.4m/s。</w:t>
            </w:r>
          </w:p>
          <w:p>
            <w:pPr>
              <w:adjustRightInd w:val="0"/>
              <w:snapToGrid w:val="0"/>
              <w:spacing w:line="360" w:lineRule="auto"/>
              <w:ind w:firstLine="480" w:firstLineChars="200"/>
              <w:rPr>
                <w:rFonts w:hAnsi="宋体"/>
                <w:sz w:val="24"/>
              </w:rPr>
            </w:pPr>
            <w:r>
              <w:rPr>
                <w:rFonts w:hint="eastAsia" w:hAnsi="宋体"/>
                <w:sz w:val="24"/>
              </w:rPr>
              <w:t>4、河流水系</w:t>
            </w:r>
          </w:p>
          <w:p>
            <w:pPr>
              <w:adjustRightInd w:val="0"/>
              <w:snapToGrid w:val="0"/>
              <w:spacing w:line="360" w:lineRule="auto"/>
              <w:ind w:firstLine="480" w:firstLineChars="200"/>
              <w:rPr>
                <w:rFonts w:hAnsi="宋体"/>
                <w:sz w:val="24"/>
              </w:rPr>
            </w:pPr>
            <w:r>
              <w:rPr>
                <w:rFonts w:hint="eastAsia" w:hAnsi="宋体"/>
                <w:sz w:val="24"/>
              </w:rPr>
              <w:t>新乡县境内地表水有东孟姜女河、西孟姜女河等。东孟姜女河是卫河的支流，全长50.5km，流经新乡县、延津县、卫辉市，由于在上游接纳了大量的生产、生活废水，水质已超过地面水Ⅴ类水质标准。东孟姜女河有三个支流：一支排、二支排和大泉排，三个支流均为纳污河道，无天然径流，目前水质均已超过地面水</w:t>
            </w:r>
            <w:r>
              <w:rPr>
                <w:rFonts w:hint="default" w:ascii="Times New Roman" w:hAnsi="Times New Roman" w:cs="Times New Roman"/>
                <w:sz w:val="24"/>
              </w:rPr>
              <w:t>Ⅴ</w:t>
            </w:r>
            <w:r>
              <w:rPr>
                <w:rFonts w:hint="eastAsia" w:hAnsi="宋体"/>
                <w:sz w:val="24"/>
              </w:rPr>
              <w:t>类水质标准。根据新乡市地面水功能区划分，对东孟姜女河的水质要求是达到地面水</w:t>
            </w:r>
            <w:r>
              <w:rPr>
                <w:rFonts w:hint="default" w:ascii="Times New Roman" w:hAnsi="Times New Roman" w:cs="Times New Roman"/>
                <w:sz w:val="24"/>
              </w:rPr>
              <w:t>Ⅴ</w:t>
            </w:r>
            <w:r>
              <w:rPr>
                <w:rFonts w:hint="eastAsia" w:hAnsi="宋体"/>
                <w:sz w:val="24"/>
              </w:rPr>
              <w:t>类水质标准，规划功能为自然水域及输水沟渠。</w:t>
            </w:r>
          </w:p>
          <w:p>
            <w:pPr>
              <w:adjustRightInd w:val="0"/>
              <w:snapToGrid w:val="0"/>
              <w:spacing w:line="360" w:lineRule="auto"/>
              <w:ind w:firstLine="480" w:firstLineChars="200"/>
              <w:rPr>
                <w:rFonts w:hAnsi="宋体"/>
                <w:sz w:val="24"/>
              </w:rPr>
            </w:pPr>
            <w:r>
              <w:rPr>
                <w:rFonts w:hint="eastAsia" w:hAnsi="宋体"/>
                <w:sz w:val="24"/>
              </w:rPr>
              <w:t>西孟姜女河为卫河的支流，全长36.5公里，新乡市境内长4公里，流经小宋佛、东营、任小营至络丝谭村东南入新乡市，河口宽22米，底宽2至5米，深3至5米，比降为1/4000。根据新乡市地面水功能区划分，对西孟姜女河的水质要求达到地面水Ⅴ类水质标准，规划功能为自然水域及输水沟渠。</w:t>
            </w:r>
          </w:p>
          <w:p>
            <w:pPr>
              <w:adjustRightInd w:val="0"/>
              <w:snapToGrid w:val="0"/>
              <w:spacing w:line="360" w:lineRule="auto"/>
              <w:ind w:firstLine="480" w:firstLineChars="200"/>
              <w:rPr>
                <w:rFonts w:hAnsi="宋体"/>
                <w:sz w:val="24"/>
              </w:rPr>
            </w:pPr>
            <w:r>
              <w:rPr>
                <w:rFonts w:hint="eastAsia" w:hAnsi="宋体"/>
                <w:sz w:val="24"/>
              </w:rPr>
              <w:t>5、土壤状况</w:t>
            </w:r>
          </w:p>
          <w:p>
            <w:pPr>
              <w:adjustRightInd w:val="0"/>
              <w:snapToGrid w:val="0"/>
              <w:spacing w:line="360" w:lineRule="auto"/>
              <w:ind w:firstLine="480" w:firstLineChars="200"/>
              <w:rPr>
                <w:rFonts w:hAnsi="宋体"/>
                <w:sz w:val="24"/>
              </w:rPr>
            </w:pPr>
            <w:r>
              <w:rPr>
                <w:rFonts w:hint="eastAsia" w:hAnsi="宋体"/>
                <w:sz w:val="24"/>
              </w:rPr>
              <w:t>全县境地处华北平原，为燕山运动以后下沉的地区。土壤母质系新生界第四系，为太行山前冲洪积物与黄河、沁河冲积物沉积而成。形成县境内砂质、壤质、粘质三级土壤。自上而下0-8m为粘土，中间有淤泥亚粘土，属新近沉积物粘土；8-12m为粉砂、细粉砂；12-80m为细砂，均为全新河流冲积粉层。</w:t>
            </w:r>
          </w:p>
          <w:p>
            <w:pPr>
              <w:adjustRightInd w:val="0"/>
              <w:snapToGrid w:val="0"/>
              <w:spacing w:line="360" w:lineRule="auto"/>
              <w:ind w:firstLine="480" w:firstLineChars="200"/>
              <w:rPr>
                <w:rFonts w:hAnsi="宋体"/>
                <w:sz w:val="24"/>
              </w:rPr>
            </w:pPr>
            <w:r>
              <w:rPr>
                <w:rFonts w:hint="eastAsia" w:hAnsi="宋体"/>
                <w:sz w:val="24"/>
              </w:rPr>
              <w:t>该区工程地质条件较好，地壳总体稳定性好，土地允许承载力为15-20t/m</w:t>
            </w:r>
            <w:r>
              <w:rPr>
                <w:rFonts w:hint="eastAsia" w:hAnsi="宋体"/>
                <w:sz w:val="24"/>
                <w:vertAlign w:val="superscript"/>
              </w:rPr>
              <w:t>2</w:t>
            </w:r>
            <w:r>
              <w:rPr>
                <w:rFonts w:hint="eastAsia" w:hAnsi="宋体"/>
                <w:sz w:val="24"/>
              </w:rPr>
              <w:t>，项目所在地未有重大断层。</w:t>
            </w:r>
          </w:p>
          <w:p>
            <w:pPr>
              <w:adjustRightInd w:val="0"/>
              <w:snapToGrid w:val="0"/>
              <w:spacing w:line="360" w:lineRule="auto"/>
              <w:ind w:firstLine="480" w:firstLineChars="200"/>
              <w:rPr>
                <w:rFonts w:hAnsi="宋体"/>
                <w:sz w:val="24"/>
              </w:rPr>
            </w:pPr>
            <w:r>
              <w:rPr>
                <w:rFonts w:hint="eastAsia" w:hAnsi="宋体"/>
                <w:sz w:val="24"/>
              </w:rPr>
              <w:t>6、动植物概况</w:t>
            </w:r>
          </w:p>
          <w:p>
            <w:pPr>
              <w:adjustRightInd w:val="0"/>
              <w:snapToGrid w:val="0"/>
              <w:spacing w:line="360" w:lineRule="auto"/>
              <w:ind w:firstLine="480" w:firstLineChars="200"/>
              <w:rPr>
                <w:rFonts w:hAnsi="宋体"/>
                <w:sz w:val="24"/>
              </w:rPr>
            </w:pPr>
            <w:r>
              <w:rPr>
                <w:rFonts w:hint="eastAsia" w:hAnsi="宋体"/>
                <w:sz w:val="24"/>
              </w:rPr>
              <w:t>新乡县境内植物有粮食作物、经济作物、蔬菜作物以及林果、自然植被等。主要树种有杨树、刺槐、泡桐、柳树等；主要农作物有小麦、玉米、红薯、花生以及小杂粮等。野生动物有兽类、鸟类、爬行类、两栖类、鱼类、昆虫等。</w:t>
            </w:r>
          </w:p>
          <w:p>
            <w:pPr>
              <w:adjustRightInd w:val="0"/>
              <w:snapToGrid w:val="0"/>
              <w:spacing w:line="360" w:lineRule="auto"/>
              <w:ind w:firstLine="480" w:firstLineChars="200"/>
            </w:pPr>
            <w:r>
              <w:rPr>
                <w:rFonts w:hint="eastAsia" w:hAnsi="宋体"/>
                <w:sz w:val="24"/>
              </w:rPr>
              <w:t>根据现场调查，本项目评价范围内未发现有珍稀动植物。</w:t>
            </w:r>
          </w:p>
          <w:p>
            <w:pPr>
              <w:tabs>
                <w:tab w:val="left" w:pos="1440"/>
              </w:tabs>
              <w:adjustRightInd w:val="0"/>
              <w:snapToGrid w:val="0"/>
              <w:spacing w:line="360" w:lineRule="auto"/>
              <w:rPr>
                <w:b/>
                <w:sz w:val="24"/>
              </w:rPr>
            </w:pPr>
          </w:p>
          <w:p>
            <w:pPr>
              <w:pStyle w:val="10"/>
              <w:rPr>
                <w:b/>
                <w:sz w:val="24"/>
              </w:rPr>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tabs>
                <w:tab w:val="left" w:pos="1440"/>
              </w:tabs>
              <w:adjustRightInd w:val="0"/>
              <w:snapToGrid w:val="0"/>
              <w:spacing w:line="360" w:lineRule="auto"/>
              <w:rPr>
                <w:b/>
                <w:sz w:val="24"/>
              </w:rPr>
            </w:pPr>
          </w:p>
        </w:tc>
      </w:tr>
    </w:tbl>
    <w:p>
      <w:pPr>
        <w:adjustRightInd w:val="0"/>
        <w:snapToGrid w:val="0"/>
        <w:rPr>
          <w:rFonts w:ascii="宋体" w:hAnsi="宋体" w:cs="宋体"/>
          <w:b/>
          <w:sz w:val="10"/>
          <w:szCs w:val="10"/>
        </w:rPr>
        <w:sectPr>
          <w:pgSz w:w="11906" w:h="16838"/>
          <w:pgMar w:top="1440" w:right="1800" w:bottom="1440" w:left="1800" w:header="851" w:footer="992" w:gutter="0"/>
          <w:cols w:space="720" w:num="1"/>
          <w:docGrid w:type="lines" w:linePitch="312" w:charSpace="0"/>
        </w:sectPr>
      </w:pPr>
    </w:p>
    <w:p>
      <w:pPr>
        <w:adjustRightInd w:val="0"/>
        <w:snapToGrid w:val="0"/>
        <w:rPr>
          <w:rFonts w:ascii="宋体" w:hAnsi="宋体" w:cs="宋体"/>
          <w:b/>
          <w:sz w:val="28"/>
          <w:szCs w:val="28"/>
        </w:rPr>
      </w:pPr>
      <w:r>
        <w:rPr>
          <w:rFonts w:hint="eastAsia" w:ascii="宋体" w:hAnsi="宋体" w:cs="宋体"/>
          <w:b/>
          <w:sz w:val="28"/>
          <w:szCs w:val="28"/>
        </w:rPr>
        <w:t>环境质量状况</w:t>
      </w:r>
    </w:p>
    <w:tbl>
      <w:tblPr>
        <w:tblStyle w:val="23"/>
        <w:tblW w:w="9071" w:type="dxa"/>
        <w:jc w:val="center"/>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454" w:hRule="atLeast"/>
          <w:jc w:val="center"/>
        </w:trPr>
        <w:tc>
          <w:tcPr>
            <w:tcW w:w="9071" w:type="dxa"/>
          </w:tcPr>
          <w:p>
            <w:pPr>
              <w:pStyle w:val="9"/>
              <w:adjustRightInd w:val="0"/>
              <w:snapToGrid w:val="0"/>
              <w:spacing w:line="360" w:lineRule="auto"/>
              <w:rPr>
                <w:kern w:val="2"/>
                <w:szCs w:val="24"/>
              </w:rPr>
            </w:pPr>
            <w:r>
              <w:rPr>
                <w:kern w:val="2"/>
                <w:szCs w:val="24"/>
              </w:rPr>
              <w:t>建设项目所在地区域环境质量现状及主要环境问题（环境空气、声环境、</w:t>
            </w:r>
            <w:r>
              <w:rPr>
                <w:rFonts w:hint="eastAsia"/>
                <w:kern w:val="2"/>
                <w:szCs w:val="24"/>
              </w:rPr>
              <w:t>地表水、地下水、生态</w:t>
            </w:r>
            <w:r>
              <w:rPr>
                <w:kern w:val="2"/>
                <w:szCs w:val="24"/>
              </w:rPr>
              <w:t>环境等）：</w:t>
            </w:r>
          </w:p>
          <w:p>
            <w:pPr>
              <w:numPr>
                <w:ilvl w:val="0"/>
                <w:numId w:val="4"/>
              </w:numPr>
              <w:adjustRightInd w:val="0"/>
              <w:snapToGrid w:val="0"/>
              <w:spacing w:line="360" w:lineRule="auto"/>
              <w:rPr>
                <w:b/>
                <w:bCs/>
                <w:sz w:val="24"/>
              </w:rPr>
            </w:pPr>
            <w:r>
              <w:rPr>
                <w:b/>
                <w:bCs/>
                <w:sz w:val="24"/>
              </w:rPr>
              <w:t>环境空气质量现状</w:t>
            </w:r>
          </w:p>
          <w:p>
            <w:pPr>
              <w:adjustRightInd w:val="0"/>
              <w:snapToGrid w:val="0"/>
              <w:spacing w:line="360" w:lineRule="auto"/>
              <w:ind w:firstLine="480" w:firstLineChars="200"/>
              <w:rPr>
                <w:color w:val="000000"/>
                <w:sz w:val="24"/>
              </w:rPr>
            </w:pPr>
            <w:r>
              <w:rPr>
                <w:rFonts w:hint="eastAsia"/>
                <w:color w:val="000000"/>
                <w:sz w:val="24"/>
              </w:rPr>
              <w:t>本项目位于新乡市新乡县七里营镇，项目所在区域为二类功能区，环境空气质量应执行《环境空气质量标准》（BG3095-2012）二级标准。根据新乡市环保局发布的《新乡市2018年环境质量年报》，区域空气质量现状数据如下表所示。</w:t>
            </w:r>
          </w:p>
          <w:p>
            <w:pPr>
              <w:adjustRightInd w:val="0"/>
              <w:snapToGrid w:val="0"/>
              <w:jc w:val="center"/>
              <w:rPr>
                <w:rFonts w:eastAsia="黑体"/>
                <w:kern w:val="21"/>
                <w:sz w:val="24"/>
              </w:rPr>
            </w:pPr>
            <w:r>
              <w:rPr>
                <w:rFonts w:eastAsia="黑体"/>
                <w:kern w:val="21"/>
                <w:sz w:val="24"/>
              </w:rPr>
              <w:t>表</w:t>
            </w:r>
            <w:r>
              <w:rPr>
                <w:rFonts w:hint="eastAsia" w:eastAsia="黑体"/>
                <w:kern w:val="21"/>
                <w:sz w:val="24"/>
              </w:rPr>
              <w:t>1</w:t>
            </w:r>
            <w:r>
              <w:rPr>
                <w:rFonts w:hint="eastAsia" w:eastAsia="黑体"/>
                <w:kern w:val="21"/>
                <w:sz w:val="24"/>
                <w:lang w:val="en-US" w:eastAsia="zh-CN"/>
              </w:rPr>
              <w:t>6</w:t>
            </w:r>
            <w:r>
              <w:rPr>
                <w:rFonts w:eastAsia="黑体"/>
                <w:kern w:val="21"/>
                <w:sz w:val="24"/>
              </w:rPr>
              <w:t xml:space="preserve">  区域空气质量现状评价表</w:t>
            </w:r>
          </w:p>
          <w:tbl>
            <w:tblPr>
              <w:tblStyle w:val="23"/>
              <w:tblW w:w="850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08"/>
              <w:gridCol w:w="1762"/>
              <w:gridCol w:w="1461"/>
              <w:gridCol w:w="1586"/>
              <w:gridCol w:w="1309"/>
              <w:gridCol w:w="107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1308" w:type="dxa"/>
                  <w:tcBorders>
                    <w:top w:val="single" w:color="auto" w:sz="8" w:space="0"/>
                    <w:left w:val="nil"/>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kern w:val="21"/>
                      <w:szCs w:val="21"/>
                    </w:rPr>
                  </w:pPr>
                  <w:r>
                    <w:rPr>
                      <w:kern w:val="21"/>
                      <w:szCs w:val="21"/>
                    </w:rPr>
                    <w:t>污染物</w:t>
                  </w:r>
                </w:p>
              </w:tc>
              <w:tc>
                <w:tcPr>
                  <w:tcW w:w="1762"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kern w:val="21"/>
                      <w:szCs w:val="21"/>
                    </w:rPr>
                  </w:pPr>
                  <w:r>
                    <w:rPr>
                      <w:kern w:val="21"/>
                      <w:szCs w:val="21"/>
                    </w:rPr>
                    <w:t>年评价指标</w:t>
                  </w:r>
                </w:p>
              </w:tc>
              <w:tc>
                <w:tcPr>
                  <w:tcW w:w="1461"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kern w:val="21"/>
                      <w:szCs w:val="21"/>
                    </w:rPr>
                  </w:pPr>
                  <w:r>
                    <w:rPr>
                      <w:kern w:val="21"/>
                      <w:szCs w:val="21"/>
                    </w:rPr>
                    <w:t>现状浓度/（μg/m</w:t>
                  </w:r>
                  <w:r>
                    <w:rPr>
                      <w:kern w:val="21"/>
                      <w:szCs w:val="21"/>
                      <w:vertAlign w:val="superscript"/>
                    </w:rPr>
                    <w:t>3</w:t>
                  </w:r>
                  <w:r>
                    <w:rPr>
                      <w:kern w:val="21"/>
                      <w:szCs w:val="21"/>
                    </w:rPr>
                    <w:t>）</w:t>
                  </w:r>
                </w:p>
              </w:tc>
              <w:tc>
                <w:tcPr>
                  <w:tcW w:w="1586"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kern w:val="21"/>
                      <w:szCs w:val="21"/>
                    </w:rPr>
                  </w:pPr>
                  <w:r>
                    <w:rPr>
                      <w:kern w:val="21"/>
                      <w:szCs w:val="21"/>
                    </w:rPr>
                    <w:t>标准值/（μg/m</w:t>
                  </w:r>
                  <w:r>
                    <w:rPr>
                      <w:kern w:val="21"/>
                      <w:szCs w:val="21"/>
                      <w:vertAlign w:val="superscript"/>
                    </w:rPr>
                    <w:t>3</w:t>
                  </w:r>
                  <w:r>
                    <w:rPr>
                      <w:kern w:val="21"/>
                      <w:szCs w:val="21"/>
                    </w:rPr>
                    <w:t>）</w:t>
                  </w:r>
                </w:p>
              </w:tc>
              <w:tc>
                <w:tcPr>
                  <w:tcW w:w="1309"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adjustRightInd w:val="0"/>
                    <w:snapToGrid w:val="0"/>
                    <w:jc w:val="center"/>
                    <w:rPr>
                      <w:kern w:val="21"/>
                      <w:szCs w:val="21"/>
                    </w:rPr>
                  </w:pPr>
                  <w:r>
                    <w:rPr>
                      <w:kern w:val="21"/>
                      <w:szCs w:val="21"/>
                    </w:rPr>
                    <w:t>占标率/</w:t>
                  </w:r>
                </w:p>
                <w:p>
                  <w:pPr>
                    <w:adjustRightInd w:val="0"/>
                    <w:snapToGrid w:val="0"/>
                    <w:jc w:val="center"/>
                    <w:rPr>
                      <w:kern w:val="21"/>
                      <w:szCs w:val="21"/>
                    </w:rPr>
                  </w:pPr>
                  <w:r>
                    <w:rPr>
                      <w:kern w:val="21"/>
                      <w:szCs w:val="21"/>
                    </w:rPr>
                    <w:t>%</w:t>
                  </w:r>
                </w:p>
              </w:tc>
              <w:tc>
                <w:tcPr>
                  <w:tcW w:w="1078" w:type="dxa"/>
                  <w:tcBorders>
                    <w:top w:val="single" w:color="auto" w:sz="8" w:space="0"/>
                    <w:left w:val="single" w:color="auto" w:sz="4" w:space="0"/>
                    <w:bottom w:val="single" w:color="auto" w:sz="4" w:space="0"/>
                    <w:right w:val="nil"/>
                  </w:tcBorders>
                  <w:tcMar>
                    <w:top w:w="57" w:type="dxa"/>
                    <w:left w:w="85" w:type="dxa"/>
                    <w:bottom w:w="57" w:type="dxa"/>
                    <w:right w:w="85" w:type="dxa"/>
                  </w:tcMar>
                  <w:vAlign w:val="center"/>
                </w:tcPr>
                <w:p>
                  <w:pPr>
                    <w:adjustRightInd w:val="0"/>
                    <w:snapToGrid w:val="0"/>
                    <w:jc w:val="center"/>
                    <w:rPr>
                      <w:kern w:val="21"/>
                      <w:szCs w:val="21"/>
                    </w:rPr>
                  </w:pPr>
                  <w:r>
                    <w:rPr>
                      <w:kern w:val="21"/>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130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PM</w:t>
                  </w:r>
                  <w:r>
                    <w:rPr>
                      <w:kern w:val="2"/>
                      <w:vertAlign w:val="subscript"/>
                    </w:rPr>
                    <w:t>10</w:t>
                  </w:r>
                </w:p>
              </w:tc>
              <w:tc>
                <w:tcPr>
                  <w:tcW w:w="1762"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rFonts w:hint="eastAsia"/>
                      <w:kern w:val="2"/>
                    </w:rPr>
                    <w:t>年平均质量浓度</w:t>
                  </w:r>
                </w:p>
              </w:tc>
              <w:tc>
                <w:tcPr>
                  <w:tcW w:w="146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105</w:t>
                  </w:r>
                </w:p>
              </w:tc>
              <w:tc>
                <w:tcPr>
                  <w:tcW w:w="158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70</w:t>
                  </w:r>
                </w:p>
              </w:tc>
              <w:tc>
                <w:tcPr>
                  <w:tcW w:w="1309"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1.50</w:t>
                  </w:r>
                </w:p>
              </w:tc>
              <w:tc>
                <w:tcPr>
                  <w:tcW w:w="1078"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112"/>
                    <w:rPr>
                      <w:color w:val="auto"/>
                      <w:kern w:val="21"/>
                    </w:rPr>
                  </w:pPr>
                  <w:r>
                    <w:rPr>
                      <w:rFonts w:hint="eastAsia"/>
                      <w:kern w:val="2"/>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130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PM</w:t>
                  </w:r>
                  <w:r>
                    <w:rPr>
                      <w:kern w:val="2"/>
                      <w:vertAlign w:val="subscript"/>
                    </w:rPr>
                    <w:t>2.5</w:t>
                  </w:r>
                </w:p>
              </w:tc>
              <w:tc>
                <w:tcPr>
                  <w:tcW w:w="1762"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rFonts w:hint="eastAsia"/>
                      <w:kern w:val="2"/>
                    </w:rPr>
                    <w:t>年平均质量浓度</w:t>
                  </w:r>
                </w:p>
              </w:tc>
              <w:tc>
                <w:tcPr>
                  <w:tcW w:w="146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61</w:t>
                  </w:r>
                </w:p>
              </w:tc>
              <w:tc>
                <w:tcPr>
                  <w:tcW w:w="158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35</w:t>
                  </w:r>
                </w:p>
              </w:tc>
              <w:tc>
                <w:tcPr>
                  <w:tcW w:w="1309"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1.74</w:t>
                  </w:r>
                </w:p>
              </w:tc>
              <w:tc>
                <w:tcPr>
                  <w:tcW w:w="1078"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112"/>
                    <w:rPr>
                      <w:color w:val="auto"/>
                      <w:kern w:val="21"/>
                    </w:rPr>
                  </w:pPr>
                  <w:r>
                    <w:rPr>
                      <w:rFonts w:hint="eastAsia"/>
                      <w:kern w:val="2"/>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130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SO</w:t>
                  </w:r>
                  <w:r>
                    <w:rPr>
                      <w:kern w:val="2"/>
                      <w:vertAlign w:val="subscript"/>
                    </w:rPr>
                    <w:t>2</w:t>
                  </w:r>
                </w:p>
              </w:tc>
              <w:tc>
                <w:tcPr>
                  <w:tcW w:w="1762"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rFonts w:hint="eastAsia"/>
                      <w:kern w:val="2"/>
                    </w:rPr>
                    <w:t>年平均质量浓度</w:t>
                  </w:r>
                </w:p>
              </w:tc>
              <w:tc>
                <w:tcPr>
                  <w:tcW w:w="146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19</w:t>
                  </w:r>
                </w:p>
              </w:tc>
              <w:tc>
                <w:tcPr>
                  <w:tcW w:w="158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60</w:t>
                  </w:r>
                </w:p>
              </w:tc>
              <w:tc>
                <w:tcPr>
                  <w:tcW w:w="1309"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0.32</w:t>
                  </w:r>
                </w:p>
              </w:tc>
              <w:tc>
                <w:tcPr>
                  <w:tcW w:w="1078"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112"/>
                    <w:rPr>
                      <w:color w:val="auto"/>
                      <w:kern w:val="21"/>
                    </w:rPr>
                  </w:pPr>
                  <w:r>
                    <w:rPr>
                      <w:rFonts w:hint="eastAsia"/>
                      <w:kern w:val="2"/>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130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NO</w:t>
                  </w:r>
                  <w:r>
                    <w:rPr>
                      <w:kern w:val="2"/>
                      <w:vertAlign w:val="subscript"/>
                    </w:rPr>
                    <w:t>2</w:t>
                  </w:r>
                </w:p>
              </w:tc>
              <w:tc>
                <w:tcPr>
                  <w:tcW w:w="1762"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rFonts w:hint="eastAsia"/>
                      <w:kern w:val="2"/>
                    </w:rPr>
                    <w:t>年平均质量浓度</w:t>
                  </w:r>
                </w:p>
              </w:tc>
              <w:tc>
                <w:tcPr>
                  <w:tcW w:w="146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49</w:t>
                  </w:r>
                </w:p>
              </w:tc>
              <w:tc>
                <w:tcPr>
                  <w:tcW w:w="158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40</w:t>
                  </w:r>
                </w:p>
              </w:tc>
              <w:tc>
                <w:tcPr>
                  <w:tcW w:w="1309"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1.23</w:t>
                  </w:r>
                </w:p>
              </w:tc>
              <w:tc>
                <w:tcPr>
                  <w:tcW w:w="1078"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112"/>
                    <w:rPr>
                      <w:color w:val="auto"/>
                      <w:kern w:val="21"/>
                    </w:rPr>
                  </w:pPr>
                  <w:r>
                    <w:rPr>
                      <w:rFonts w:hint="eastAsia"/>
                      <w:kern w:val="2"/>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1308"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CO</w:t>
                  </w:r>
                </w:p>
              </w:tc>
              <w:tc>
                <w:tcPr>
                  <w:tcW w:w="1762"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rFonts w:hint="eastAsia"/>
                      <w:kern w:val="2"/>
                    </w:rPr>
                    <w:t>第</w:t>
                  </w:r>
                  <w:r>
                    <w:rPr>
                      <w:kern w:val="2"/>
                    </w:rPr>
                    <w:t>95</w:t>
                  </w:r>
                  <w:r>
                    <w:rPr>
                      <w:rFonts w:hint="eastAsia"/>
                      <w:kern w:val="2"/>
                    </w:rPr>
                    <w:t>百分位浓度</w:t>
                  </w:r>
                </w:p>
              </w:tc>
              <w:tc>
                <w:tcPr>
                  <w:tcW w:w="146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rFonts w:hint="eastAsia"/>
                      <w:kern w:val="2"/>
                      <w:lang w:val="en-US" w:eastAsia="zh-CN"/>
                    </w:rPr>
                    <w:t>2.30</w:t>
                  </w:r>
                  <w:r>
                    <w:rPr>
                      <w:kern w:val="2"/>
                    </w:rPr>
                    <w:t>mg/m</w:t>
                  </w:r>
                  <w:r>
                    <w:rPr>
                      <w:kern w:val="2"/>
                      <w:vertAlign w:val="superscript"/>
                    </w:rPr>
                    <w:t>3</w:t>
                  </w:r>
                </w:p>
              </w:tc>
              <w:tc>
                <w:tcPr>
                  <w:tcW w:w="1586"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4mg/m</w:t>
                  </w:r>
                  <w:r>
                    <w:rPr>
                      <w:kern w:val="2"/>
                      <w:vertAlign w:val="superscript"/>
                    </w:rPr>
                    <w:t>3</w:t>
                  </w:r>
                </w:p>
              </w:tc>
              <w:tc>
                <w:tcPr>
                  <w:tcW w:w="1309"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112"/>
                    <w:rPr>
                      <w:color w:val="auto"/>
                      <w:kern w:val="21"/>
                    </w:rPr>
                  </w:pPr>
                  <w:r>
                    <w:rPr>
                      <w:kern w:val="2"/>
                    </w:rPr>
                    <w:t>0.33</w:t>
                  </w:r>
                </w:p>
              </w:tc>
              <w:tc>
                <w:tcPr>
                  <w:tcW w:w="1078"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112"/>
                    <w:rPr>
                      <w:color w:val="auto"/>
                      <w:kern w:val="21"/>
                    </w:rPr>
                  </w:pPr>
                  <w:r>
                    <w:rPr>
                      <w:rFonts w:hint="eastAsia"/>
                      <w:kern w:val="2"/>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1308" w:type="dxa"/>
                  <w:tcBorders>
                    <w:top w:val="single" w:color="auto" w:sz="4" w:space="0"/>
                    <w:left w:val="nil"/>
                    <w:bottom w:val="single" w:color="auto" w:sz="8" w:space="0"/>
                    <w:right w:val="single" w:color="auto" w:sz="4" w:space="0"/>
                  </w:tcBorders>
                  <w:tcMar>
                    <w:top w:w="57" w:type="dxa"/>
                    <w:left w:w="85" w:type="dxa"/>
                    <w:bottom w:w="57" w:type="dxa"/>
                    <w:right w:w="85" w:type="dxa"/>
                  </w:tcMar>
                  <w:vAlign w:val="center"/>
                </w:tcPr>
                <w:p>
                  <w:pPr>
                    <w:pStyle w:val="112"/>
                    <w:rPr>
                      <w:color w:val="auto"/>
                      <w:kern w:val="21"/>
                    </w:rPr>
                  </w:pPr>
                  <w:r>
                    <w:rPr>
                      <w:kern w:val="2"/>
                    </w:rPr>
                    <w:t>O</w:t>
                  </w:r>
                  <w:r>
                    <w:rPr>
                      <w:kern w:val="2"/>
                      <w:vertAlign w:val="subscript"/>
                    </w:rPr>
                    <w:t>3</w:t>
                  </w:r>
                </w:p>
              </w:tc>
              <w:tc>
                <w:tcPr>
                  <w:tcW w:w="1762"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112"/>
                    <w:rPr>
                      <w:color w:val="auto"/>
                      <w:kern w:val="21"/>
                    </w:rPr>
                  </w:pPr>
                  <w:r>
                    <w:rPr>
                      <w:rFonts w:hint="eastAsia"/>
                      <w:kern w:val="2"/>
                    </w:rPr>
                    <w:t>第</w:t>
                  </w:r>
                  <w:r>
                    <w:rPr>
                      <w:kern w:val="2"/>
                    </w:rPr>
                    <w:t>90</w:t>
                  </w:r>
                  <w:r>
                    <w:rPr>
                      <w:rFonts w:hint="eastAsia"/>
                      <w:kern w:val="2"/>
                    </w:rPr>
                    <w:t>百分位浓度</w:t>
                  </w:r>
                </w:p>
              </w:tc>
              <w:tc>
                <w:tcPr>
                  <w:tcW w:w="1461"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112"/>
                    <w:rPr>
                      <w:rFonts w:hint="default" w:eastAsia="宋体"/>
                      <w:color w:val="auto"/>
                      <w:kern w:val="21"/>
                      <w:lang w:val="en-US" w:eastAsia="zh-CN"/>
                    </w:rPr>
                  </w:pPr>
                  <w:r>
                    <w:rPr>
                      <w:rFonts w:hint="eastAsia"/>
                      <w:kern w:val="2"/>
                      <w:lang w:val="en-US" w:eastAsia="zh-CN"/>
                    </w:rPr>
                    <w:t>202</w:t>
                  </w:r>
                </w:p>
              </w:tc>
              <w:tc>
                <w:tcPr>
                  <w:tcW w:w="1586"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112"/>
                    <w:rPr>
                      <w:color w:val="auto"/>
                      <w:kern w:val="21"/>
                    </w:rPr>
                  </w:pPr>
                  <w:r>
                    <w:rPr>
                      <w:kern w:val="2"/>
                    </w:rPr>
                    <w:t>160</w:t>
                  </w:r>
                </w:p>
              </w:tc>
              <w:tc>
                <w:tcPr>
                  <w:tcW w:w="1309"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112"/>
                    <w:rPr>
                      <w:color w:val="auto"/>
                      <w:kern w:val="21"/>
                    </w:rPr>
                  </w:pPr>
                  <w:r>
                    <w:rPr>
                      <w:kern w:val="2"/>
                    </w:rPr>
                    <w:t>0.73</w:t>
                  </w:r>
                </w:p>
              </w:tc>
              <w:tc>
                <w:tcPr>
                  <w:tcW w:w="1078" w:type="dxa"/>
                  <w:tcBorders>
                    <w:top w:val="single" w:color="auto" w:sz="4" w:space="0"/>
                    <w:left w:val="single" w:color="auto" w:sz="4" w:space="0"/>
                    <w:bottom w:val="single" w:color="auto" w:sz="8" w:space="0"/>
                    <w:right w:val="nil"/>
                  </w:tcBorders>
                  <w:tcMar>
                    <w:top w:w="57" w:type="dxa"/>
                    <w:left w:w="85" w:type="dxa"/>
                    <w:bottom w:w="57" w:type="dxa"/>
                    <w:right w:w="85" w:type="dxa"/>
                  </w:tcMar>
                  <w:vAlign w:val="center"/>
                </w:tcPr>
                <w:p>
                  <w:pPr>
                    <w:pStyle w:val="112"/>
                    <w:rPr>
                      <w:rFonts w:hint="eastAsia" w:eastAsia="宋体"/>
                      <w:color w:val="auto"/>
                      <w:kern w:val="21"/>
                      <w:lang w:eastAsia="zh-CN"/>
                    </w:rPr>
                  </w:pPr>
                  <w:r>
                    <w:rPr>
                      <w:rFonts w:hint="eastAsia"/>
                      <w:kern w:val="2"/>
                      <w:lang w:eastAsia="zh-CN"/>
                    </w:rPr>
                    <w:t>超标</w:t>
                  </w:r>
                </w:p>
              </w:tc>
            </w:tr>
          </w:tbl>
          <w:p>
            <w:pPr>
              <w:adjustRightInd w:val="0"/>
              <w:snapToGrid w:val="0"/>
              <w:spacing w:line="360" w:lineRule="auto"/>
              <w:ind w:firstLine="420" w:firstLineChars="200"/>
              <w:rPr>
                <w:color w:val="000000"/>
              </w:rPr>
            </w:pPr>
          </w:p>
          <w:p>
            <w:pPr>
              <w:spacing w:line="360" w:lineRule="auto"/>
              <w:ind w:firstLine="480" w:firstLineChars="200"/>
              <w:rPr>
                <w:sz w:val="24"/>
              </w:rPr>
            </w:pPr>
            <w:r>
              <w:rPr>
                <w:sz w:val="24"/>
              </w:rPr>
              <w:t>由上表可知，其中PM</w:t>
            </w:r>
            <w:r>
              <w:rPr>
                <w:sz w:val="24"/>
                <w:vertAlign w:val="subscript"/>
              </w:rPr>
              <w:t>10</w:t>
            </w:r>
            <w:r>
              <w:rPr>
                <w:sz w:val="24"/>
              </w:rPr>
              <w:t>、PM</w:t>
            </w:r>
            <w:r>
              <w:rPr>
                <w:sz w:val="24"/>
                <w:vertAlign w:val="subscript"/>
              </w:rPr>
              <w:t>2.5</w:t>
            </w:r>
            <w:r>
              <w:rPr>
                <w:sz w:val="24"/>
              </w:rPr>
              <w:t>和NO</w:t>
            </w:r>
            <w:r>
              <w:rPr>
                <w:sz w:val="24"/>
                <w:vertAlign w:val="subscript"/>
              </w:rPr>
              <w:t>2</w:t>
            </w:r>
            <w:r>
              <w:rPr>
                <w:sz w:val="24"/>
              </w:rPr>
              <w:t>均不能够满足《环境空气质量标准》（GB3095-2012）二级标准要求。根据《环境影响评价技术导则  大气环境》(HJ2.2-2018)，本项目所在区域属于未达标区。</w:t>
            </w:r>
          </w:p>
          <w:p>
            <w:pPr>
              <w:spacing w:line="360" w:lineRule="auto"/>
              <w:ind w:firstLine="480" w:firstLineChars="200"/>
              <w:rPr>
                <w:rFonts w:hint="eastAsia"/>
                <w:sz w:val="24"/>
              </w:rPr>
            </w:pPr>
            <w:r>
              <w:rPr>
                <w:rFonts w:hint="eastAsia"/>
                <w:sz w:val="24"/>
              </w:rPr>
              <w:t>2018年，新乡市城市环境空气PM10同比下降4微克/立方米，降幅3.7%；PM2.5同比下降2微克/立方米，降幅3.2%；SO2同比下降9微克/立方米，降幅32.1%；NO2同比下降1微克/立方米，降幅2%；O3第90百分位浓度同比下降7微克/立方米，降幅3.3%，CO第95百分位浓度同比下降0.66毫克/立方米，降幅22.3%。优、良天数177天，优、良天数比例51.8%，去年同期，优、良天数173天，优、良天数比例47.4%，同比优、良天数增加4天，上升4.4个百分点。</w:t>
            </w:r>
          </w:p>
          <w:p>
            <w:pPr>
              <w:spacing w:line="360" w:lineRule="auto"/>
              <w:ind w:firstLine="480" w:firstLineChars="200"/>
              <w:rPr>
                <w:kern w:val="0"/>
                <w:sz w:val="24"/>
              </w:rPr>
            </w:pPr>
            <w:r>
              <w:rPr>
                <w:sz w:val="24"/>
              </w:rPr>
              <w:t>目前，新乡市正在实施《新乡市蓝天工程行动计划》、《新乡市2018年大气污染防治攻坚战实施方案》、《</w:t>
            </w:r>
            <w:r>
              <w:rPr>
                <w:rFonts w:hint="eastAsia" w:ascii="宋体" w:hAnsi="宋体" w:cs="宋体"/>
                <w:sz w:val="24"/>
              </w:rPr>
              <w:t>“十三五”</w:t>
            </w:r>
            <w:r>
              <w:rPr>
                <w:sz w:val="24"/>
              </w:rPr>
              <w:t>挥发性有机物污染防治工作方案》、《新乡市环境污染防治攻坚战三年行动实施方案（2018-2020年）》等一系列措施，将不断改善区域大气环境质量。预计2020年可以达到《新乡市环境污染防治攻坚战三年行动实施方案（2018-2020年）》中：</w:t>
            </w:r>
            <w:r>
              <w:rPr>
                <w:rFonts w:hint="eastAsia" w:ascii="宋体" w:hAnsi="宋体" w:cs="宋体"/>
                <w:sz w:val="24"/>
              </w:rPr>
              <w:t>“</w:t>
            </w:r>
            <w:r>
              <w:rPr>
                <w:sz w:val="24"/>
              </w:rPr>
              <w:t>全市PM</w:t>
            </w:r>
            <w:r>
              <w:rPr>
                <w:sz w:val="24"/>
                <w:vertAlign w:val="subscript"/>
              </w:rPr>
              <w:t>2.5</w:t>
            </w:r>
            <w:r>
              <w:rPr>
                <w:sz w:val="24"/>
              </w:rPr>
              <w:t>年均浓度达到55微克/立方米以下，PM</w:t>
            </w:r>
            <w:r>
              <w:rPr>
                <w:sz w:val="24"/>
                <w:vertAlign w:val="subscript"/>
              </w:rPr>
              <w:t>10</w:t>
            </w:r>
            <w:r>
              <w:rPr>
                <w:sz w:val="24"/>
              </w:rPr>
              <w:t>年均浓度达到101微克/立方米以下，全年优良天数比例达到66%以上</w:t>
            </w:r>
            <w:r>
              <w:rPr>
                <w:rFonts w:hint="eastAsia" w:ascii="宋体" w:hAnsi="宋体" w:cs="宋体"/>
                <w:sz w:val="24"/>
              </w:rPr>
              <w:t>”</w:t>
            </w:r>
            <w:r>
              <w:rPr>
                <w:sz w:val="24"/>
              </w:rPr>
              <w:t>的目标要求。本项目注塑、吹塑产生的废气经UV光催化氧化设备+活性炭吸附装置处理后经15m高排气筒达标排放，不会对大气环境造成明显影响。</w:t>
            </w:r>
          </w:p>
          <w:p>
            <w:pPr>
              <w:adjustRightInd w:val="0"/>
              <w:snapToGrid w:val="0"/>
              <w:spacing w:line="360" w:lineRule="auto"/>
              <w:rPr>
                <w:b/>
                <w:bCs/>
                <w:sz w:val="24"/>
              </w:rPr>
            </w:pPr>
            <w:r>
              <w:rPr>
                <w:rFonts w:hint="eastAsia"/>
                <w:b/>
                <w:bCs/>
                <w:sz w:val="24"/>
              </w:rPr>
              <w:t>2、地表水</w:t>
            </w:r>
            <w:r>
              <w:rPr>
                <w:b/>
                <w:bCs/>
                <w:sz w:val="24"/>
              </w:rPr>
              <w:t>环境质量现状</w:t>
            </w:r>
          </w:p>
          <w:p>
            <w:pPr>
              <w:pStyle w:val="9"/>
              <w:adjustRightInd w:val="0"/>
              <w:snapToGrid w:val="0"/>
              <w:spacing w:line="360" w:lineRule="auto"/>
              <w:ind w:firstLine="480" w:firstLineChars="200"/>
              <w:rPr>
                <w:b w:val="0"/>
                <w:bCs w:val="0"/>
              </w:rPr>
            </w:pPr>
            <w:r>
              <w:rPr>
                <w:b w:val="0"/>
                <w:bCs w:val="0"/>
              </w:rPr>
              <w:t>为反映本项目纳污水体</w:t>
            </w:r>
            <w:r>
              <w:rPr>
                <w:rFonts w:hint="eastAsia"/>
                <w:b w:val="0"/>
                <w:bCs w:val="0"/>
              </w:rPr>
              <w:t>东孟姜女河</w:t>
            </w:r>
            <w:r>
              <w:rPr>
                <w:b w:val="0"/>
                <w:bCs w:val="0"/>
              </w:rPr>
              <w:t>的环境质量现状，本次评价引用</w:t>
            </w:r>
            <w:r>
              <w:rPr>
                <w:rFonts w:hint="eastAsia"/>
                <w:b w:val="0"/>
                <w:bCs w:val="0"/>
              </w:rPr>
              <w:t>东孟姜女河南环桥断面常规在线</w:t>
            </w:r>
            <w:r>
              <w:rPr>
                <w:b w:val="0"/>
                <w:bCs w:val="0"/>
              </w:rPr>
              <w:t>监测数据来进行说明，详见表</w:t>
            </w:r>
            <w:r>
              <w:rPr>
                <w:rFonts w:hint="eastAsia"/>
                <w:b w:val="0"/>
                <w:bCs w:val="0"/>
              </w:rPr>
              <w:t>1</w:t>
            </w:r>
            <w:r>
              <w:rPr>
                <w:rFonts w:hint="eastAsia"/>
                <w:b w:val="0"/>
                <w:bCs w:val="0"/>
                <w:lang w:val="en-US" w:eastAsia="zh-CN"/>
              </w:rPr>
              <w:t>7</w:t>
            </w:r>
            <w:r>
              <w:rPr>
                <w:rFonts w:hint="eastAsia"/>
                <w:b w:val="0"/>
                <w:bCs w:val="0"/>
              </w:rPr>
              <w:t>。</w:t>
            </w:r>
          </w:p>
          <w:p>
            <w:pPr>
              <w:pStyle w:val="9"/>
              <w:adjustRightInd w:val="0"/>
              <w:snapToGrid w:val="0"/>
              <w:spacing w:line="240" w:lineRule="auto"/>
              <w:jc w:val="center"/>
              <w:rPr>
                <w:rFonts w:eastAsia="黑体"/>
                <w:b w:val="0"/>
                <w:bCs w:val="0"/>
                <w:color w:val="000000" w:themeColor="text1"/>
                <w14:textFill>
                  <w14:solidFill>
                    <w14:schemeClr w14:val="tx1"/>
                  </w14:solidFill>
                </w14:textFill>
              </w:rPr>
            </w:pPr>
            <w:r>
              <w:rPr>
                <w:rFonts w:eastAsia="黑体"/>
                <w:b w:val="0"/>
                <w:bCs w:val="0"/>
                <w:color w:val="000000" w:themeColor="text1"/>
                <w14:textFill>
                  <w14:solidFill>
                    <w14:schemeClr w14:val="tx1"/>
                  </w14:solidFill>
                </w14:textFill>
              </w:rPr>
              <w:t>表</w:t>
            </w:r>
            <w:r>
              <w:rPr>
                <w:rFonts w:hint="eastAsia" w:eastAsia="黑体"/>
                <w:b w:val="0"/>
                <w:bCs w:val="0"/>
                <w:color w:val="000000" w:themeColor="text1"/>
                <w14:textFill>
                  <w14:solidFill>
                    <w14:schemeClr w14:val="tx1"/>
                  </w14:solidFill>
                </w14:textFill>
              </w:rPr>
              <w:t>1</w:t>
            </w:r>
            <w:r>
              <w:rPr>
                <w:rFonts w:hint="eastAsia" w:eastAsia="黑体"/>
                <w:b w:val="0"/>
                <w:bCs w:val="0"/>
                <w:color w:val="000000" w:themeColor="text1"/>
                <w:lang w:val="en-US" w:eastAsia="zh-CN"/>
                <w14:textFill>
                  <w14:solidFill>
                    <w14:schemeClr w14:val="tx1"/>
                  </w14:solidFill>
                </w14:textFill>
              </w:rPr>
              <w:t>7</w:t>
            </w:r>
            <w:r>
              <w:rPr>
                <w:rFonts w:eastAsia="黑体"/>
                <w:b w:val="0"/>
                <w:bCs w:val="0"/>
                <w:color w:val="000000" w:themeColor="text1"/>
                <w14:textFill>
                  <w14:solidFill>
                    <w14:schemeClr w14:val="tx1"/>
                  </w14:solidFill>
                </w14:textFill>
              </w:rPr>
              <w:t xml:space="preserve">  东孟姜女河南环桥断面水质监测结果统计一览表</w:t>
            </w:r>
          </w:p>
          <w:tbl>
            <w:tblPr>
              <w:tblStyle w:val="23"/>
              <w:tblW w:w="8504" w:type="dxa"/>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560"/>
              <w:gridCol w:w="1155"/>
              <w:gridCol w:w="1110"/>
              <w:gridCol w:w="1125"/>
              <w:gridCol w:w="1080"/>
              <w:gridCol w:w="1245"/>
              <w:gridCol w:w="1229"/>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560" w:type="dxa"/>
                  <w:tcBorders>
                    <w:tl2br w:val="nil"/>
                    <w:tr2bl w:val="nil"/>
                  </w:tcBorders>
                  <w:vAlign w:val="center"/>
                </w:tcPr>
                <w:p>
                  <w:pPr>
                    <w:pStyle w:val="9"/>
                    <w:adjustRightInd w:val="0"/>
                    <w:snapToGrid w:val="0"/>
                    <w:spacing w:line="240" w:lineRule="auto"/>
                    <w:jc w:val="center"/>
                    <w:rPr>
                      <w:b w:val="0"/>
                      <w:bCs w:val="0"/>
                      <w:sz w:val="21"/>
                      <w:szCs w:val="21"/>
                    </w:rPr>
                  </w:pPr>
                  <w:r>
                    <w:rPr>
                      <w:b w:val="0"/>
                      <w:bCs w:val="0"/>
                      <w:sz w:val="21"/>
                      <w:szCs w:val="21"/>
                    </w:rPr>
                    <w:t>监测因子</w:t>
                  </w:r>
                </w:p>
              </w:tc>
              <w:tc>
                <w:tcPr>
                  <w:tcW w:w="1155" w:type="dxa"/>
                  <w:tcBorders>
                    <w:tl2br w:val="nil"/>
                    <w:tr2bl w:val="nil"/>
                  </w:tcBorders>
                  <w:vAlign w:val="center"/>
                </w:tcPr>
                <w:p>
                  <w:pPr>
                    <w:pStyle w:val="9"/>
                    <w:adjustRightInd w:val="0"/>
                    <w:snapToGrid w:val="0"/>
                    <w:spacing w:line="240" w:lineRule="auto"/>
                    <w:jc w:val="center"/>
                    <w:rPr>
                      <w:b w:val="0"/>
                      <w:bCs w:val="0"/>
                      <w:sz w:val="21"/>
                      <w:szCs w:val="21"/>
                    </w:rPr>
                  </w:pPr>
                  <w:r>
                    <w:rPr>
                      <w:b w:val="0"/>
                      <w:bCs w:val="0"/>
                      <w:sz w:val="21"/>
                      <w:szCs w:val="21"/>
                    </w:rPr>
                    <w:t>20</w:t>
                  </w:r>
                  <w:r>
                    <w:rPr>
                      <w:rFonts w:hint="eastAsia"/>
                      <w:b w:val="0"/>
                      <w:bCs w:val="0"/>
                      <w:sz w:val="21"/>
                      <w:szCs w:val="21"/>
                    </w:rPr>
                    <w:t>18.12.1</w:t>
                  </w:r>
                </w:p>
              </w:tc>
              <w:tc>
                <w:tcPr>
                  <w:tcW w:w="1110" w:type="dxa"/>
                  <w:tcBorders>
                    <w:tl2br w:val="nil"/>
                    <w:tr2bl w:val="nil"/>
                  </w:tcBorders>
                  <w:vAlign w:val="center"/>
                </w:tcPr>
                <w:p>
                  <w:pPr>
                    <w:pStyle w:val="9"/>
                    <w:adjustRightInd w:val="0"/>
                    <w:snapToGrid w:val="0"/>
                    <w:spacing w:line="240" w:lineRule="auto"/>
                    <w:jc w:val="center"/>
                    <w:rPr>
                      <w:b w:val="0"/>
                      <w:bCs w:val="0"/>
                      <w:sz w:val="21"/>
                      <w:szCs w:val="21"/>
                    </w:rPr>
                  </w:pPr>
                  <w:r>
                    <w:rPr>
                      <w:b w:val="0"/>
                      <w:bCs w:val="0"/>
                      <w:sz w:val="21"/>
                      <w:szCs w:val="21"/>
                    </w:rPr>
                    <w:t>20</w:t>
                  </w:r>
                  <w:r>
                    <w:rPr>
                      <w:rFonts w:hint="eastAsia"/>
                      <w:b w:val="0"/>
                      <w:bCs w:val="0"/>
                      <w:sz w:val="21"/>
                      <w:szCs w:val="21"/>
                    </w:rPr>
                    <w:t>18.12.2</w:t>
                  </w:r>
                </w:p>
              </w:tc>
              <w:tc>
                <w:tcPr>
                  <w:tcW w:w="1125" w:type="dxa"/>
                  <w:tcBorders>
                    <w:tl2br w:val="nil"/>
                    <w:tr2bl w:val="nil"/>
                  </w:tcBorders>
                  <w:vAlign w:val="center"/>
                </w:tcPr>
                <w:p>
                  <w:pPr>
                    <w:pStyle w:val="9"/>
                    <w:adjustRightInd w:val="0"/>
                    <w:snapToGrid w:val="0"/>
                    <w:spacing w:line="240" w:lineRule="auto"/>
                    <w:jc w:val="center"/>
                    <w:rPr>
                      <w:b w:val="0"/>
                      <w:bCs w:val="0"/>
                      <w:sz w:val="21"/>
                      <w:szCs w:val="21"/>
                    </w:rPr>
                  </w:pPr>
                  <w:r>
                    <w:rPr>
                      <w:b w:val="0"/>
                      <w:bCs w:val="0"/>
                      <w:sz w:val="21"/>
                      <w:szCs w:val="21"/>
                    </w:rPr>
                    <w:t>20</w:t>
                  </w:r>
                  <w:r>
                    <w:rPr>
                      <w:rFonts w:hint="eastAsia"/>
                      <w:b w:val="0"/>
                      <w:bCs w:val="0"/>
                      <w:sz w:val="21"/>
                      <w:szCs w:val="21"/>
                    </w:rPr>
                    <w:t>18.12.3</w:t>
                  </w:r>
                </w:p>
              </w:tc>
              <w:tc>
                <w:tcPr>
                  <w:tcW w:w="1080" w:type="dxa"/>
                  <w:tcBorders>
                    <w:tl2br w:val="nil"/>
                    <w:tr2bl w:val="nil"/>
                  </w:tcBorders>
                  <w:vAlign w:val="center"/>
                </w:tcPr>
                <w:p>
                  <w:pPr>
                    <w:pStyle w:val="9"/>
                    <w:adjustRightInd w:val="0"/>
                    <w:snapToGrid w:val="0"/>
                    <w:spacing w:line="240" w:lineRule="auto"/>
                    <w:jc w:val="center"/>
                    <w:rPr>
                      <w:b w:val="0"/>
                      <w:bCs w:val="0"/>
                      <w:sz w:val="21"/>
                      <w:szCs w:val="21"/>
                    </w:rPr>
                  </w:pPr>
                  <w:r>
                    <w:rPr>
                      <w:b w:val="0"/>
                      <w:bCs w:val="0"/>
                      <w:sz w:val="21"/>
                      <w:szCs w:val="21"/>
                    </w:rPr>
                    <w:t>20</w:t>
                  </w:r>
                  <w:r>
                    <w:rPr>
                      <w:rFonts w:hint="eastAsia"/>
                      <w:b w:val="0"/>
                      <w:bCs w:val="0"/>
                      <w:sz w:val="21"/>
                      <w:szCs w:val="21"/>
                    </w:rPr>
                    <w:t>18.12.4</w:t>
                  </w:r>
                </w:p>
              </w:tc>
              <w:tc>
                <w:tcPr>
                  <w:tcW w:w="1245" w:type="dxa"/>
                  <w:tcBorders>
                    <w:tl2br w:val="nil"/>
                    <w:tr2bl w:val="nil"/>
                  </w:tcBorders>
                  <w:vAlign w:val="center"/>
                </w:tcPr>
                <w:p>
                  <w:pPr>
                    <w:pStyle w:val="9"/>
                    <w:adjustRightInd w:val="0"/>
                    <w:snapToGrid w:val="0"/>
                    <w:spacing w:line="240" w:lineRule="auto"/>
                    <w:jc w:val="center"/>
                    <w:rPr>
                      <w:b w:val="0"/>
                      <w:bCs w:val="0"/>
                      <w:sz w:val="21"/>
                      <w:szCs w:val="21"/>
                    </w:rPr>
                  </w:pPr>
                  <w:r>
                    <w:rPr>
                      <w:b w:val="0"/>
                      <w:bCs w:val="0"/>
                      <w:sz w:val="21"/>
                      <w:szCs w:val="21"/>
                    </w:rPr>
                    <w:t>20</w:t>
                  </w:r>
                  <w:r>
                    <w:rPr>
                      <w:rFonts w:hint="eastAsia"/>
                      <w:b w:val="0"/>
                      <w:bCs w:val="0"/>
                      <w:sz w:val="21"/>
                      <w:szCs w:val="21"/>
                    </w:rPr>
                    <w:t>18.12.5</w:t>
                  </w:r>
                </w:p>
              </w:tc>
              <w:tc>
                <w:tcPr>
                  <w:tcW w:w="1229" w:type="dxa"/>
                  <w:tcBorders>
                    <w:tl2br w:val="nil"/>
                    <w:tr2bl w:val="nil"/>
                  </w:tcBorders>
                  <w:vAlign w:val="center"/>
                </w:tcPr>
                <w:p>
                  <w:pPr>
                    <w:pStyle w:val="9"/>
                    <w:adjustRightInd w:val="0"/>
                    <w:snapToGrid w:val="0"/>
                    <w:spacing w:line="240" w:lineRule="auto"/>
                    <w:jc w:val="center"/>
                    <w:rPr>
                      <w:b w:val="0"/>
                      <w:bCs w:val="0"/>
                      <w:sz w:val="21"/>
                      <w:szCs w:val="21"/>
                    </w:rPr>
                  </w:pPr>
                  <w:r>
                    <w:rPr>
                      <w:b w:val="0"/>
                      <w:bCs w:val="0"/>
                      <w:sz w:val="21"/>
                      <w:szCs w:val="21"/>
                    </w:rPr>
                    <w:t>20</w:t>
                  </w:r>
                  <w:r>
                    <w:rPr>
                      <w:rFonts w:hint="eastAsia"/>
                      <w:b w:val="0"/>
                      <w:bCs w:val="0"/>
                      <w:sz w:val="21"/>
                      <w:szCs w:val="21"/>
                    </w:rPr>
                    <w:t>18.12.6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560" w:type="dxa"/>
                  <w:tcBorders>
                    <w:tl2br w:val="nil"/>
                    <w:tr2bl w:val="nil"/>
                  </w:tcBorders>
                  <w:vAlign w:val="center"/>
                </w:tcPr>
                <w:p>
                  <w:pPr>
                    <w:pStyle w:val="9"/>
                    <w:adjustRightInd w:val="0"/>
                    <w:snapToGrid w:val="0"/>
                    <w:spacing w:line="240" w:lineRule="auto"/>
                    <w:jc w:val="center"/>
                    <w:rPr>
                      <w:b w:val="0"/>
                      <w:bCs w:val="0"/>
                      <w:sz w:val="21"/>
                      <w:szCs w:val="21"/>
                    </w:rPr>
                  </w:pPr>
                  <w:r>
                    <w:rPr>
                      <w:b w:val="0"/>
                      <w:bCs w:val="0"/>
                      <w:sz w:val="21"/>
                      <w:szCs w:val="21"/>
                    </w:rPr>
                    <w:t>COD（mg/L）</w:t>
                  </w:r>
                </w:p>
              </w:tc>
              <w:tc>
                <w:tcPr>
                  <w:tcW w:w="1155"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37.1</w:t>
                  </w:r>
                </w:p>
              </w:tc>
              <w:tc>
                <w:tcPr>
                  <w:tcW w:w="1110"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29.4</w:t>
                  </w:r>
                </w:p>
              </w:tc>
              <w:tc>
                <w:tcPr>
                  <w:tcW w:w="1125"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31.8</w:t>
                  </w:r>
                </w:p>
              </w:tc>
              <w:tc>
                <w:tcPr>
                  <w:tcW w:w="1080"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29.6</w:t>
                  </w:r>
                </w:p>
              </w:tc>
              <w:tc>
                <w:tcPr>
                  <w:tcW w:w="1245"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28.7</w:t>
                  </w:r>
                </w:p>
              </w:tc>
              <w:tc>
                <w:tcPr>
                  <w:tcW w:w="1229"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28.9</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560" w:type="dxa"/>
                  <w:tcBorders>
                    <w:tl2br w:val="nil"/>
                    <w:tr2bl w:val="nil"/>
                  </w:tcBorders>
                  <w:vAlign w:val="center"/>
                </w:tcPr>
                <w:p>
                  <w:pPr>
                    <w:pStyle w:val="9"/>
                    <w:adjustRightInd w:val="0"/>
                    <w:snapToGrid w:val="0"/>
                    <w:spacing w:line="240" w:lineRule="auto"/>
                    <w:jc w:val="center"/>
                    <w:rPr>
                      <w:b w:val="0"/>
                      <w:bCs w:val="0"/>
                      <w:sz w:val="21"/>
                      <w:szCs w:val="21"/>
                    </w:rPr>
                  </w:pPr>
                  <w:r>
                    <w:rPr>
                      <w:b w:val="0"/>
                      <w:bCs w:val="0"/>
                      <w:sz w:val="21"/>
                      <w:szCs w:val="21"/>
                    </w:rPr>
                    <w:t>氨氮（mg/L）</w:t>
                  </w:r>
                </w:p>
              </w:tc>
              <w:tc>
                <w:tcPr>
                  <w:tcW w:w="1155"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1.07</w:t>
                  </w:r>
                </w:p>
              </w:tc>
              <w:tc>
                <w:tcPr>
                  <w:tcW w:w="1110"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0.25</w:t>
                  </w:r>
                </w:p>
              </w:tc>
              <w:tc>
                <w:tcPr>
                  <w:tcW w:w="1125"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1.59</w:t>
                  </w:r>
                </w:p>
              </w:tc>
              <w:tc>
                <w:tcPr>
                  <w:tcW w:w="1080"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2.03</w:t>
                  </w:r>
                </w:p>
              </w:tc>
              <w:tc>
                <w:tcPr>
                  <w:tcW w:w="1245"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0.21</w:t>
                  </w:r>
                </w:p>
              </w:tc>
              <w:tc>
                <w:tcPr>
                  <w:tcW w:w="1229"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0.36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560"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TP</w:t>
                  </w:r>
                  <w:r>
                    <w:rPr>
                      <w:b w:val="0"/>
                      <w:bCs w:val="0"/>
                      <w:sz w:val="21"/>
                      <w:szCs w:val="21"/>
                    </w:rPr>
                    <w:t>（mg/L）</w:t>
                  </w:r>
                </w:p>
              </w:tc>
              <w:tc>
                <w:tcPr>
                  <w:tcW w:w="1155"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0.0092</w:t>
                  </w:r>
                </w:p>
              </w:tc>
              <w:tc>
                <w:tcPr>
                  <w:tcW w:w="1110"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0.058</w:t>
                  </w:r>
                </w:p>
              </w:tc>
              <w:tc>
                <w:tcPr>
                  <w:tcW w:w="1125"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0.141</w:t>
                  </w:r>
                </w:p>
              </w:tc>
              <w:tc>
                <w:tcPr>
                  <w:tcW w:w="1080"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0.057</w:t>
                  </w:r>
                </w:p>
              </w:tc>
              <w:tc>
                <w:tcPr>
                  <w:tcW w:w="1245"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0.068</w:t>
                  </w:r>
                </w:p>
              </w:tc>
              <w:tc>
                <w:tcPr>
                  <w:tcW w:w="1229" w:type="dxa"/>
                  <w:tcBorders>
                    <w:tl2br w:val="nil"/>
                    <w:tr2bl w:val="nil"/>
                  </w:tcBorders>
                  <w:vAlign w:val="center"/>
                </w:tcPr>
                <w:p>
                  <w:pPr>
                    <w:pStyle w:val="9"/>
                    <w:adjustRightInd w:val="0"/>
                    <w:snapToGrid w:val="0"/>
                    <w:spacing w:line="240" w:lineRule="auto"/>
                    <w:jc w:val="center"/>
                    <w:rPr>
                      <w:b w:val="0"/>
                      <w:bCs w:val="0"/>
                      <w:sz w:val="21"/>
                      <w:szCs w:val="21"/>
                    </w:rPr>
                  </w:pPr>
                  <w:r>
                    <w:rPr>
                      <w:rFonts w:hint="eastAsia"/>
                      <w:b w:val="0"/>
                      <w:bCs w:val="0"/>
                      <w:sz w:val="21"/>
                      <w:szCs w:val="21"/>
                    </w:rPr>
                    <w:t>0.108</w:t>
                  </w:r>
                </w:p>
              </w:tc>
            </w:tr>
          </w:tbl>
          <w:p>
            <w:pPr>
              <w:pStyle w:val="9"/>
              <w:spacing w:line="360" w:lineRule="auto"/>
              <w:ind w:firstLine="480" w:firstLineChars="200"/>
              <w:rPr>
                <w:b w:val="0"/>
                <w:bCs w:val="0"/>
              </w:rPr>
            </w:pPr>
            <w:r>
              <w:rPr>
                <w:b w:val="0"/>
                <w:bCs w:val="0"/>
              </w:rPr>
              <w:t>项目</w:t>
            </w:r>
            <w:r>
              <w:rPr>
                <w:rFonts w:hint="eastAsia"/>
                <w:b w:val="0"/>
                <w:bCs w:val="0"/>
              </w:rPr>
              <w:t>东孟姜女河</w:t>
            </w:r>
            <w:r>
              <w:rPr>
                <w:b w:val="0"/>
                <w:bCs w:val="0"/>
              </w:rPr>
              <w:t>水质</w:t>
            </w:r>
            <w:r>
              <w:rPr>
                <w:rFonts w:hint="eastAsia"/>
                <w:b w:val="0"/>
                <w:bCs w:val="0"/>
              </w:rPr>
              <w:t>满足</w:t>
            </w:r>
            <w:r>
              <w:rPr>
                <w:b w:val="0"/>
                <w:bCs w:val="0"/>
              </w:rPr>
              <w:t>《地表水环境质量标准》（GB3838-2002）</w:t>
            </w:r>
            <w:r>
              <w:rPr>
                <w:b w:val="0"/>
                <w:bCs w:val="0"/>
              </w:rPr>
              <w:fldChar w:fldCharType="begin"/>
            </w:r>
            <w:r>
              <w:rPr>
                <w:b w:val="0"/>
                <w:bCs w:val="0"/>
              </w:rPr>
              <w:instrText xml:space="preserve"> = 4 \* ROMAN \* MERGEFORMAT </w:instrText>
            </w:r>
            <w:r>
              <w:rPr>
                <w:b w:val="0"/>
                <w:bCs w:val="0"/>
              </w:rPr>
              <w:fldChar w:fldCharType="separate"/>
            </w:r>
            <w:r>
              <w:rPr>
                <w:b w:val="0"/>
                <w:bCs w:val="0"/>
              </w:rPr>
              <w:t>V</w:t>
            </w:r>
            <w:r>
              <w:rPr>
                <w:b w:val="0"/>
                <w:bCs w:val="0"/>
              </w:rPr>
              <w:fldChar w:fldCharType="end"/>
            </w:r>
            <w:r>
              <w:rPr>
                <w:b w:val="0"/>
                <w:bCs w:val="0"/>
              </w:rPr>
              <w:t>类标准</w:t>
            </w:r>
            <w:r>
              <w:rPr>
                <w:rFonts w:hint="eastAsia"/>
                <w:b w:val="0"/>
                <w:bCs w:val="0"/>
              </w:rPr>
              <w:t>，本项目无生产废水，生活废水经化粪池处理后排入市政管网，不会对东孟姜女河造成明显影响</w:t>
            </w:r>
            <w:r>
              <w:rPr>
                <w:b w:val="0"/>
                <w:bCs w:val="0"/>
              </w:rPr>
              <w:t>。</w:t>
            </w:r>
          </w:p>
          <w:p>
            <w:pPr>
              <w:adjustRightInd w:val="0"/>
              <w:snapToGrid w:val="0"/>
              <w:spacing w:line="360" w:lineRule="auto"/>
              <w:rPr>
                <w:b/>
                <w:bCs/>
                <w:kern w:val="0"/>
                <w:sz w:val="24"/>
              </w:rPr>
            </w:pPr>
            <w:r>
              <w:rPr>
                <w:rFonts w:hint="eastAsia"/>
                <w:b/>
                <w:bCs/>
                <w:kern w:val="0"/>
                <w:sz w:val="24"/>
              </w:rPr>
              <w:t>3、</w:t>
            </w:r>
            <w:r>
              <w:rPr>
                <w:b/>
                <w:bCs/>
                <w:kern w:val="0"/>
                <w:sz w:val="24"/>
              </w:rPr>
              <w:t>声环境质量现状</w:t>
            </w:r>
          </w:p>
          <w:p>
            <w:pPr>
              <w:adjustRightInd w:val="0"/>
              <w:snapToGrid w:val="0"/>
              <w:spacing w:line="360" w:lineRule="auto"/>
              <w:ind w:firstLine="480" w:firstLineChars="200"/>
              <w:rPr>
                <w:sz w:val="24"/>
              </w:rPr>
            </w:pPr>
            <w:r>
              <w:rPr>
                <w:sz w:val="24"/>
              </w:rPr>
              <w:t>根据《声环境质量标准》（GB3096-2008），本项目所在区域处于</w:t>
            </w:r>
            <w:r>
              <w:rPr>
                <w:color w:val="000000"/>
                <w:sz w:val="24"/>
              </w:rPr>
              <w:t>属于</w:t>
            </w:r>
            <w:r>
              <w:rPr>
                <w:rFonts w:hint="eastAsia"/>
                <w:color w:val="000000"/>
                <w:sz w:val="24"/>
              </w:rPr>
              <w:t>3</w:t>
            </w:r>
            <w:r>
              <w:rPr>
                <w:color w:val="000000"/>
                <w:sz w:val="24"/>
              </w:rPr>
              <w:t>类声环境功能区。根</w:t>
            </w:r>
            <w:r>
              <w:rPr>
                <w:sz w:val="24"/>
              </w:rPr>
              <w:t>据现场实测，项目所在区域昼间噪声为5</w:t>
            </w:r>
            <w:r>
              <w:rPr>
                <w:rFonts w:hint="eastAsia"/>
                <w:sz w:val="24"/>
              </w:rPr>
              <w:t>2</w:t>
            </w:r>
            <w:r>
              <w:rPr>
                <w:sz w:val="24"/>
              </w:rPr>
              <w:t>~</w:t>
            </w:r>
            <w:r>
              <w:rPr>
                <w:rFonts w:hint="eastAsia"/>
                <w:sz w:val="24"/>
              </w:rPr>
              <w:t>55</w:t>
            </w:r>
            <w:r>
              <w:rPr>
                <w:sz w:val="24"/>
              </w:rPr>
              <w:t>dB(A)、夜间</w:t>
            </w:r>
            <w:r>
              <w:rPr>
                <w:rFonts w:hint="eastAsia"/>
                <w:sz w:val="24"/>
              </w:rPr>
              <w:t>45</w:t>
            </w:r>
            <w:r>
              <w:rPr>
                <w:sz w:val="24"/>
              </w:rPr>
              <w:t>~</w:t>
            </w:r>
            <w:r>
              <w:rPr>
                <w:rFonts w:hint="eastAsia"/>
                <w:sz w:val="24"/>
              </w:rPr>
              <w:t>48</w:t>
            </w:r>
            <w:r>
              <w:rPr>
                <w:sz w:val="24"/>
              </w:rPr>
              <w:t xml:space="preserve"> dB(A)，现状值均满足《声环境质量标准》（GB3096-2008）</w:t>
            </w:r>
            <w:r>
              <w:rPr>
                <w:rFonts w:hint="eastAsia"/>
                <w:sz w:val="24"/>
              </w:rPr>
              <w:t>3</w:t>
            </w:r>
            <w:r>
              <w:rPr>
                <w:sz w:val="24"/>
              </w:rPr>
              <w:t>类标准昼间6</w:t>
            </w:r>
            <w:r>
              <w:rPr>
                <w:rFonts w:hint="eastAsia"/>
                <w:sz w:val="24"/>
              </w:rPr>
              <w:t>5</w:t>
            </w:r>
            <w:r>
              <w:rPr>
                <w:sz w:val="24"/>
              </w:rPr>
              <w:t>dB(A)、夜间5</w:t>
            </w:r>
            <w:r>
              <w:rPr>
                <w:rFonts w:hint="eastAsia"/>
                <w:sz w:val="24"/>
              </w:rPr>
              <w:t>5</w:t>
            </w:r>
            <w:r>
              <w:rPr>
                <w:sz w:val="24"/>
              </w:rPr>
              <w:t xml:space="preserve"> dB(A)要求，区域声环境质量较好。</w:t>
            </w:r>
          </w:p>
        </w:tc>
      </w:tr>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3890" w:hRule="atLeast"/>
          <w:jc w:val="center"/>
        </w:trPr>
        <w:tc>
          <w:tcPr>
            <w:tcW w:w="9071" w:type="dxa"/>
          </w:tcPr>
          <w:p>
            <w:pPr>
              <w:adjustRightInd w:val="0"/>
              <w:snapToGrid w:val="0"/>
              <w:spacing w:before="156" w:beforeLines="50" w:line="360" w:lineRule="auto"/>
              <w:rPr>
                <w:rFonts w:ascii="宋体" w:hAnsi="宋体" w:cs="宋体"/>
                <w:bCs/>
                <w:sz w:val="24"/>
              </w:rPr>
            </w:pPr>
            <w:r>
              <w:rPr>
                <w:rFonts w:hint="eastAsia" w:cs="宋体"/>
                <w:b/>
                <w:sz w:val="24"/>
              </w:rPr>
              <w:t>主要环境保护目标（列出名单及保护级别）：</w:t>
            </w:r>
          </w:p>
          <w:p>
            <w:pPr>
              <w:adjustRightInd w:val="0"/>
              <w:snapToGrid w:val="0"/>
              <w:jc w:val="center"/>
              <w:rPr>
                <w:rFonts w:eastAsia="黑体"/>
                <w:bCs/>
                <w:sz w:val="24"/>
              </w:rPr>
            </w:pPr>
            <w:r>
              <w:rPr>
                <w:rFonts w:eastAsia="黑体"/>
                <w:bCs/>
                <w:sz w:val="24"/>
              </w:rPr>
              <w:t>表1</w:t>
            </w:r>
            <w:r>
              <w:rPr>
                <w:rFonts w:hint="eastAsia" w:eastAsia="黑体"/>
                <w:bCs/>
                <w:sz w:val="24"/>
                <w:lang w:val="en-US" w:eastAsia="zh-CN"/>
              </w:rPr>
              <w:t xml:space="preserve">8 </w:t>
            </w:r>
            <w:r>
              <w:rPr>
                <w:rFonts w:hint="eastAsia" w:eastAsia="黑体"/>
                <w:bCs/>
                <w:sz w:val="24"/>
              </w:rPr>
              <w:t xml:space="preserve"> </w:t>
            </w:r>
            <w:r>
              <w:rPr>
                <w:rFonts w:eastAsia="黑体"/>
                <w:bCs/>
                <w:sz w:val="24"/>
              </w:rPr>
              <w:t>主要环境保护目标</w:t>
            </w:r>
          </w:p>
          <w:tbl>
            <w:tblPr>
              <w:tblStyle w:val="23"/>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620"/>
              <w:gridCol w:w="1320"/>
              <w:gridCol w:w="1380"/>
              <w:gridCol w:w="30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7" w:type="dxa"/>
                  <w:tcBorders>
                    <w:tl2br w:val="nil"/>
                    <w:tr2bl w:val="nil"/>
                  </w:tcBorders>
                  <w:vAlign w:val="center"/>
                </w:tcPr>
                <w:p>
                  <w:pPr>
                    <w:jc w:val="center"/>
                    <w:rPr>
                      <w:szCs w:val="21"/>
                    </w:rPr>
                  </w:pPr>
                  <w:r>
                    <w:rPr>
                      <w:szCs w:val="21"/>
                    </w:rPr>
                    <w:t>环境类别</w:t>
                  </w:r>
                </w:p>
              </w:tc>
              <w:tc>
                <w:tcPr>
                  <w:tcW w:w="1620" w:type="dxa"/>
                  <w:tcBorders>
                    <w:tl2br w:val="nil"/>
                    <w:tr2bl w:val="nil"/>
                  </w:tcBorders>
                  <w:vAlign w:val="center"/>
                </w:tcPr>
                <w:p>
                  <w:pPr>
                    <w:jc w:val="center"/>
                    <w:rPr>
                      <w:szCs w:val="21"/>
                    </w:rPr>
                  </w:pPr>
                  <w:r>
                    <w:rPr>
                      <w:szCs w:val="21"/>
                    </w:rPr>
                    <w:t>环境保护目标</w:t>
                  </w:r>
                </w:p>
              </w:tc>
              <w:tc>
                <w:tcPr>
                  <w:tcW w:w="1320" w:type="dxa"/>
                  <w:tcBorders>
                    <w:tl2br w:val="nil"/>
                    <w:tr2bl w:val="nil"/>
                  </w:tcBorders>
                  <w:vAlign w:val="center"/>
                </w:tcPr>
                <w:p>
                  <w:pPr>
                    <w:jc w:val="center"/>
                    <w:rPr>
                      <w:szCs w:val="21"/>
                    </w:rPr>
                  </w:pPr>
                  <w:r>
                    <w:rPr>
                      <w:szCs w:val="21"/>
                    </w:rPr>
                    <w:t>规模</w:t>
                  </w:r>
                </w:p>
              </w:tc>
              <w:tc>
                <w:tcPr>
                  <w:tcW w:w="1380" w:type="dxa"/>
                  <w:tcBorders>
                    <w:tl2br w:val="nil"/>
                    <w:tr2bl w:val="nil"/>
                  </w:tcBorders>
                  <w:vAlign w:val="center"/>
                </w:tcPr>
                <w:p>
                  <w:pPr>
                    <w:jc w:val="center"/>
                    <w:rPr>
                      <w:szCs w:val="21"/>
                    </w:rPr>
                  </w:pPr>
                  <w:r>
                    <w:rPr>
                      <w:szCs w:val="21"/>
                    </w:rPr>
                    <w:t>方位及距离</w:t>
                  </w:r>
                </w:p>
              </w:tc>
              <w:tc>
                <w:tcPr>
                  <w:tcW w:w="3027" w:type="dxa"/>
                  <w:tcBorders>
                    <w:tl2br w:val="nil"/>
                    <w:tr2bl w:val="nil"/>
                  </w:tcBorders>
                  <w:vAlign w:val="center"/>
                </w:tcPr>
                <w:p>
                  <w:pPr>
                    <w:jc w:val="center"/>
                    <w:rPr>
                      <w:szCs w:val="21"/>
                    </w:rPr>
                  </w:pPr>
                  <w:r>
                    <w:rPr>
                      <w:szCs w:val="21"/>
                    </w:rPr>
                    <w:t>保护级别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7" w:type="dxa"/>
                  <w:vMerge w:val="restart"/>
                  <w:tcBorders>
                    <w:tl2br w:val="nil"/>
                    <w:tr2bl w:val="nil"/>
                  </w:tcBorders>
                  <w:vAlign w:val="center"/>
                </w:tcPr>
                <w:p>
                  <w:pPr>
                    <w:jc w:val="center"/>
                    <w:rPr>
                      <w:szCs w:val="21"/>
                    </w:rPr>
                  </w:pPr>
                  <w:r>
                    <w:rPr>
                      <w:szCs w:val="21"/>
                    </w:rPr>
                    <w:t>大气环境</w:t>
                  </w:r>
                </w:p>
              </w:tc>
              <w:tc>
                <w:tcPr>
                  <w:tcW w:w="1620" w:type="dxa"/>
                  <w:tcBorders>
                    <w:tl2br w:val="nil"/>
                    <w:tr2bl w:val="nil"/>
                  </w:tcBorders>
                  <w:vAlign w:val="center"/>
                </w:tcPr>
                <w:p>
                  <w:pPr>
                    <w:tabs>
                      <w:tab w:val="left" w:pos="792"/>
                      <w:tab w:val="left" w:pos="3072"/>
                      <w:tab w:val="left" w:pos="4752"/>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刘</w:t>
                  </w:r>
                  <w:r>
                    <w:rPr>
                      <w:color w:val="000000" w:themeColor="text1"/>
                      <w:szCs w:val="21"/>
                      <w14:textFill>
                        <w14:solidFill>
                          <w14:schemeClr w14:val="tx1"/>
                        </w14:solidFill>
                      </w14:textFill>
                    </w:rPr>
                    <w:t>庄村</w:t>
                  </w:r>
                </w:p>
              </w:tc>
              <w:tc>
                <w:tcPr>
                  <w:tcW w:w="1320" w:type="dxa"/>
                  <w:tcBorders>
                    <w:tl2br w:val="nil"/>
                    <w:tr2bl w:val="nil"/>
                  </w:tcBorders>
                  <w:vAlign w:val="center"/>
                </w:tcPr>
                <w:p>
                  <w:pPr>
                    <w:tabs>
                      <w:tab w:val="left" w:pos="792"/>
                      <w:tab w:val="left" w:pos="3072"/>
                      <w:tab w:val="left" w:pos="4752"/>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约700人</w:t>
                  </w:r>
                </w:p>
              </w:tc>
              <w:tc>
                <w:tcPr>
                  <w:tcW w:w="1380" w:type="dxa"/>
                  <w:tcBorders>
                    <w:tl2br w:val="nil"/>
                    <w:tr2bl w:val="nil"/>
                  </w:tcBorders>
                  <w:vAlign w:val="center"/>
                </w:tcPr>
                <w:p>
                  <w:pPr>
                    <w:tabs>
                      <w:tab w:val="left" w:pos="792"/>
                      <w:tab w:val="left" w:pos="3072"/>
                      <w:tab w:val="left" w:pos="4752"/>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103</w:t>
                  </w:r>
                  <w:r>
                    <w:rPr>
                      <w:color w:val="000000" w:themeColor="text1"/>
                      <w:szCs w:val="21"/>
                      <w14:textFill>
                        <w14:solidFill>
                          <w14:schemeClr w14:val="tx1"/>
                        </w14:solidFill>
                      </w14:textFill>
                    </w:rPr>
                    <w:t>m</w:t>
                  </w:r>
                </w:p>
              </w:tc>
              <w:tc>
                <w:tcPr>
                  <w:tcW w:w="3027" w:type="dxa"/>
                  <w:vMerge w:val="restart"/>
                  <w:tcBorders>
                    <w:tl2br w:val="nil"/>
                    <w:tr2bl w:val="nil"/>
                  </w:tcBorders>
                  <w:vAlign w:val="center"/>
                </w:tcPr>
                <w:p>
                  <w:pPr>
                    <w:jc w:val="center"/>
                    <w:rPr>
                      <w:szCs w:val="21"/>
                    </w:rPr>
                  </w:pPr>
                  <w:r>
                    <w:rPr>
                      <w:szCs w:val="21"/>
                    </w:rPr>
                    <w:t>《环境空气质量标准》（GB3095-2012）二级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7" w:type="dxa"/>
                  <w:vMerge w:val="continue"/>
                  <w:tcBorders>
                    <w:tl2br w:val="nil"/>
                    <w:tr2bl w:val="nil"/>
                  </w:tcBorders>
                  <w:vAlign w:val="center"/>
                </w:tcPr>
                <w:p>
                  <w:pPr>
                    <w:jc w:val="center"/>
                    <w:rPr>
                      <w:szCs w:val="21"/>
                    </w:rPr>
                  </w:pPr>
                </w:p>
              </w:tc>
              <w:tc>
                <w:tcPr>
                  <w:tcW w:w="1620" w:type="dxa"/>
                  <w:tcBorders>
                    <w:tl2br w:val="nil"/>
                    <w:tr2bl w:val="nil"/>
                  </w:tcBorders>
                  <w:vAlign w:val="center"/>
                </w:tcPr>
                <w:p>
                  <w:pPr>
                    <w:tabs>
                      <w:tab w:val="left" w:pos="792"/>
                      <w:tab w:val="left" w:pos="3072"/>
                      <w:tab w:val="left" w:pos="4752"/>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七里营第五村</w:t>
                  </w:r>
                </w:p>
              </w:tc>
              <w:tc>
                <w:tcPr>
                  <w:tcW w:w="1320" w:type="dxa"/>
                  <w:tcBorders>
                    <w:tl2br w:val="nil"/>
                    <w:tr2bl w:val="nil"/>
                  </w:tcBorders>
                  <w:vAlign w:val="center"/>
                </w:tcPr>
                <w:p>
                  <w:pPr>
                    <w:tabs>
                      <w:tab w:val="left" w:pos="792"/>
                      <w:tab w:val="left" w:pos="3072"/>
                      <w:tab w:val="left" w:pos="4752"/>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约2000人</w:t>
                  </w:r>
                </w:p>
              </w:tc>
              <w:tc>
                <w:tcPr>
                  <w:tcW w:w="1380" w:type="dxa"/>
                  <w:tcBorders>
                    <w:tl2br w:val="nil"/>
                    <w:tr2bl w:val="nil"/>
                  </w:tcBorders>
                  <w:vAlign w:val="center"/>
                </w:tcPr>
                <w:p>
                  <w:pPr>
                    <w:tabs>
                      <w:tab w:val="left" w:pos="792"/>
                      <w:tab w:val="left" w:pos="3072"/>
                      <w:tab w:val="left" w:pos="4752"/>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北8</w:t>
                  </w:r>
                  <w:r>
                    <w:rPr>
                      <w:rFonts w:hint="eastAsia"/>
                      <w:color w:val="000000" w:themeColor="text1"/>
                      <w:szCs w:val="21"/>
                      <w:lang w:val="en-US" w:eastAsia="zh-CN"/>
                      <w14:textFill>
                        <w14:solidFill>
                          <w14:schemeClr w14:val="tx1"/>
                        </w14:solidFill>
                      </w14:textFill>
                    </w:rPr>
                    <w:t>29</w:t>
                  </w:r>
                  <w:r>
                    <w:rPr>
                      <w:rFonts w:hint="eastAsia"/>
                      <w:color w:val="000000" w:themeColor="text1"/>
                      <w:szCs w:val="21"/>
                      <w14:textFill>
                        <w14:solidFill>
                          <w14:schemeClr w14:val="tx1"/>
                        </w14:solidFill>
                      </w14:textFill>
                    </w:rPr>
                    <w:t>m</w:t>
                  </w:r>
                </w:p>
              </w:tc>
              <w:tc>
                <w:tcPr>
                  <w:tcW w:w="3027" w:type="dxa"/>
                  <w:vMerge w:val="continue"/>
                  <w:tcBorders>
                    <w:tl2br w:val="nil"/>
                    <w:tr2bl w:val="nil"/>
                  </w:tcBorders>
                  <w:vAlign w:val="center"/>
                </w:tcPr>
                <w:p>
                  <w:pPr>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7" w:type="dxa"/>
                  <w:tcBorders>
                    <w:tl2br w:val="nil"/>
                    <w:tr2bl w:val="nil"/>
                  </w:tcBorders>
                  <w:vAlign w:val="center"/>
                </w:tcPr>
                <w:p>
                  <w:pPr>
                    <w:jc w:val="center"/>
                    <w:rPr>
                      <w:szCs w:val="21"/>
                    </w:rPr>
                  </w:pPr>
                  <w:r>
                    <w:rPr>
                      <w:szCs w:val="21"/>
                    </w:rPr>
                    <w:t>声环境</w:t>
                  </w:r>
                </w:p>
              </w:tc>
              <w:tc>
                <w:tcPr>
                  <w:tcW w:w="1620" w:type="dxa"/>
                  <w:tcBorders>
                    <w:tl2br w:val="nil"/>
                    <w:tr2bl w:val="nil"/>
                  </w:tcBorders>
                  <w:vAlign w:val="center"/>
                </w:tcPr>
                <w:p>
                  <w:pPr>
                    <w:tabs>
                      <w:tab w:val="left" w:pos="792"/>
                      <w:tab w:val="left" w:pos="3072"/>
                      <w:tab w:val="left" w:pos="4752"/>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四周界外</w:t>
                  </w:r>
                </w:p>
              </w:tc>
              <w:tc>
                <w:tcPr>
                  <w:tcW w:w="1320" w:type="dxa"/>
                  <w:tcBorders>
                    <w:tl2br w:val="nil"/>
                    <w:tr2bl w:val="nil"/>
                  </w:tcBorders>
                  <w:vAlign w:val="center"/>
                </w:tcPr>
                <w:p>
                  <w:pPr>
                    <w:tabs>
                      <w:tab w:val="left" w:pos="792"/>
                      <w:tab w:val="left" w:pos="3072"/>
                      <w:tab w:val="left" w:pos="4752"/>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80" w:type="dxa"/>
                  <w:tcBorders>
                    <w:tl2br w:val="nil"/>
                    <w:tr2bl w:val="nil"/>
                  </w:tcBorders>
                  <w:vAlign w:val="center"/>
                </w:tcPr>
                <w:p>
                  <w:pPr>
                    <w:tabs>
                      <w:tab w:val="left" w:pos="792"/>
                      <w:tab w:val="left" w:pos="3072"/>
                      <w:tab w:val="left" w:pos="4752"/>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四周界外1m</w:t>
                  </w:r>
                </w:p>
              </w:tc>
              <w:tc>
                <w:tcPr>
                  <w:tcW w:w="3027" w:type="dxa"/>
                  <w:tcBorders>
                    <w:tl2br w:val="nil"/>
                    <w:tr2bl w:val="nil"/>
                  </w:tcBorders>
                  <w:vAlign w:val="center"/>
                </w:tcPr>
                <w:p>
                  <w:pPr>
                    <w:adjustRightInd w:val="0"/>
                    <w:snapToGrid w:val="0"/>
                    <w:jc w:val="center"/>
                    <w:rPr>
                      <w:bCs/>
                      <w:snapToGrid w:val="0"/>
                      <w:color w:val="000000" w:themeColor="text1"/>
                      <w:kern w:val="0"/>
                      <w:szCs w:val="21"/>
                      <w14:textFill>
                        <w14:solidFill>
                          <w14:schemeClr w14:val="tx1"/>
                        </w14:solidFill>
                      </w14:textFill>
                    </w:rPr>
                  </w:pPr>
                  <w:bookmarkStart w:id="0" w:name="OLE_LINK4"/>
                  <w:r>
                    <w:rPr>
                      <w:bCs/>
                      <w:snapToGrid w:val="0"/>
                      <w:color w:val="000000" w:themeColor="text1"/>
                      <w:kern w:val="0"/>
                      <w:szCs w:val="21"/>
                      <w14:textFill>
                        <w14:solidFill>
                          <w14:schemeClr w14:val="tx1"/>
                        </w14:solidFill>
                      </w14:textFill>
                    </w:rPr>
                    <w:t>《声环境质量标准》</w:t>
                  </w:r>
                </w:p>
                <w:p>
                  <w:pPr>
                    <w:jc w:val="center"/>
                    <w:rPr>
                      <w:color w:val="000000" w:themeColor="text1"/>
                      <w:szCs w:val="21"/>
                      <w14:textFill>
                        <w14:solidFill>
                          <w14:schemeClr w14:val="tx1"/>
                        </w14:solidFill>
                      </w14:textFill>
                    </w:rPr>
                  </w:pPr>
                  <w:r>
                    <w:rPr>
                      <w:bCs/>
                      <w:snapToGrid w:val="0"/>
                      <w:color w:val="000000" w:themeColor="text1"/>
                      <w:kern w:val="0"/>
                      <w:szCs w:val="21"/>
                      <w14:textFill>
                        <w14:solidFill>
                          <w14:schemeClr w14:val="tx1"/>
                        </w14:solidFill>
                      </w14:textFill>
                    </w:rPr>
                    <w:t>（GB3096-2008）</w:t>
                  </w:r>
                  <w:r>
                    <w:rPr>
                      <w:rFonts w:hint="eastAsia"/>
                      <w:bCs/>
                      <w:snapToGrid w:val="0"/>
                      <w:color w:val="000000" w:themeColor="text1"/>
                      <w:kern w:val="0"/>
                      <w:szCs w:val="21"/>
                      <w14:textFill>
                        <w14:solidFill>
                          <w14:schemeClr w14:val="tx1"/>
                        </w14:solidFill>
                      </w14:textFill>
                    </w:rPr>
                    <w:t>3</w:t>
                  </w:r>
                  <w:r>
                    <w:rPr>
                      <w:bCs/>
                      <w:snapToGrid w:val="0"/>
                      <w:color w:val="000000" w:themeColor="text1"/>
                      <w:kern w:val="0"/>
                      <w:szCs w:val="21"/>
                      <w14:textFill>
                        <w14:solidFill>
                          <w14:schemeClr w14:val="tx1"/>
                        </w14:solidFill>
                      </w14:textFill>
                    </w:rPr>
                    <w:t>类</w:t>
                  </w:r>
                  <w:bookmarkEnd w:id="0"/>
                  <w:r>
                    <w:rPr>
                      <w:bCs/>
                      <w:snapToGrid w:val="0"/>
                      <w:color w:val="000000" w:themeColor="text1"/>
                      <w:kern w:val="0"/>
                      <w:szCs w:val="21"/>
                      <w14:textFill>
                        <w14:solidFill>
                          <w14:schemeClr w14:val="tx1"/>
                        </w14:solidFill>
                      </w14:textFill>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7" w:type="dxa"/>
                  <w:tcBorders>
                    <w:tl2br w:val="nil"/>
                    <w:tr2bl w:val="nil"/>
                  </w:tcBorders>
                  <w:vAlign w:val="center"/>
                </w:tcPr>
                <w:p>
                  <w:pPr>
                    <w:jc w:val="center"/>
                    <w:rPr>
                      <w:szCs w:val="21"/>
                    </w:rPr>
                  </w:pPr>
                  <w:r>
                    <w:rPr>
                      <w:szCs w:val="21"/>
                    </w:rPr>
                    <w:t>地表水</w:t>
                  </w:r>
                </w:p>
              </w:tc>
              <w:tc>
                <w:tcPr>
                  <w:tcW w:w="1620" w:type="dxa"/>
                  <w:tcBorders>
                    <w:tl2br w:val="nil"/>
                    <w:tr2bl w:val="nil"/>
                  </w:tcBorders>
                  <w:vAlign w:val="center"/>
                </w:tcPr>
                <w:p>
                  <w:pPr>
                    <w:tabs>
                      <w:tab w:val="center" w:pos="4153"/>
                      <w:tab w:val="right" w:pos="830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东孟姜女河</w:t>
                  </w:r>
                </w:p>
              </w:tc>
              <w:tc>
                <w:tcPr>
                  <w:tcW w:w="1320" w:type="dxa"/>
                  <w:tcBorders>
                    <w:tl2br w:val="nil"/>
                    <w:tr2bl w:val="nil"/>
                  </w:tcBorders>
                  <w:vAlign w:val="center"/>
                </w:tcPr>
                <w:p>
                  <w:pPr>
                    <w:tabs>
                      <w:tab w:val="center" w:pos="4153"/>
                      <w:tab w:val="right" w:pos="830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小河</w:t>
                  </w:r>
                </w:p>
              </w:tc>
              <w:tc>
                <w:tcPr>
                  <w:tcW w:w="1380" w:type="dxa"/>
                  <w:tcBorders>
                    <w:tl2br w:val="nil"/>
                    <w:tr2bl w:val="nil"/>
                  </w:tcBorders>
                  <w:vAlign w:val="center"/>
                </w:tcPr>
                <w:p>
                  <w:pPr>
                    <w:tabs>
                      <w:tab w:val="center" w:pos="4153"/>
                      <w:tab w:val="right" w:pos="830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东南15</w:t>
                  </w:r>
                  <w:r>
                    <w:rPr>
                      <w:rFonts w:hint="eastAsia"/>
                      <w:color w:val="000000" w:themeColor="text1"/>
                      <w:szCs w:val="21"/>
                      <w:lang w:val="en-US" w:eastAsia="zh-CN"/>
                      <w14:textFill>
                        <w14:solidFill>
                          <w14:schemeClr w14:val="tx1"/>
                        </w14:solidFill>
                      </w14:textFill>
                    </w:rPr>
                    <w:t>9</w:t>
                  </w:r>
                  <w:r>
                    <w:rPr>
                      <w:rFonts w:hint="eastAsia"/>
                      <w:color w:val="000000" w:themeColor="text1"/>
                      <w:szCs w:val="21"/>
                      <w14:textFill>
                        <w14:solidFill>
                          <w14:schemeClr w14:val="tx1"/>
                        </w14:solidFill>
                      </w14:textFill>
                    </w:rPr>
                    <w:t>8m</w:t>
                  </w:r>
                </w:p>
              </w:tc>
              <w:tc>
                <w:tcPr>
                  <w:tcW w:w="3027" w:type="dxa"/>
                  <w:tcBorders>
                    <w:tl2br w:val="nil"/>
                    <w:tr2bl w:val="nil"/>
                  </w:tcBorders>
                  <w:vAlign w:val="center"/>
                </w:tcPr>
                <w:p>
                  <w:pPr>
                    <w:adjustRightInd w:val="0"/>
                    <w:snapToGrid w:val="0"/>
                    <w:jc w:val="center"/>
                    <w:rPr>
                      <w:szCs w:val="21"/>
                    </w:rPr>
                  </w:pPr>
                  <w:r>
                    <w:rPr>
                      <w:rFonts w:hint="eastAsia"/>
                      <w:szCs w:val="21"/>
                    </w:rPr>
                    <w:t>《地表水环境质量标准》（GB3838—2002）</w:t>
                  </w:r>
                  <w:r>
                    <w:rPr>
                      <w:rFonts w:hint="eastAsia"/>
                      <w:szCs w:val="21"/>
                    </w:rPr>
                    <w:fldChar w:fldCharType="begin"/>
                  </w:r>
                  <w:r>
                    <w:rPr>
                      <w:rFonts w:hint="eastAsia"/>
                      <w:szCs w:val="21"/>
                    </w:rPr>
                    <w:instrText xml:space="preserve"> = 4 \* ROMAN \* MERGEFORMAT </w:instrText>
                  </w:r>
                  <w:r>
                    <w:rPr>
                      <w:rFonts w:hint="eastAsia"/>
                      <w:szCs w:val="21"/>
                    </w:rPr>
                    <w:fldChar w:fldCharType="separate"/>
                  </w:r>
                  <w:r>
                    <w:rPr>
                      <w:szCs w:val="21"/>
                    </w:rPr>
                    <w:t>V</w:t>
                  </w:r>
                  <w:r>
                    <w:rPr>
                      <w:rFonts w:hint="eastAsia"/>
                      <w:szCs w:val="21"/>
                    </w:rPr>
                    <w:fldChar w:fldCharType="end"/>
                  </w:r>
                  <w:r>
                    <w:rPr>
                      <w:rFonts w:hint="eastAsia"/>
                      <w:szCs w:val="21"/>
                    </w:rPr>
                    <w:t>类标准</w:t>
                  </w:r>
                </w:p>
              </w:tc>
            </w:tr>
          </w:tbl>
          <w:p>
            <w:pPr>
              <w:pStyle w:val="39"/>
              <w:ind w:firstLine="0" w:firstLineChars="0"/>
            </w:pPr>
          </w:p>
        </w:tc>
      </w:tr>
    </w:tbl>
    <w:p>
      <w:pPr>
        <w:adjustRightInd w:val="0"/>
        <w:snapToGrid w:val="0"/>
        <w:rPr>
          <w:rFonts w:ascii="宋体" w:hAnsi="宋体" w:cs="宋体"/>
          <w:b/>
          <w:sz w:val="28"/>
          <w:szCs w:val="28"/>
        </w:rPr>
      </w:pPr>
      <w:r>
        <w:rPr>
          <w:rFonts w:ascii="宋体" w:hAnsi="宋体" w:cs="宋体"/>
          <w:b/>
          <w:sz w:val="28"/>
          <w:szCs w:val="28"/>
        </w:rPr>
        <w:br w:type="page"/>
      </w:r>
      <w:r>
        <w:rPr>
          <w:rFonts w:hint="eastAsia" w:ascii="宋体" w:hAnsi="宋体" w:cs="宋体"/>
          <w:b/>
          <w:sz w:val="28"/>
          <w:szCs w:val="28"/>
        </w:rPr>
        <w:t>评价适用标准</w:t>
      </w:r>
    </w:p>
    <w:tbl>
      <w:tblPr>
        <w:tblStyle w:val="23"/>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7"/>
        <w:gridCol w:w="84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75" w:hRule="atLeast"/>
          <w:jc w:val="center"/>
        </w:trPr>
        <w:tc>
          <w:tcPr>
            <w:tcW w:w="637" w:type="dxa"/>
            <w:tcBorders>
              <w:bottom w:val="single" w:color="auto" w:sz="12" w:space="0"/>
            </w:tcBorders>
            <w:vAlign w:val="center"/>
          </w:tcPr>
          <w:p>
            <w:pPr>
              <w:adjustRightInd w:val="0"/>
              <w:snapToGrid w:val="0"/>
              <w:jc w:val="center"/>
              <w:rPr>
                <w:b/>
                <w:bCs/>
                <w:sz w:val="24"/>
              </w:rPr>
            </w:pPr>
            <w:r>
              <w:rPr>
                <w:b/>
                <w:bCs/>
                <w:sz w:val="24"/>
              </w:rPr>
              <w:t>环境质量标准</w:t>
            </w:r>
          </w:p>
        </w:tc>
        <w:tc>
          <w:tcPr>
            <w:tcW w:w="8434" w:type="dxa"/>
            <w:tcBorders>
              <w:bottom w:val="single" w:color="auto" w:sz="12" w:space="0"/>
            </w:tcBorders>
            <w:vAlign w:val="center"/>
          </w:tcPr>
          <w:tbl>
            <w:tblPr>
              <w:tblStyle w:val="23"/>
              <w:tblW w:w="79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16"/>
              <w:gridCol w:w="2034"/>
              <w:gridCol w:w="25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6" w:type="dxa"/>
                  <w:vAlign w:val="center"/>
                </w:tcPr>
                <w:p>
                  <w:pPr>
                    <w:adjustRightInd w:val="0"/>
                    <w:snapToGrid w:val="0"/>
                    <w:jc w:val="center"/>
                    <w:rPr>
                      <w:szCs w:val="21"/>
                    </w:rPr>
                  </w:pPr>
                  <w:r>
                    <w:rPr>
                      <w:szCs w:val="21"/>
                    </w:rPr>
                    <w:t>执行标准及级别</w:t>
                  </w:r>
                </w:p>
              </w:tc>
              <w:tc>
                <w:tcPr>
                  <w:tcW w:w="2034" w:type="dxa"/>
                  <w:vAlign w:val="center"/>
                </w:tcPr>
                <w:p>
                  <w:pPr>
                    <w:adjustRightInd w:val="0"/>
                    <w:snapToGrid w:val="0"/>
                    <w:jc w:val="center"/>
                    <w:rPr>
                      <w:szCs w:val="21"/>
                    </w:rPr>
                  </w:pPr>
                  <w:r>
                    <w:rPr>
                      <w:szCs w:val="21"/>
                    </w:rPr>
                    <w:t>项目</w:t>
                  </w:r>
                </w:p>
              </w:tc>
              <w:tc>
                <w:tcPr>
                  <w:tcW w:w="2587" w:type="dxa"/>
                  <w:vAlign w:val="center"/>
                </w:tcPr>
                <w:p>
                  <w:pPr>
                    <w:adjustRightInd w:val="0"/>
                    <w:snapToGrid w:val="0"/>
                    <w:jc w:val="center"/>
                    <w:rPr>
                      <w:szCs w:val="21"/>
                    </w:rPr>
                  </w:pPr>
                  <w:r>
                    <w:rPr>
                      <w:szCs w:val="21"/>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6" w:type="dxa"/>
                  <w:vMerge w:val="restart"/>
                  <w:vAlign w:val="center"/>
                </w:tcPr>
                <w:p>
                  <w:pPr>
                    <w:adjustRightInd w:val="0"/>
                    <w:snapToGrid w:val="0"/>
                    <w:jc w:val="center"/>
                    <w:rPr>
                      <w:szCs w:val="21"/>
                    </w:rPr>
                  </w:pPr>
                  <w:r>
                    <w:rPr>
                      <w:szCs w:val="21"/>
                    </w:rPr>
                    <w:t>《环境空气质量标准》（GB3095-2012）二级标准</w:t>
                  </w:r>
                </w:p>
              </w:tc>
              <w:tc>
                <w:tcPr>
                  <w:tcW w:w="2034" w:type="dxa"/>
                  <w:vAlign w:val="center"/>
                </w:tcPr>
                <w:p>
                  <w:pPr>
                    <w:adjustRightInd w:val="0"/>
                    <w:snapToGrid w:val="0"/>
                    <w:jc w:val="center"/>
                    <w:rPr>
                      <w:szCs w:val="21"/>
                    </w:rPr>
                  </w:pPr>
                  <w:r>
                    <w:rPr>
                      <w:szCs w:val="21"/>
                    </w:rPr>
                    <w:t>SO</w:t>
                  </w:r>
                  <w:r>
                    <w:rPr>
                      <w:szCs w:val="21"/>
                      <w:vertAlign w:val="subscript"/>
                    </w:rPr>
                    <w:t>2</w:t>
                  </w:r>
                </w:p>
              </w:tc>
              <w:tc>
                <w:tcPr>
                  <w:tcW w:w="2587" w:type="dxa"/>
                  <w:vAlign w:val="center"/>
                </w:tcPr>
                <w:p>
                  <w:pPr>
                    <w:adjustRightInd w:val="0"/>
                    <w:snapToGrid w:val="0"/>
                    <w:jc w:val="center"/>
                    <w:rPr>
                      <w:szCs w:val="21"/>
                    </w:rPr>
                  </w:pPr>
                  <w:r>
                    <w:rPr>
                      <w:szCs w:val="21"/>
                    </w:rPr>
                    <w:t>24小时平均：150μg/m</w:t>
                  </w:r>
                  <w:r>
                    <w:rPr>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6" w:type="dxa"/>
                  <w:vMerge w:val="continue"/>
                  <w:vAlign w:val="center"/>
                </w:tcPr>
                <w:p>
                  <w:pPr>
                    <w:adjustRightInd w:val="0"/>
                    <w:snapToGrid w:val="0"/>
                    <w:jc w:val="center"/>
                    <w:rPr>
                      <w:szCs w:val="21"/>
                    </w:rPr>
                  </w:pPr>
                </w:p>
              </w:tc>
              <w:tc>
                <w:tcPr>
                  <w:tcW w:w="2034" w:type="dxa"/>
                  <w:vAlign w:val="center"/>
                </w:tcPr>
                <w:p>
                  <w:pPr>
                    <w:adjustRightInd w:val="0"/>
                    <w:snapToGrid w:val="0"/>
                    <w:jc w:val="center"/>
                    <w:rPr>
                      <w:szCs w:val="21"/>
                    </w:rPr>
                  </w:pPr>
                  <w:r>
                    <w:rPr>
                      <w:szCs w:val="21"/>
                    </w:rPr>
                    <w:t>PM</w:t>
                  </w:r>
                  <w:r>
                    <w:rPr>
                      <w:szCs w:val="21"/>
                      <w:vertAlign w:val="subscript"/>
                    </w:rPr>
                    <w:t>10</w:t>
                  </w:r>
                </w:p>
              </w:tc>
              <w:tc>
                <w:tcPr>
                  <w:tcW w:w="2587" w:type="dxa"/>
                  <w:vAlign w:val="center"/>
                </w:tcPr>
                <w:p>
                  <w:pPr>
                    <w:adjustRightInd w:val="0"/>
                    <w:snapToGrid w:val="0"/>
                    <w:jc w:val="center"/>
                    <w:rPr>
                      <w:szCs w:val="21"/>
                    </w:rPr>
                  </w:pPr>
                  <w:r>
                    <w:rPr>
                      <w:szCs w:val="21"/>
                    </w:rPr>
                    <w:t>24小时平均：150μg/m</w:t>
                  </w:r>
                  <w:r>
                    <w:rPr>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6" w:type="dxa"/>
                  <w:vMerge w:val="continue"/>
                  <w:vAlign w:val="center"/>
                </w:tcPr>
                <w:p>
                  <w:pPr>
                    <w:adjustRightInd w:val="0"/>
                    <w:snapToGrid w:val="0"/>
                    <w:jc w:val="center"/>
                    <w:rPr>
                      <w:szCs w:val="21"/>
                    </w:rPr>
                  </w:pPr>
                </w:p>
              </w:tc>
              <w:tc>
                <w:tcPr>
                  <w:tcW w:w="2034" w:type="dxa"/>
                  <w:vAlign w:val="center"/>
                </w:tcPr>
                <w:p>
                  <w:pPr>
                    <w:adjustRightInd w:val="0"/>
                    <w:snapToGrid w:val="0"/>
                    <w:jc w:val="center"/>
                    <w:rPr>
                      <w:szCs w:val="21"/>
                    </w:rPr>
                  </w:pPr>
                  <w:r>
                    <w:rPr>
                      <w:szCs w:val="21"/>
                    </w:rPr>
                    <w:t>PM</w:t>
                  </w:r>
                  <w:r>
                    <w:rPr>
                      <w:szCs w:val="21"/>
                      <w:vertAlign w:val="subscript"/>
                    </w:rPr>
                    <w:t>2.5</w:t>
                  </w:r>
                </w:p>
              </w:tc>
              <w:tc>
                <w:tcPr>
                  <w:tcW w:w="2587" w:type="dxa"/>
                  <w:vAlign w:val="center"/>
                </w:tcPr>
                <w:p>
                  <w:pPr>
                    <w:adjustRightInd w:val="0"/>
                    <w:snapToGrid w:val="0"/>
                    <w:jc w:val="center"/>
                    <w:rPr>
                      <w:szCs w:val="21"/>
                    </w:rPr>
                  </w:pPr>
                  <w:r>
                    <w:rPr>
                      <w:szCs w:val="21"/>
                    </w:rPr>
                    <w:t>24小时平均：75μg/m</w:t>
                  </w:r>
                  <w:r>
                    <w:rPr>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6" w:type="dxa"/>
                  <w:vMerge w:val="continue"/>
                  <w:vAlign w:val="center"/>
                </w:tcPr>
                <w:p>
                  <w:pPr>
                    <w:adjustRightInd w:val="0"/>
                    <w:snapToGrid w:val="0"/>
                    <w:jc w:val="center"/>
                    <w:rPr>
                      <w:szCs w:val="21"/>
                    </w:rPr>
                  </w:pPr>
                </w:p>
              </w:tc>
              <w:tc>
                <w:tcPr>
                  <w:tcW w:w="2034" w:type="dxa"/>
                  <w:vAlign w:val="center"/>
                </w:tcPr>
                <w:p>
                  <w:pPr>
                    <w:adjustRightInd w:val="0"/>
                    <w:snapToGrid w:val="0"/>
                    <w:jc w:val="center"/>
                    <w:rPr>
                      <w:szCs w:val="21"/>
                    </w:rPr>
                  </w:pPr>
                  <w:r>
                    <w:rPr>
                      <w:szCs w:val="21"/>
                    </w:rPr>
                    <w:t>NO</w:t>
                  </w:r>
                  <w:r>
                    <w:rPr>
                      <w:szCs w:val="21"/>
                      <w:vertAlign w:val="subscript"/>
                    </w:rPr>
                    <w:t>2</w:t>
                  </w:r>
                </w:p>
              </w:tc>
              <w:tc>
                <w:tcPr>
                  <w:tcW w:w="2587" w:type="dxa"/>
                  <w:vAlign w:val="center"/>
                </w:tcPr>
                <w:p>
                  <w:pPr>
                    <w:adjustRightInd w:val="0"/>
                    <w:snapToGrid w:val="0"/>
                    <w:jc w:val="center"/>
                    <w:rPr>
                      <w:szCs w:val="21"/>
                    </w:rPr>
                  </w:pPr>
                  <w:r>
                    <w:rPr>
                      <w:szCs w:val="21"/>
                    </w:rPr>
                    <w:t>24小时平均：80μg/m</w:t>
                  </w:r>
                  <w:r>
                    <w:rPr>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6" w:type="dxa"/>
                  <w:vMerge w:val="continue"/>
                  <w:vAlign w:val="center"/>
                </w:tcPr>
                <w:p>
                  <w:pPr>
                    <w:adjustRightInd w:val="0"/>
                    <w:snapToGrid w:val="0"/>
                    <w:jc w:val="center"/>
                    <w:rPr>
                      <w:szCs w:val="21"/>
                    </w:rPr>
                  </w:pPr>
                </w:p>
              </w:tc>
              <w:tc>
                <w:tcPr>
                  <w:tcW w:w="2034" w:type="dxa"/>
                  <w:vAlign w:val="center"/>
                </w:tcPr>
                <w:p>
                  <w:pPr>
                    <w:adjustRightInd w:val="0"/>
                    <w:snapToGrid w:val="0"/>
                    <w:jc w:val="center"/>
                    <w:rPr>
                      <w:szCs w:val="21"/>
                    </w:rPr>
                  </w:pPr>
                  <w:r>
                    <w:rPr>
                      <w:szCs w:val="21"/>
                    </w:rPr>
                    <w:t>TSP</w:t>
                  </w:r>
                </w:p>
              </w:tc>
              <w:tc>
                <w:tcPr>
                  <w:tcW w:w="2587" w:type="dxa"/>
                  <w:vAlign w:val="center"/>
                </w:tcPr>
                <w:p>
                  <w:pPr>
                    <w:adjustRightInd w:val="0"/>
                    <w:snapToGrid w:val="0"/>
                    <w:jc w:val="center"/>
                    <w:rPr>
                      <w:szCs w:val="21"/>
                    </w:rPr>
                  </w:pPr>
                  <w:r>
                    <w:rPr>
                      <w:szCs w:val="21"/>
                    </w:rPr>
                    <w:t>24小时平均：300μg/m</w:t>
                  </w:r>
                  <w:r>
                    <w:rPr>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6" w:type="dxa"/>
                  <w:vAlign w:val="center"/>
                </w:tcPr>
                <w:p>
                  <w:pPr>
                    <w:adjustRightInd w:val="0"/>
                    <w:snapToGrid w:val="0"/>
                    <w:jc w:val="center"/>
                    <w:rPr>
                      <w:rFonts w:hint="default" w:eastAsia="宋体"/>
                      <w:szCs w:val="21"/>
                      <w:lang w:val="en-US" w:eastAsia="zh-CN"/>
                    </w:rPr>
                  </w:pPr>
                  <w:r>
                    <w:rPr>
                      <w:rFonts w:hint="eastAsia"/>
                      <w:szCs w:val="21"/>
                      <w:lang w:eastAsia="zh-CN"/>
                    </w:rPr>
                    <w:t>根据</w:t>
                  </w:r>
                  <w:r>
                    <w:rPr>
                      <w:szCs w:val="21"/>
                    </w:rPr>
                    <w:t>《</w:t>
                  </w:r>
                  <w:r>
                    <w:rPr>
                      <w:rFonts w:hint="eastAsia"/>
                      <w:szCs w:val="21"/>
                      <w:lang w:eastAsia="zh-CN"/>
                    </w:rPr>
                    <w:t>大气综合污染物排放标准详解</w:t>
                  </w:r>
                  <w:r>
                    <w:rPr>
                      <w:szCs w:val="21"/>
                    </w:rPr>
                    <w:t>》</w:t>
                  </w:r>
                  <w:r>
                    <w:rPr>
                      <w:rFonts w:hint="eastAsia"/>
                      <w:szCs w:val="21"/>
                      <w:lang w:eastAsia="zh-CN"/>
                    </w:rPr>
                    <w:t>第四章标准值说明</w:t>
                  </w:r>
                  <w:r>
                    <w:rPr>
                      <w:rFonts w:hint="eastAsia"/>
                      <w:szCs w:val="21"/>
                      <w:lang w:val="en-US" w:eastAsia="zh-CN"/>
                    </w:rPr>
                    <w:t>-三十一、非甲烷总烃</w:t>
                  </w:r>
                </w:p>
              </w:tc>
              <w:tc>
                <w:tcPr>
                  <w:tcW w:w="2034" w:type="dxa"/>
                  <w:vAlign w:val="center"/>
                </w:tcPr>
                <w:p>
                  <w:pPr>
                    <w:adjustRightInd w:val="0"/>
                    <w:snapToGrid w:val="0"/>
                    <w:jc w:val="center"/>
                    <w:rPr>
                      <w:szCs w:val="21"/>
                    </w:rPr>
                  </w:pPr>
                  <w:r>
                    <w:rPr>
                      <w:rFonts w:hint="eastAsia"/>
                      <w:szCs w:val="21"/>
                    </w:rPr>
                    <w:t>TVOC</w:t>
                  </w:r>
                </w:p>
              </w:tc>
              <w:tc>
                <w:tcPr>
                  <w:tcW w:w="2587" w:type="dxa"/>
                  <w:vAlign w:val="center"/>
                </w:tcPr>
                <w:p>
                  <w:pPr>
                    <w:adjustRightInd w:val="0"/>
                    <w:snapToGrid w:val="0"/>
                    <w:jc w:val="center"/>
                    <w:rPr>
                      <w:szCs w:val="21"/>
                    </w:rPr>
                  </w:pPr>
                  <w:r>
                    <w:rPr>
                      <w:rFonts w:hint="eastAsia"/>
                      <w:szCs w:val="21"/>
                      <w:lang w:eastAsia="zh-CN"/>
                    </w:rPr>
                    <w:t>一次最大浓度</w:t>
                  </w:r>
                  <w:r>
                    <w:rPr>
                      <w:rFonts w:hint="eastAsia"/>
                      <w:szCs w:val="21"/>
                      <w:lang w:val="en-US" w:eastAsia="zh-CN"/>
                    </w:rPr>
                    <w:t>2.0m</w:t>
                  </w:r>
                  <w:r>
                    <w:rPr>
                      <w:szCs w:val="21"/>
                    </w:rPr>
                    <w:t>g/m</w:t>
                  </w:r>
                  <w:r>
                    <w:rPr>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6" w:type="dxa"/>
                  <w:vMerge w:val="restart"/>
                  <w:vAlign w:val="center"/>
                </w:tcPr>
                <w:p>
                  <w:pPr>
                    <w:adjustRightInd w:val="0"/>
                    <w:snapToGrid w:val="0"/>
                    <w:jc w:val="center"/>
                    <w:rPr>
                      <w:szCs w:val="21"/>
                    </w:rPr>
                  </w:pPr>
                  <w:r>
                    <w:rPr>
                      <w:szCs w:val="21"/>
                    </w:rPr>
                    <w:t>《声环境质量标准》（GB3096-2008）</w:t>
                  </w:r>
                  <w:r>
                    <w:rPr>
                      <w:rFonts w:hint="eastAsia"/>
                      <w:szCs w:val="21"/>
                    </w:rPr>
                    <w:t>3</w:t>
                  </w:r>
                  <w:r>
                    <w:rPr>
                      <w:szCs w:val="21"/>
                    </w:rPr>
                    <w:t>类标准</w:t>
                  </w:r>
                </w:p>
              </w:tc>
              <w:tc>
                <w:tcPr>
                  <w:tcW w:w="2034" w:type="dxa"/>
                  <w:vAlign w:val="center"/>
                </w:tcPr>
                <w:p>
                  <w:pPr>
                    <w:adjustRightInd w:val="0"/>
                    <w:snapToGrid w:val="0"/>
                    <w:jc w:val="center"/>
                    <w:rPr>
                      <w:szCs w:val="21"/>
                    </w:rPr>
                  </w:pPr>
                  <w:r>
                    <w:rPr>
                      <w:szCs w:val="21"/>
                    </w:rPr>
                    <w:t>昼间</w:t>
                  </w:r>
                </w:p>
              </w:tc>
              <w:tc>
                <w:tcPr>
                  <w:tcW w:w="2587" w:type="dxa"/>
                  <w:vAlign w:val="center"/>
                </w:tcPr>
                <w:p>
                  <w:pPr>
                    <w:adjustRightInd w:val="0"/>
                    <w:snapToGrid w:val="0"/>
                    <w:jc w:val="center"/>
                    <w:rPr>
                      <w:szCs w:val="21"/>
                    </w:rPr>
                  </w:pPr>
                  <w:r>
                    <w:rPr>
                      <w:szCs w:val="21"/>
                    </w:rPr>
                    <w:t>6</w:t>
                  </w:r>
                  <w:r>
                    <w:rPr>
                      <w:rFonts w:hint="eastAsia"/>
                      <w:szCs w:val="21"/>
                    </w:rPr>
                    <w:t>5</w:t>
                  </w:r>
                  <w:r>
                    <w:rPr>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6" w:type="dxa"/>
                  <w:vMerge w:val="continue"/>
                  <w:vAlign w:val="center"/>
                </w:tcPr>
                <w:p>
                  <w:pPr>
                    <w:adjustRightInd w:val="0"/>
                    <w:snapToGrid w:val="0"/>
                    <w:jc w:val="center"/>
                    <w:rPr>
                      <w:szCs w:val="21"/>
                    </w:rPr>
                  </w:pPr>
                </w:p>
              </w:tc>
              <w:tc>
                <w:tcPr>
                  <w:tcW w:w="2034" w:type="dxa"/>
                  <w:vAlign w:val="center"/>
                </w:tcPr>
                <w:p>
                  <w:pPr>
                    <w:adjustRightInd w:val="0"/>
                    <w:snapToGrid w:val="0"/>
                    <w:jc w:val="center"/>
                    <w:rPr>
                      <w:szCs w:val="21"/>
                    </w:rPr>
                  </w:pPr>
                  <w:r>
                    <w:rPr>
                      <w:szCs w:val="21"/>
                    </w:rPr>
                    <w:t>夜间</w:t>
                  </w:r>
                </w:p>
              </w:tc>
              <w:tc>
                <w:tcPr>
                  <w:tcW w:w="2587" w:type="dxa"/>
                  <w:vAlign w:val="center"/>
                </w:tcPr>
                <w:p>
                  <w:pPr>
                    <w:adjustRightInd w:val="0"/>
                    <w:snapToGrid w:val="0"/>
                    <w:jc w:val="center"/>
                    <w:rPr>
                      <w:szCs w:val="21"/>
                    </w:rPr>
                  </w:pPr>
                  <w:r>
                    <w:rPr>
                      <w:rFonts w:hint="eastAsia"/>
                      <w:szCs w:val="21"/>
                    </w:rPr>
                    <w:t>55</w:t>
                  </w:r>
                  <w:r>
                    <w:rPr>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6" w:type="dxa"/>
                  <w:vMerge w:val="restart"/>
                  <w:vAlign w:val="center"/>
                </w:tcPr>
                <w:p>
                  <w:pPr>
                    <w:adjustRightInd w:val="0"/>
                    <w:snapToGrid w:val="0"/>
                    <w:jc w:val="center"/>
                    <w:rPr>
                      <w:szCs w:val="21"/>
                    </w:rPr>
                  </w:pPr>
                  <w:r>
                    <w:rPr>
                      <w:color w:val="000000"/>
                      <w:szCs w:val="21"/>
                    </w:rPr>
                    <w:t>《地表水环境质量标准》（GB3838-2002）</w:t>
                  </w:r>
                  <w:r>
                    <w:rPr>
                      <w:color w:val="000000"/>
                      <w:szCs w:val="21"/>
                    </w:rPr>
                    <w:fldChar w:fldCharType="begin"/>
                  </w:r>
                  <w:r>
                    <w:rPr>
                      <w:color w:val="000000"/>
                      <w:szCs w:val="21"/>
                    </w:rPr>
                    <w:instrText xml:space="preserve"> = 4 \* ROMAN \* MERGEFORMAT </w:instrText>
                  </w:r>
                  <w:r>
                    <w:rPr>
                      <w:color w:val="000000"/>
                      <w:szCs w:val="21"/>
                    </w:rPr>
                    <w:fldChar w:fldCharType="separate"/>
                  </w:r>
                  <w:r>
                    <w:t>V</w:t>
                  </w:r>
                  <w:r>
                    <w:rPr>
                      <w:color w:val="000000"/>
                      <w:szCs w:val="21"/>
                    </w:rPr>
                    <w:fldChar w:fldCharType="end"/>
                  </w:r>
                  <w:r>
                    <w:rPr>
                      <w:color w:val="000000"/>
                      <w:szCs w:val="21"/>
                    </w:rPr>
                    <w:t>类标准</w:t>
                  </w:r>
                </w:p>
              </w:tc>
              <w:tc>
                <w:tcPr>
                  <w:tcW w:w="2034" w:type="dxa"/>
                  <w:vAlign w:val="center"/>
                </w:tcPr>
                <w:p>
                  <w:pPr>
                    <w:adjustRightInd w:val="0"/>
                    <w:snapToGrid w:val="0"/>
                    <w:jc w:val="center"/>
                    <w:rPr>
                      <w:bCs/>
                      <w:color w:val="000000"/>
                      <w:szCs w:val="21"/>
                      <w:shd w:val="clear" w:color="auto" w:fill="FFFFFF"/>
                    </w:rPr>
                  </w:pPr>
                  <w:r>
                    <w:rPr>
                      <w:bCs/>
                      <w:szCs w:val="21"/>
                    </w:rPr>
                    <w:t>COD</w:t>
                  </w:r>
                </w:p>
              </w:tc>
              <w:tc>
                <w:tcPr>
                  <w:tcW w:w="2587" w:type="dxa"/>
                  <w:vAlign w:val="center"/>
                </w:tcPr>
                <w:p>
                  <w:pPr>
                    <w:adjustRightInd w:val="0"/>
                    <w:snapToGrid w:val="0"/>
                    <w:jc w:val="center"/>
                    <w:rPr>
                      <w:color w:val="000000"/>
                      <w:szCs w:val="21"/>
                      <w:shd w:val="clear" w:color="auto" w:fill="FFFFFF"/>
                    </w:rPr>
                  </w:pPr>
                  <w:r>
                    <w:rPr>
                      <w:rFonts w:hint="eastAsia"/>
                      <w:szCs w:val="21"/>
                    </w:rPr>
                    <w:t>40</w:t>
                  </w:r>
                  <w:r>
                    <w:rPr>
                      <w:szCs w:val="21"/>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16" w:type="dxa"/>
                  <w:vMerge w:val="continue"/>
                  <w:vAlign w:val="center"/>
                </w:tcPr>
                <w:p>
                  <w:pPr>
                    <w:adjustRightInd w:val="0"/>
                    <w:snapToGrid w:val="0"/>
                    <w:jc w:val="center"/>
                    <w:rPr>
                      <w:color w:val="000000"/>
                      <w:szCs w:val="21"/>
                      <w:shd w:val="clear" w:color="auto" w:fill="FFFFFF"/>
                    </w:rPr>
                  </w:pPr>
                </w:p>
              </w:tc>
              <w:tc>
                <w:tcPr>
                  <w:tcW w:w="2034" w:type="dxa"/>
                  <w:vAlign w:val="center"/>
                </w:tcPr>
                <w:p>
                  <w:pPr>
                    <w:adjustRightInd w:val="0"/>
                    <w:snapToGrid w:val="0"/>
                    <w:jc w:val="center"/>
                    <w:rPr>
                      <w:bCs/>
                      <w:color w:val="000000"/>
                      <w:szCs w:val="21"/>
                      <w:shd w:val="clear" w:color="auto" w:fill="FFFFFF"/>
                    </w:rPr>
                  </w:pPr>
                  <w:r>
                    <w:rPr>
                      <w:bCs/>
                      <w:szCs w:val="21"/>
                    </w:rPr>
                    <w:t>NH</w:t>
                  </w:r>
                  <w:r>
                    <w:rPr>
                      <w:bCs/>
                      <w:szCs w:val="21"/>
                      <w:vertAlign w:val="subscript"/>
                    </w:rPr>
                    <w:t>3</w:t>
                  </w:r>
                  <w:r>
                    <w:rPr>
                      <w:bCs/>
                      <w:szCs w:val="21"/>
                    </w:rPr>
                    <w:t>-N</w:t>
                  </w:r>
                </w:p>
              </w:tc>
              <w:tc>
                <w:tcPr>
                  <w:tcW w:w="2587" w:type="dxa"/>
                  <w:vAlign w:val="center"/>
                </w:tcPr>
                <w:p>
                  <w:pPr>
                    <w:adjustRightInd w:val="0"/>
                    <w:snapToGrid w:val="0"/>
                    <w:jc w:val="center"/>
                    <w:rPr>
                      <w:color w:val="000000"/>
                      <w:szCs w:val="21"/>
                      <w:shd w:val="clear" w:color="auto" w:fill="FFFFFF"/>
                    </w:rPr>
                  </w:pPr>
                  <w:r>
                    <w:rPr>
                      <w:rFonts w:hint="eastAsia"/>
                      <w:szCs w:val="21"/>
                    </w:rPr>
                    <w:t>2</w:t>
                  </w:r>
                  <w:r>
                    <w:rPr>
                      <w:szCs w:val="21"/>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316" w:type="dxa"/>
                  <w:vMerge w:val="continue"/>
                  <w:vAlign w:val="center"/>
                </w:tcPr>
                <w:p>
                  <w:pPr>
                    <w:adjustRightInd w:val="0"/>
                    <w:snapToGrid w:val="0"/>
                    <w:jc w:val="center"/>
                    <w:rPr>
                      <w:color w:val="000000"/>
                      <w:szCs w:val="21"/>
                      <w:shd w:val="clear" w:color="auto" w:fill="FFFFFF"/>
                    </w:rPr>
                  </w:pPr>
                </w:p>
              </w:tc>
              <w:tc>
                <w:tcPr>
                  <w:tcW w:w="2034" w:type="dxa"/>
                  <w:vAlign w:val="center"/>
                </w:tcPr>
                <w:p>
                  <w:pPr>
                    <w:adjustRightInd w:val="0"/>
                    <w:snapToGrid w:val="0"/>
                    <w:jc w:val="center"/>
                    <w:rPr>
                      <w:bCs/>
                      <w:szCs w:val="21"/>
                    </w:rPr>
                  </w:pPr>
                  <w:r>
                    <w:rPr>
                      <w:bCs/>
                      <w:szCs w:val="21"/>
                    </w:rPr>
                    <w:t>总磷</w:t>
                  </w:r>
                </w:p>
              </w:tc>
              <w:tc>
                <w:tcPr>
                  <w:tcW w:w="2587" w:type="dxa"/>
                  <w:vAlign w:val="center"/>
                </w:tcPr>
                <w:p>
                  <w:pPr>
                    <w:adjustRightInd w:val="0"/>
                    <w:snapToGrid w:val="0"/>
                    <w:jc w:val="center"/>
                    <w:rPr>
                      <w:szCs w:val="21"/>
                    </w:rPr>
                  </w:pPr>
                  <w:r>
                    <w:rPr>
                      <w:rFonts w:hint="eastAsia"/>
                      <w:szCs w:val="21"/>
                    </w:rPr>
                    <w:t>0.4</w:t>
                  </w:r>
                  <w:r>
                    <w:rPr>
                      <w:szCs w:val="21"/>
                    </w:rPr>
                    <w:t>mg/L</w:t>
                  </w:r>
                </w:p>
              </w:tc>
            </w:tr>
          </w:tbl>
          <w:p>
            <w:pPr>
              <w:spacing w:after="120"/>
              <w:jc w:val="center"/>
              <w:rPr>
                <w:b/>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37" w:hRule="atLeast"/>
          <w:jc w:val="center"/>
        </w:trPr>
        <w:tc>
          <w:tcPr>
            <w:tcW w:w="637" w:type="dxa"/>
            <w:tcBorders>
              <w:top w:val="single" w:color="auto" w:sz="12" w:space="0"/>
              <w:bottom w:val="single" w:color="auto" w:sz="12" w:space="0"/>
            </w:tcBorders>
            <w:vAlign w:val="center"/>
          </w:tcPr>
          <w:p>
            <w:pPr>
              <w:spacing w:after="120"/>
              <w:jc w:val="center"/>
              <w:rPr>
                <w:b/>
                <w:bCs/>
                <w:sz w:val="24"/>
              </w:rPr>
            </w:pPr>
            <w:r>
              <w:rPr>
                <w:b/>
                <w:bCs/>
                <w:sz w:val="24"/>
              </w:rPr>
              <w:t>污染物排放标准</w:t>
            </w:r>
          </w:p>
        </w:tc>
        <w:tc>
          <w:tcPr>
            <w:tcW w:w="8434" w:type="dxa"/>
            <w:tcBorders>
              <w:top w:val="single" w:color="auto" w:sz="12" w:space="0"/>
              <w:bottom w:val="single" w:color="auto" w:sz="12" w:space="0"/>
            </w:tcBorders>
            <w:vAlign w:val="center"/>
          </w:tcPr>
          <w:tbl>
            <w:tblPr>
              <w:tblStyle w:val="23"/>
              <w:tblpPr w:leftFromText="180" w:rightFromText="180" w:vertAnchor="text" w:horzAnchor="page" w:tblpX="293" w:tblpY="238"/>
              <w:tblOverlap w:val="never"/>
              <w:tblW w:w="793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75"/>
              <w:gridCol w:w="1440"/>
              <w:gridCol w:w="31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375" w:type="dxa"/>
                  <w:vAlign w:val="center"/>
                </w:tcPr>
                <w:p>
                  <w:pPr>
                    <w:adjustRightInd w:val="0"/>
                    <w:snapToGrid w:val="0"/>
                    <w:jc w:val="center"/>
                    <w:rPr>
                      <w:sz w:val="21"/>
                      <w:szCs w:val="21"/>
                    </w:rPr>
                  </w:pPr>
                  <w:r>
                    <w:rPr>
                      <w:sz w:val="21"/>
                      <w:szCs w:val="21"/>
                    </w:rPr>
                    <w:t>执行标准及级别</w:t>
                  </w:r>
                </w:p>
              </w:tc>
              <w:tc>
                <w:tcPr>
                  <w:tcW w:w="1440" w:type="dxa"/>
                  <w:vAlign w:val="center"/>
                </w:tcPr>
                <w:p>
                  <w:pPr>
                    <w:adjustRightInd w:val="0"/>
                    <w:snapToGrid w:val="0"/>
                    <w:jc w:val="center"/>
                    <w:rPr>
                      <w:sz w:val="21"/>
                      <w:szCs w:val="21"/>
                    </w:rPr>
                  </w:pPr>
                  <w:r>
                    <w:rPr>
                      <w:sz w:val="21"/>
                      <w:szCs w:val="21"/>
                    </w:rPr>
                    <w:t>项目</w:t>
                  </w:r>
                </w:p>
              </w:tc>
              <w:tc>
                <w:tcPr>
                  <w:tcW w:w="3122" w:type="dxa"/>
                  <w:vAlign w:val="center"/>
                </w:tcPr>
                <w:p>
                  <w:pPr>
                    <w:adjustRightInd w:val="0"/>
                    <w:snapToGrid w:val="0"/>
                    <w:jc w:val="center"/>
                    <w:rPr>
                      <w:sz w:val="21"/>
                      <w:szCs w:val="21"/>
                    </w:rPr>
                  </w:pPr>
                  <w:r>
                    <w:rPr>
                      <w:sz w:val="21"/>
                      <w:szCs w:val="21"/>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3375" w:type="dxa"/>
                  <w:vMerge w:val="restart"/>
                  <w:vAlign w:val="center"/>
                </w:tcPr>
                <w:p>
                  <w:pPr>
                    <w:adjustRightInd w:val="0"/>
                    <w:snapToGrid w:val="0"/>
                    <w:jc w:val="center"/>
                    <w:rPr>
                      <w:sz w:val="21"/>
                      <w:szCs w:val="21"/>
                    </w:rPr>
                  </w:pPr>
                  <w:r>
                    <w:rPr>
                      <w:sz w:val="21"/>
                      <w:szCs w:val="21"/>
                    </w:rPr>
                    <w:t>《大气污染物综合排放标准》（GB16297-1996）表2二级标准</w:t>
                  </w:r>
                </w:p>
              </w:tc>
              <w:tc>
                <w:tcPr>
                  <w:tcW w:w="1440" w:type="dxa"/>
                  <w:vAlign w:val="center"/>
                </w:tcPr>
                <w:p>
                  <w:pPr>
                    <w:adjustRightInd w:val="0"/>
                    <w:snapToGrid w:val="0"/>
                    <w:jc w:val="center"/>
                    <w:rPr>
                      <w:sz w:val="21"/>
                      <w:szCs w:val="21"/>
                    </w:rPr>
                  </w:pPr>
                  <w:r>
                    <w:rPr>
                      <w:sz w:val="21"/>
                      <w:szCs w:val="21"/>
                    </w:rPr>
                    <w:t>颗粒物</w:t>
                  </w:r>
                </w:p>
                <w:p>
                  <w:pPr>
                    <w:adjustRightInd w:val="0"/>
                    <w:snapToGrid w:val="0"/>
                    <w:jc w:val="center"/>
                    <w:rPr>
                      <w:sz w:val="21"/>
                      <w:szCs w:val="21"/>
                    </w:rPr>
                  </w:pPr>
                  <w:r>
                    <w:rPr>
                      <w:sz w:val="21"/>
                      <w:szCs w:val="21"/>
                    </w:rPr>
                    <w:t>（有组织）</w:t>
                  </w:r>
                </w:p>
              </w:tc>
              <w:tc>
                <w:tcPr>
                  <w:tcW w:w="3122" w:type="dxa"/>
                  <w:vAlign w:val="center"/>
                </w:tcPr>
                <w:p>
                  <w:pPr>
                    <w:adjustRightInd w:val="0"/>
                    <w:snapToGrid w:val="0"/>
                    <w:jc w:val="center"/>
                    <w:rPr>
                      <w:sz w:val="21"/>
                      <w:szCs w:val="21"/>
                    </w:rPr>
                  </w:pPr>
                  <w:r>
                    <w:rPr>
                      <w:sz w:val="21"/>
                      <w:szCs w:val="21"/>
                    </w:rPr>
                    <w:t>最高允许排放速率3.5kg/h（15m高排气筒）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3375" w:type="dxa"/>
                  <w:vMerge w:val="continue"/>
                  <w:vAlign w:val="center"/>
                </w:tcPr>
                <w:p>
                  <w:pPr>
                    <w:adjustRightInd w:val="0"/>
                    <w:snapToGrid w:val="0"/>
                    <w:jc w:val="center"/>
                    <w:rPr>
                      <w:sz w:val="21"/>
                      <w:szCs w:val="21"/>
                    </w:rPr>
                  </w:pPr>
                </w:p>
              </w:tc>
              <w:tc>
                <w:tcPr>
                  <w:tcW w:w="1440" w:type="dxa"/>
                  <w:vAlign w:val="center"/>
                </w:tcPr>
                <w:p>
                  <w:pPr>
                    <w:adjustRightInd w:val="0"/>
                    <w:snapToGrid w:val="0"/>
                    <w:jc w:val="center"/>
                    <w:rPr>
                      <w:sz w:val="21"/>
                      <w:szCs w:val="21"/>
                    </w:rPr>
                  </w:pPr>
                  <w:r>
                    <w:rPr>
                      <w:sz w:val="21"/>
                      <w:szCs w:val="21"/>
                    </w:rPr>
                    <w:t>颗粒物</w:t>
                  </w:r>
                </w:p>
                <w:p>
                  <w:pPr>
                    <w:adjustRightInd w:val="0"/>
                    <w:snapToGrid w:val="0"/>
                    <w:jc w:val="center"/>
                    <w:rPr>
                      <w:sz w:val="21"/>
                      <w:szCs w:val="21"/>
                    </w:rPr>
                  </w:pPr>
                  <w:r>
                    <w:rPr>
                      <w:sz w:val="21"/>
                      <w:szCs w:val="21"/>
                    </w:rPr>
                    <w:t>（无组织）</w:t>
                  </w:r>
                </w:p>
              </w:tc>
              <w:tc>
                <w:tcPr>
                  <w:tcW w:w="3122" w:type="dxa"/>
                  <w:vAlign w:val="center"/>
                </w:tcPr>
                <w:p>
                  <w:pPr>
                    <w:adjustRightInd w:val="0"/>
                    <w:snapToGrid w:val="0"/>
                    <w:jc w:val="center"/>
                    <w:rPr>
                      <w:sz w:val="21"/>
                      <w:szCs w:val="21"/>
                    </w:rPr>
                  </w:pPr>
                  <w:r>
                    <w:rPr>
                      <w:sz w:val="21"/>
                      <w:szCs w:val="21"/>
                    </w:rPr>
                    <w:t>周界外浓度最高点1.0mg/m</w:t>
                  </w:r>
                  <w:r>
                    <w:rPr>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3375" w:type="dxa"/>
                  <w:vMerge w:val="continue"/>
                  <w:vAlign w:val="center"/>
                </w:tcPr>
                <w:p>
                  <w:pPr>
                    <w:adjustRightInd w:val="0"/>
                    <w:snapToGrid w:val="0"/>
                    <w:jc w:val="center"/>
                    <w:rPr>
                      <w:sz w:val="21"/>
                      <w:szCs w:val="21"/>
                    </w:rPr>
                  </w:pPr>
                </w:p>
              </w:tc>
              <w:tc>
                <w:tcPr>
                  <w:tcW w:w="1440" w:type="dxa"/>
                  <w:vAlign w:val="center"/>
                </w:tcPr>
                <w:p>
                  <w:pPr>
                    <w:adjustRightInd w:val="0"/>
                    <w:snapToGrid w:val="0"/>
                    <w:jc w:val="center"/>
                    <w:rPr>
                      <w:sz w:val="21"/>
                      <w:szCs w:val="21"/>
                    </w:rPr>
                  </w:pPr>
                  <w:r>
                    <w:rPr>
                      <w:sz w:val="21"/>
                      <w:szCs w:val="21"/>
                    </w:rPr>
                    <w:t>非甲烷总烃</w:t>
                  </w:r>
                </w:p>
                <w:p>
                  <w:pPr>
                    <w:adjustRightInd w:val="0"/>
                    <w:snapToGrid w:val="0"/>
                    <w:jc w:val="center"/>
                    <w:rPr>
                      <w:sz w:val="21"/>
                      <w:szCs w:val="21"/>
                    </w:rPr>
                  </w:pPr>
                  <w:r>
                    <w:rPr>
                      <w:sz w:val="21"/>
                      <w:szCs w:val="21"/>
                    </w:rPr>
                    <w:t>（有组织）</w:t>
                  </w:r>
                </w:p>
              </w:tc>
              <w:tc>
                <w:tcPr>
                  <w:tcW w:w="3122" w:type="dxa"/>
                  <w:vAlign w:val="center"/>
                </w:tcPr>
                <w:p>
                  <w:pPr>
                    <w:adjustRightInd w:val="0"/>
                    <w:snapToGrid w:val="0"/>
                    <w:jc w:val="center"/>
                    <w:rPr>
                      <w:sz w:val="21"/>
                      <w:szCs w:val="21"/>
                    </w:rPr>
                  </w:pPr>
                  <w:r>
                    <w:rPr>
                      <w:sz w:val="21"/>
                      <w:szCs w:val="21"/>
                    </w:rPr>
                    <w:t>最高允许排放速率10kg/h（15m高排气筒）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375" w:type="dxa"/>
                  <w:vAlign w:val="center"/>
                </w:tcPr>
                <w:p>
                  <w:pPr>
                    <w:adjustRightInd w:val="0"/>
                    <w:snapToGrid w:val="0"/>
                    <w:jc w:val="center"/>
                    <w:rPr>
                      <w:sz w:val="21"/>
                      <w:szCs w:val="21"/>
                    </w:rPr>
                  </w:pPr>
                  <w:r>
                    <w:rPr>
                      <w:sz w:val="21"/>
                      <w:szCs w:val="21"/>
                    </w:rPr>
                    <w:t xml:space="preserve">《河南省环境污染防治攻坚战领导小组办公室文件》豫环攻坚办[2017]162号 </w:t>
                  </w:r>
                  <w:r>
                    <w:rPr>
                      <w:rFonts w:hint="eastAsia"/>
                      <w:sz w:val="21"/>
                      <w:szCs w:val="21"/>
                    </w:rPr>
                    <w:t>其他行业</w:t>
                  </w:r>
                </w:p>
              </w:tc>
              <w:tc>
                <w:tcPr>
                  <w:tcW w:w="1440" w:type="dxa"/>
                  <w:vAlign w:val="center"/>
                </w:tcPr>
                <w:p>
                  <w:pPr>
                    <w:adjustRightInd w:val="0"/>
                    <w:snapToGrid w:val="0"/>
                    <w:jc w:val="center"/>
                    <w:rPr>
                      <w:sz w:val="21"/>
                      <w:szCs w:val="21"/>
                    </w:rPr>
                  </w:pPr>
                  <w:r>
                    <w:rPr>
                      <w:sz w:val="21"/>
                      <w:szCs w:val="21"/>
                    </w:rPr>
                    <w:t>非甲烷总烃</w:t>
                  </w:r>
                </w:p>
                <w:p>
                  <w:pPr>
                    <w:adjustRightInd w:val="0"/>
                    <w:snapToGrid w:val="0"/>
                    <w:jc w:val="center"/>
                    <w:rPr>
                      <w:sz w:val="21"/>
                      <w:szCs w:val="21"/>
                    </w:rPr>
                  </w:pPr>
                  <w:r>
                    <w:rPr>
                      <w:sz w:val="21"/>
                      <w:szCs w:val="21"/>
                    </w:rPr>
                    <w:t>（有组织）</w:t>
                  </w:r>
                </w:p>
              </w:tc>
              <w:tc>
                <w:tcPr>
                  <w:tcW w:w="3122" w:type="dxa"/>
                  <w:vAlign w:val="center"/>
                </w:tcPr>
                <w:p>
                  <w:pPr>
                    <w:adjustRightInd w:val="0"/>
                    <w:snapToGrid w:val="0"/>
                    <w:jc w:val="center"/>
                    <w:rPr>
                      <w:sz w:val="21"/>
                      <w:szCs w:val="21"/>
                    </w:rPr>
                  </w:pPr>
                  <w:r>
                    <w:rPr>
                      <w:rFonts w:hint="eastAsia"/>
                      <w:sz w:val="21"/>
                      <w:szCs w:val="21"/>
                      <w:lang w:eastAsia="zh-CN"/>
                    </w:rPr>
                    <w:t>其他行业</w:t>
                  </w:r>
                  <w:r>
                    <w:rPr>
                      <w:rFonts w:hint="eastAsia"/>
                      <w:color w:val="000000"/>
                      <w:spacing w:val="2"/>
                      <w:sz w:val="21"/>
                      <w:szCs w:val="21"/>
                    </w:rPr>
                    <w:t>非甲烷总烃</w:t>
                  </w:r>
                  <w:r>
                    <w:rPr>
                      <w:sz w:val="21"/>
                      <w:szCs w:val="21"/>
                    </w:rPr>
                    <w:t>去除效率70%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375" w:type="dxa"/>
                  <w:vAlign w:val="center"/>
                </w:tcPr>
                <w:p>
                  <w:pPr>
                    <w:adjustRightInd w:val="0"/>
                    <w:snapToGrid w:val="0"/>
                    <w:jc w:val="center"/>
                    <w:rPr>
                      <w:sz w:val="21"/>
                      <w:szCs w:val="21"/>
                    </w:rPr>
                  </w:pPr>
                  <w:r>
                    <w:rPr>
                      <w:sz w:val="21"/>
                      <w:szCs w:val="21"/>
                    </w:rPr>
                    <w:t>《河南省环境污染防治攻坚战领导小组办公室文件》豫环攻坚办[2017]162号 其他企业</w:t>
                  </w:r>
                </w:p>
              </w:tc>
              <w:tc>
                <w:tcPr>
                  <w:tcW w:w="1440" w:type="dxa"/>
                  <w:vAlign w:val="center"/>
                </w:tcPr>
                <w:p>
                  <w:pPr>
                    <w:adjustRightInd w:val="0"/>
                    <w:snapToGrid w:val="0"/>
                    <w:jc w:val="center"/>
                    <w:rPr>
                      <w:sz w:val="21"/>
                      <w:szCs w:val="21"/>
                    </w:rPr>
                  </w:pPr>
                  <w:r>
                    <w:rPr>
                      <w:sz w:val="21"/>
                      <w:szCs w:val="21"/>
                    </w:rPr>
                    <w:t>非甲烷总烃（无组织）</w:t>
                  </w:r>
                </w:p>
              </w:tc>
              <w:tc>
                <w:tcPr>
                  <w:tcW w:w="3122" w:type="dxa"/>
                  <w:vAlign w:val="center"/>
                </w:tcPr>
                <w:p>
                  <w:pPr>
                    <w:adjustRightInd w:val="0"/>
                    <w:snapToGrid w:val="0"/>
                    <w:jc w:val="center"/>
                    <w:rPr>
                      <w:sz w:val="21"/>
                      <w:szCs w:val="21"/>
                    </w:rPr>
                  </w:pPr>
                  <w:r>
                    <w:rPr>
                      <w:sz w:val="21"/>
                      <w:szCs w:val="21"/>
                    </w:rPr>
                    <w:t>工业企业边界挥发性有机物排放建议值其他企业</w:t>
                  </w:r>
                  <w:r>
                    <w:rPr>
                      <w:rFonts w:hint="eastAsia"/>
                      <w:sz w:val="21"/>
                      <w:szCs w:val="21"/>
                    </w:rPr>
                    <w:t>2.0</w:t>
                  </w:r>
                  <w:r>
                    <w:rPr>
                      <w:sz w:val="21"/>
                      <w:szCs w:val="21"/>
                    </w:rPr>
                    <w:t>mg/m³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375" w:type="dxa"/>
                  <w:vMerge w:val="restart"/>
                  <w:vAlign w:val="center"/>
                </w:tcPr>
                <w:p>
                  <w:pPr>
                    <w:adjustRightInd w:val="0"/>
                    <w:snapToGrid w:val="0"/>
                    <w:jc w:val="center"/>
                    <w:rPr>
                      <w:rFonts w:hint="default" w:eastAsia="宋体"/>
                      <w:sz w:val="21"/>
                      <w:szCs w:val="21"/>
                      <w:lang w:val="en-US" w:eastAsia="zh-CN"/>
                    </w:rPr>
                  </w:pPr>
                  <w:r>
                    <w:rPr>
                      <w:rFonts w:hint="eastAsia"/>
                      <w:sz w:val="21"/>
                      <w:szCs w:val="21"/>
                      <w:lang w:eastAsia="zh-CN"/>
                    </w:rPr>
                    <w:t>《</w:t>
                  </w:r>
                  <w:r>
                    <w:rPr>
                      <w:rFonts w:hint="eastAsia"/>
                      <w:sz w:val="21"/>
                      <w:szCs w:val="21"/>
                    </w:rPr>
                    <w:t>合成树脂工业污染源排放标准</w:t>
                  </w:r>
                  <w:r>
                    <w:rPr>
                      <w:rFonts w:hint="eastAsia"/>
                      <w:sz w:val="21"/>
                      <w:szCs w:val="21"/>
                      <w:lang w:eastAsia="zh-CN"/>
                    </w:rPr>
                    <w:t>》（</w:t>
                  </w:r>
                  <w:r>
                    <w:rPr>
                      <w:rFonts w:hint="eastAsia"/>
                      <w:sz w:val="21"/>
                      <w:szCs w:val="21"/>
                      <w:lang w:val="en-US" w:eastAsia="zh-CN"/>
                    </w:rPr>
                    <w:t>GB31572-2015）</w:t>
                  </w:r>
                </w:p>
              </w:tc>
              <w:tc>
                <w:tcPr>
                  <w:tcW w:w="1440" w:type="dxa"/>
                  <w:vAlign w:val="center"/>
                </w:tcPr>
                <w:p>
                  <w:pPr>
                    <w:adjustRightInd w:val="0"/>
                    <w:snapToGrid w:val="0"/>
                    <w:jc w:val="center"/>
                    <w:rPr>
                      <w:sz w:val="21"/>
                      <w:szCs w:val="21"/>
                    </w:rPr>
                  </w:pPr>
                  <w:r>
                    <w:rPr>
                      <w:sz w:val="21"/>
                      <w:szCs w:val="21"/>
                    </w:rPr>
                    <w:t>非甲烷总烃</w:t>
                  </w:r>
                </w:p>
                <w:p>
                  <w:pPr>
                    <w:adjustRightInd w:val="0"/>
                    <w:snapToGrid w:val="0"/>
                    <w:jc w:val="center"/>
                    <w:rPr>
                      <w:sz w:val="21"/>
                      <w:szCs w:val="21"/>
                    </w:rPr>
                  </w:pPr>
                  <w:r>
                    <w:rPr>
                      <w:sz w:val="21"/>
                      <w:szCs w:val="21"/>
                    </w:rPr>
                    <w:t>（有组织）</w:t>
                  </w:r>
                </w:p>
              </w:tc>
              <w:tc>
                <w:tcPr>
                  <w:tcW w:w="3122" w:type="dxa"/>
                  <w:vAlign w:val="center"/>
                </w:tcPr>
                <w:p>
                  <w:pPr>
                    <w:adjustRightInd w:val="0"/>
                    <w:snapToGrid w:val="0"/>
                    <w:jc w:val="center"/>
                    <w:rPr>
                      <w:sz w:val="21"/>
                      <w:szCs w:val="21"/>
                    </w:rPr>
                  </w:pPr>
                  <w:r>
                    <w:rPr>
                      <w:rFonts w:hint="eastAsia"/>
                      <w:b w:val="0"/>
                      <w:bCs w:val="0"/>
                      <w:snapToGrid w:val="0"/>
                      <w:color w:val="000000" w:themeColor="text1"/>
                      <w:sz w:val="21"/>
                      <w:szCs w:val="21"/>
                      <w:lang w:eastAsia="zh-CN"/>
                      <w14:textFill>
                        <w14:solidFill>
                          <w14:schemeClr w14:val="tx1"/>
                        </w14:solidFill>
                      </w14:textFill>
                    </w:rPr>
                    <w:t>最高允许排放浓度</w:t>
                  </w:r>
                  <w:r>
                    <w:rPr>
                      <w:rFonts w:hint="eastAsia"/>
                      <w:sz w:val="21"/>
                      <w:szCs w:val="21"/>
                      <w:lang w:val="en-US" w:eastAsia="zh-CN"/>
                    </w:rPr>
                    <w:t>60</w:t>
                  </w:r>
                  <w:r>
                    <w:rPr>
                      <w:sz w:val="21"/>
                      <w:szCs w:val="21"/>
                    </w:rPr>
                    <w:t>mg/m³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375" w:type="dxa"/>
                  <w:vMerge w:val="continue"/>
                  <w:vAlign w:val="center"/>
                </w:tcPr>
                <w:p>
                  <w:pPr>
                    <w:adjustRightInd w:val="0"/>
                    <w:snapToGrid w:val="0"/>
                    <w:jc w:val="center"/>
                    <w:rPr>
                      <w:sz w:val="21"/>
                      <w:szCs w:val="21"/>
                    </w:rPr>
                  </w:pPr>
                </w:p>
              </w:tc>
              <w:tc>
                <w:tcPr>
                  <w:tcW w:w="1440" w:type="dxa"/>
                  <w:vAlign w:val="center"/>
                </w:tcPr>
                <w:p>
                  <w:pPr>
                    <w:adjustRightInd w:val="0"/>
                    <w:snapToGrid w:val="0"/>
                    <w:jc w:val="center"/>
                    <w:rPr>
                      <w:sz w:val="21"/>
                      <w:szCs w:val="21"/>
                    </w:rPr>
                  </w:pPr>
                  <w:r>
                    <w:rPr>
                      <w:sz w:val="21"/>
                      <w:szCs w:val="21"/>
                    </w:rPr>
                    <w:t>颗粒物</w:t>
                  </w:r>
                </w:p>
                <w:p>
                  <w:pPr>
                    <w:adjustRightInd w:val="0"/>
                    <w:snapToGrid w:val="0"/>
                    <w:jc w:val="center"/>
                    <w:rPr>
                      <w:sz w:val="21"/>
                      <w:szCs w:val="21"/>
                    </w:rPr>
                  </w:pPr>
                  <w:r>
                    <w:rPr>
                      <w:sz w:val="21"/>
                      <w:szCs w:val="21"/>
                    </w:rPr>
                    <w:t>（有组织）</w:t>
                  </w:r>
                </w:p>
              </w:tc>
              <w:tc>
                <w:tcPr>
                  <w:tcW w:w="3122" w:type="dxa"/>
                  <w:vAlign w:val="center"/>
                </w:tcPr>
                <w:p>
                  <w:pPr>
                    <w:adjustRightInd w:val="0"/>
                    <w:snapToGrid w:val="0"/>
                    <w:jc w:val="center"/>
                    <w:rPr>
                      <w:sz w:val="21"/>
                      <w:szCs w:val="21"/>
                    </w:rPr>
                  </w:pPr>
                  <w:r>
                    <w:rPr>
                      <w:sz w:val="21"/>
                      <w:szCs w:val="21"/>
                    </w:rPr>
                    <w:t>最高允许排放浓度20mg/m</w:t>
                  </w:r>
                  <w:r>
                    <w:rPr>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375" w:type="dxa"/>
                  <w:vMerge w:val="continue"/>
                  <w:vAlign w:val="center"/>
                </w:tcPr>
                <w:p>
                  <w:pPr>
                    <w:adjustRightInd w:val="0"/>
                    <w:snapToGrid w:val="0"/>
                    <w:jc w:val="center"/>
                    <w:rPr>
                      <w:sz w:val="21"/>
                      <w:szCs w:val="21"/>
                    </w:rPr>
                  </w:pPr>
                </w:p>
              </w:tc>
              <w:tc>
                <w:tcPr>
                  <w:tcW w:w="4562" w:type="dxa"/>
                  <w:gridSpan w:val="2"/>
                  <w:vAlign w:val="center"/>
                </w:tcPr>
                <w:p>
                  <w:pPr>
                    <w:adjustRightInd w:val="0"/>
                    <w:snapToGrid w:val="0"/>
                    <w:jc w:val="center"/>
                    <w:rPr>
                      <w:rFonts w:hint="default" w:eastAsia="宋体"/>
                      <w:sz w:val="21"/>
                      <w:szCs w:val="21"/>
                      <w:lang w:val="en-US" w:eastAsia="zh-CN"/>
                    </w:rPr>
                  </w:pPr>
                  <w:r>
                    <w:rPr>
                      <w:rFonts w:hint="eastAsia"/>
                      <w:sz w:val="21"/>
                      <w:szCs w:val="21"/>
                      <w:lang w:eastAsia="zh-CN"/>
                    </w:rPr>
                    <w:t>单位产品非甲烷总烃排放量</w:t>
                  </w:r>
                  <w:r>
                    <w:rPr>
                      <w:rFonts w:hint="eastAsia"/>
                      <w:sz w:val="21"/>
                      <w:szCs w:val="21"/>
                      <w:lang w:val="en-US" w:eastAsia="zh-CN"/>
                    </w:rPr>
                    <w:t>0.3kg/t产品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3375" w:type="dxa"/>
                  <w:vMerge w:val="restart"/>
                  <w:vAlign w:val="center"/>
                </w:tcPr>
                <w:p>
                  <w:pPr>
                    <w:adjustRightInd w:val="0"/>
                    <w:snapToGrid w:val="0"/>
                    <w:jc w:val="center"/>
                    <w:rPr>
                      <w:sz w:val="21"/>
                      <w:szCs w:val="21"/>
                    </w:rPr>
                  </w:pPr>
                  <w:r>
                    <w:rPr>
                      <w:rFonts w:hint="eastAsia"/>
                      <w:color w:val="000000" w:themeColor="text1"/>
                      <w:sz w:val="21"/>
                      <w:szCs w:val="21"/>
                      <w14:textFill>
                        <w14:solidFill>
                          <w14:schemeClr w14:val="tx1"/>
                        </w14:solidFill>
                      </w14:textFill>
                    </w:rPr>
                    <w:t>贾屯污水处理厂</w:t>
                  </w:r>
                  <w:r>
                    <w:rPr>
                      <w:color w:val="000000" w:themeColor="text1"/>
                      <w:sz w:val="21"/>
                      <w:szCs w:val="21"/>
                      <w14:textFill>
                        <w14:solidFill>
                          <w14:schemeClr w14:val="tx1"/>
                        </w14:solidFill>
                      </w14:textFill>
                    </w:rPr>
                    <w:t>收水水质</w:t>
                  </w:r>
                  <w:r>
                    <w:rPr>
                      <w:rFonts w:hint="eastAsia"/>
                      <w:color w:val="000000" w:themeColor="text1"/>
                      <w:sz w:val="21"/>
                      <w:szCs w:val="21"/>
                      <w14:textFill>
                        <w14:solidFill>
                          <w14:schemeClr w14:val="tx1"/>
                        </w14:solidFill>
                      </w14:textFill>
                    </w:rPr>
                    <w:t>要求</w:t>
                  </w:r>
                </w:p>
              </w:tc>
              <w:tc>
                <w:tcPr>
                  <w:tcW w:w="1440" w:type="dxa"/>
                  <w:vAlign w:val="center"/>
                </w:tcPr>
                <w:p>
                  <w:pPr>
                    <w:adjustRightInd w:val="0"/>
                    <w:snapToGrid w:val="0"/>
                    <w:jc w:val="center"/>
                    <w:rPr>
                      <w:sz w:val="21"/>
                      <w:szCs w:val="21"/>
                    </w:rPr>
                  </w:pPr>
                  <w:r>
                    <w:rPr>
                      <w:sz w:val="21"/>
                      <w:szCs w:val="21"/>
                    </w:rPr>
                    <w:t>COD</w:t>
                  </w:r>
                </w:p>
              </w:tc>
              <w:tc>
                <w:tcPr>
                  <w:tcW w:w="3122" w:type="dxa"/>
                  <w:vAlign w:val="center"/>
                </w:tcPr>
                <w:p>
                  <w:pPr>
                    <w:adjustRightInd w:val="0"/>
                    <w:snapToGrid w:val="0"/>
                    <w:jc w:val="center"/>
                    <w:rPr>
                      <w:sz w:val="21"/>
                      <w:szCs w:val="21"/>
                    </w:rPr>
                  </w:pPr>
                  <w:r>
                    <w:rPr>
                      <w:rFonts w:hint="eastAsia"/>
                      <w:sz w:val="21"/>
                      <w:szCs w:val="21"/>
                    </w:rPr>
                    <w:t>450</w:t>
                  </w:r>
                  <w:r>
                    <w:rPr>
                      <w:sz w:val="21"/>
                      <w:szCs w:val="21"/>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3375" w:type="dxa"/>
                  <w:vMerge w:val="continue"/>
                  <w:vAlign w:val="center"/>
                </w:tcPr>
                <w:p>
                  <w:pPr>
                    <w:adjustRightInd w:val="0"/>
                    <w:snapToGrid w:val="0"/>
                    <w:jc w:val="center"/>
                    <w:rPr>
                      <w:sz w:val="21"/>
                      <w:szCs w:val="21"/>
                    </w:rPr>
                  </w:pPr>
                </w:p>
              </w:tc>
              <w:tc>
                <w:tcPr>
                  <w:tcW w:w="1440" w:type="dxa"/>
                  <w:vAlign w:val="center"/>
                </w:tcPr>
                <w:p>
                  <w:pPr>
                    <w:adjustRightInd w:val="0"/>
                    <w:snapToGrid w:val="0"/>
                    <w:jc w:val="center"/>
                    <w:rPr>
                      <w:sz w:val="21"/>
                      <w:szCs w:val="21"/>
                    </w:rPr>
                  </w:pPr>
                  <w:r>
                    <w:rPr>
                      <w:rFonts w:hint="eastAsia"/>
                      <w:sz w:val="21"/>
                      <w:szCs w:val="21"/>
                    </w:rPr>
                    <w:t>BOD</w:t>
                  </w:r>
                  <w:r>
                    <w:rPr>
                      <w:rFonts w:hint="eastAsia"/>
                      <w:sz w:val="21"/>
                      <w:szCs w:val="21"/>
                      <w:vertAlign w:val="subscript"/>
                    </w:rPr>
                    <w:t>5</w:t>
                  </w:r>
                </w:p>
              </w:tc>
              <w:tc>
                <w:tcPr>
                  <w:tcW w:w="3122" w:type="dxa"/>
                  <w:vAlign w:val="center"/>
                </w:tcPr>
                <w:p>
                  <w:pPr>
                    <w:adjustRightInd w:val="0"/>
                    <w:snapToGrid w:val="0"/>
                    <w:jc w:val="center"/>
                    <w:rPr>
                      <w:sz w:val="21"/>
                      <w:szCs w:val="21"/>
                    </w:rPr>
                  </w:pPr>
                  <w:r>
                    <w:rPr>
                      <w:rFonts w:hint="eastAsia"/>
                      <w:sz w:val="21"/>
                      <w:szCs w:val="21"/>
                    </w:rPr>
                    <w:t>180mg/L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375" w:type="dxa"/>
                  <w:vMerge w:val="continue"/>
                  <w:vAlign w:val="center"/>
                </w:tcPr>
                <w:p>
                  <w:pPr>
                    <w:adjustRightInd w:val="0"/>
                    <w:snapToGrid w:val="0"/>
                    <w:jc w:val="center"/>
                    <w:rPr>
                      <w:sz w:val="21"/>
                      <w:szCs w:val="21"/>
                    </w:rPr>
                  </w:pPr>
                </w:p>
              </w:tc>
              <w:tc>
                <w:tcPr>
                  <w:tcW w:w="1440" w:type="dxa"/>
                  <w:vAlign w:val="center"/>
                </w:tcPr>
                <w:p>
                  <w:pPr>
                    <w:adjustRightInd w:val="0"/>
                    <w:snapToGrid w:val="0"/>
                    <w:jc w:val="center"/>
                    <w:rPr>
                      <w:sz w:val="21"/>
                      <w:szCs w:val="21"/>
                    </w:rPr>
                  </w:pPr>
                  <w:r>
                    <w:rPr>
                      <w:rFonts w:hint="eastAsia"/>
                      <w:sz w:val="21"/>
                      <w:szCs w:val="21"/>
                    </w:rPr>
                    <w:t>SS</w:t>
                  </w:r>
                </w:p>
              </w:tc>
              <w:tc>
                <w:tcPr>
                  <w:tcW w:w="3122" w:type="dxa"/>
                  <w:vAlign w:val="center"/>
                </w:tcPr>
                <w:p>
                  <w:pPr>
                    <w:adjustRightInd w:val="0"/>
                    <w:snapToGrid w:val="0"/>
                    <w:jc w:val="center"/>
                    <w:rPr>
                      <w:sz w:val="21"/>
                      <w:szCs w:val="21"/>
                    </w:rPr>
                  </w:pPr>
                  <w:r>
                    <w:rPr>
                      <w:rFonts w:hint="eastAsia"/>
                      <w:sz w:val="21"/>
                      <w:szCs w:val="21"/>
                    </w:rPr>
                    <w:t>350mg/L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4" w:hRule="atLeast"/>
              </w:trPr>
              <w:tc>
                <w:tcPr>
                  <w:tcW w:w="3375" w:type="dxa"/>
                  <w:vMerge w:val="continue"/>
                  <w:vAlign w:val="center"/>
                </w:tcPr>
                <w:p>
                  <w:pPr>
                    <w:adjustRightInd w:val="0"/>
                    <w:snapToGrid w:val="0"/>
                    <w:jc w:val="center"/>
                    <w:rPr>
                      <w:sz w:val="21"/>
                      <w:szCs w:val="21"/>
                    </w:rPr>
                  </w:pPr>
                </w:p>
              </w:tc>
              <w:tc>
                <w:tcPr>
                  <w:tcW w:w="1440" w:type="dxa"/>
                  <w:vAlign w:val="center"/>
                </w:tcPr>
                <w:p>
                  <w:pPr>
                    <w:adjustRightInd w:val="0"/>
                    <w:snapToGrid w:val="0"/>
                    <w:jc w:val="center"/>
                    <w:rPr>
                      <w:sz w:val="21"/>
                      <w:szCs w:val="21"/>
                    </w:rPr>
                  </w:pPr>
                  <w:r>
                    <w:rPr>
                      <w:sz w:val="21"/>
                      <w:szCs w:val="21"/>
                    </w:rPr>
                    <w:t>NH</w:t>
                  </w:r>
                  <w:r>
                    <w:rPr>
                      <w:sz w:val="21"/>
                      <w:szCs w:val="21"/>
                      <w:vertAlign w:val="subscript"/>
                    </w:rPr>
                    <w:t>3</w:t>
                  </w:r>
                  <w:r>
                    <w:rPr>
                      <w:sz w:val="21"/>
                      <w:szCs w:val="21"/>
                    </w:rPr>
                    <w:t>-N</w:t>
                  </w:r>
                </w:p>
              </w:tc>
              <w:tc>
                <w:tcPr>
                  <w:tcW w:w="3122" w:type="dxa"/>
                  <w:vAlign w:val="center"/>
                </w:tcPr>
                <w:p>
                  <w:pPr>
                    <w:adjustRightInd w:val="0"/>
                    <w:snapToGrid w:val="0"/>
                    <w:jc w:val="center"/>
                    <w:rPr>
                      <w:sz w:val="21"/>
                      <w:szCs w:val="21"/>
                    </w:rPr>
                  </w:pPr>
                  <w:r>
                    <w:rPr>
                      <w:rFonts w:hint="eastAsia"/>
                      <w:sz w:val="21"/>
                      <w:szCs w:val="21"/>
                    </w:rPr>
                    <w:t>35</w:t>
                  </w:r>
                  <w:r>
                    <w:rPr>
                      <w:sz w:val="21"/>
                      <w:szCs w:val="21"/>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3375" w:type="dxa"/>
                  <w:vMerge w:val="continue"/>
                  <w:vAlign w:val="center"/>
                </w:tcPr>
                <w:p>
                  <w:pPr>
                    <w:adjustRightInd w:val="0"/>
                    <w:snapToGrid w:val="0"/>
                    <w:jc w:val="center"/>
                    <w:rPr>
                      <w:sz w:val="21"/>
                      <w:szCs w:val="21"/>
                    </w:rPr>
                  </w:pPr>
                </w:p>
              </w:tc>
              <w:tc>
                <w:tcPr>
                  <w:tcW w:w="1440" w:type="dxa"/>
                  <w:vAlign w:val="center"/>
                </w:tcPr>
                <w:p>
                  <w:pPr>
                    <w:adjustRightInd w:val="0"/>
                    <w:snapToGrid w:val="0"/>
                    <w:jc w:val="center"/>
                    <w:rPr>
                      <w:sz w:val="21"/>
                      <w:szCs w:val="21"/>
                    </w:rPr>
                  </w:pPr>
                  <w:r>
                    <w:rPr>
                      <w:rFonts w:hint="eastAsia"/>
                      <w:sz w:val="21"/>
                      <w:szCs w:val="21"/>
                    </w:rPr>
                    <w:t>TP</w:t>
                  </w:r>
                </w:p>
              </w:tc>
              <w:tc>
                <w:tcPr>
                  <w:tcW w:w="3122" w:type="dxa"/>
                  <w:vAlign w:val="center"/>
                </w:tcPr>
                <w:p>
                  <w:pPr>
                    <w:adjustRightInd w:val="0"/>
                    <w:snapToGrid w:val="0"/>
                    <w:jc w:val="center"/>
                    <w:rPr>
                      <w:sz w:val="21"/>
                      <w:szCs w:val="21"/>
                    </w:rPr>
                  </w:pPr>
                  <w:r>
                    <w:rPr>
                      <w:rFonts w:hint="eastAsia"/>
                      <w:sz w:val="21"/>
                      <w:szCs w:val="21"/>
                    </w:rPr>
                    <w:t>6mg/L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7" w:hRule="atLeast"/>
              </w:trPr>
              <w:tc>
                <w:tcPr>
                  <w:tcW w:w="3375" w:type="dxa"/>
                  <w:vMerge w:val="restart"/>
                  <w:vAlign w:val="center"/>
                </w:tcPr>
                <w:p>
                  <w:pPr>
                    <w:adjustRightInd w:val="0"/>
                    <w:snapToGrid w:val="0"/>
                    <w:jc w:val="center"/>
                    <w:rPr>
                      <w:sz w:val="21"/>
                      <w:szCs w:val="21"/>
                    </w:rPr>
                  </w:pPr>
                  <w:r>
                    <w:rPr>
                      <w:sz w:val="21"/>
                      <w:szCs w:val="21"/>
                    </w:rPr>
                    <w:t>《工业企业厂界环境噪声排放标准》（GB12348-2008）</w:t>
                  </w:r>
                  <w:r>
                    <w:rPr>
                      <w:rFonts w:hint="eastAsia"/>
                      <w:sz w:val="21"/>
                      <w:szCs w:val="21"/>
                    </w:rPr>
                    <w:t>3</w:t>
                  </w:r>
                  <w:r>
                    <w:rPr>
                      <w:sz w:val="21"/>
                      <w:szCs w:val="21"/>
                    </w:rPr>
                    <w:t>类标准</w:t>
                  </w:r>
                </w:p>
              </w:tc>
              <w:tc>
                <w:tcPr>
                  <w:tcW w:w="1440" w:type="dxa"/>
                  <w:vAlign w:val="center"/>
                </w:tcPr>
                <w:p>
                  <w:pPr>
                    <w:adjustRightInd w:val="0"/>
                    <w:snapToGrid w:val="0"/>
                    <w:jc w:val="center"/>
                    <w:rPr>
                      <w:sz w:val="21"/>
                      <w:szCs w:val="21"/>
                    </w:rPr>
                  </w:pPr>
                  <w:r>
                    <w:rPr>
                      <w:sz w:val="21"/>
                      <w:szCs w:val="21"/>
                    </w:rPr>
                    <w:t>昼间</w:t>
                  </w:r>
                </w:p>
              </w:tc>
              <w:tc>
                <w:tcPr>
                  <w:tcW w:w="3122" w:type="dxa"/>
                  <w:vAlign w:val="center"/>
                </w:tcPr>
                <w:p>
                  <w:pPr>
                    <w:adjustRightInd w:val="0"/>
                    <w:snapToGrid w:val="0"/>
                    <w:jc w:val="center"/>
                    <w:rPr>
                      <w:sz w:val="21"/>
                      <w:szCs w:val="21"/>
                    </w:rPr>
                  </w:pPr>
                  <w:r>
                    <w:rPr>
                      <w:sz w:val="21"/>
                      <w:szCs w:val="21"/>
                    </w:rPr>
                    <w:t>6</w:t>
                  </w:r>
                  <w:r>
                    <w:rPr>
                      <w:rFonts w:hint="eastAsia"/>
                      <w:sz w:val="21"/>
                      <w:szCs w:val="21"/>
                    </w:rPr>
                    <w:t>5</w:t>
                  </w:r>
                  <w:r>
                    <w:rPr>
                      <w:sz w:val="21"/>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3375" w:type="dxa"/>
                  <w:vMerge w:val="continue"/>
                  <w:vAlign w:val="center"/>
                </w:tcPr>
                <w:p>
                  <w:pPr>
                    <w:adjustRightInd w:val="0"/>
                    <w:snapToGrid w:val="0"/>
                    <w:jc w:val="center"/>
                    <w:rPr>
                      <w:sz w:val="21"/>
                      <w:szCs w:val="21"/>
                    </w:rPr>
                  </w:pPr>
                </w:p>
              </w:tc>
              <w:tc>
                <w:tcPr>
                  <w:tcW w:w="1440" w:type="dxa"/>
                  <w:vAlign w:val="center"/>
                </w:tcPr>
                <w:p>
                  <w:pPr>
                    <w:adjustRightInd w:val="0"/>
                    <w:snapToGrid w:val="0"/>
                    <w:jc w:val="center"/>
                    <w:rPr>
                      <w:sz w:val="21"/>
                      <w:szCs w:val="21"/>
                    </w:rPr>
                  </w:pPr>
                  <w:r>
                    <w:rPr>
                      <w:sz w:val="21"/>
                      <w:szCs w:val="21"/>
                    </w:rPr>
                    <w:t>夜间</w:t>
                  </w:r>
                </w:p>
              </w:tc>
              <w:tc>
                <w:tcPr>
                  <w:tcW w:w="3122" w:type="dxa"/>
                  <w:vAlign w:val="center"/>
                </w:tcPr>
                <w:p>
                  <w:pPr>
                    <w:adjustRightInd w:val="0"/>
                    <w:snapToGrid w:val="0"/>
                    <w:jc w:val="center"/>
                    <w:rPr>
                      <w:sz w:val="21"/>
                      <w:szCs w:val="21"/>
                    </w:rPr>
                  </w:pPr>
                  <w:r>
                    <w:rPr>
                      <w:sz w:val="21"/>
                      <w:szCs w:val="21"/>
                    </w:rPr>
                    <w:t>5</w:t>
                  </w:r>
                  <w:r>
                    <w:rPr>
                      <w:rFonts w:hint="eastAsia"/>
                      <w:sz w:val="21"/>
                      <w:szCs w:val="21"/>
                    </w:rPr>
                    <w:t>5</w:t>
                  </w:r>
                  <w:r>
                    <w:rPr>
                      <w:sz w:val="21"/>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375" w:type="dxa"/>
                  <w:vAlign w:val="center"/>
                </w:tcPr>
                <w:p>
                  <w:pPr>
                    <w:adjustRightInd w:val="0"/>
                    <w:snapToGrid w:val="0"/>
                    <w:jc w:val="center"/>
                    <w:rPr>
                      <w:color w:val="000000"/>
                      <w:sz w:val="21"/>
                      <w:szCs w:val="21"/>
                      <w:shd w:val="clear" w:color="auto" w:fill="FFFFFF"/>
                    </w:rPr>
                  </w:pPr>
                  <w:r>
                    <w:rPr>
                      <w:color w:val="000000"/>
                      <w:sz w:val="21"/>
                      <w:szCs w:val="21"/>
                      <w:shd w:val="clear" w:color="auto" w:fill="FFFFFF"/>
                    </w:rPr>
                    <w:t>《一般工业固体废物贮存、处置场污染控制标准》（GB18599-2001）及修改单</w:t>
                  </w:r>
                </w:p>
              </w:tc>
              <w:tc>
                <w:tcPr>
                  <w:tcW w:w="4562" w:type="dxa"/>
                  <w:gridSpan w:val="2"/>
                  <w:vAlign w:val="center"/>
                </w:tcPr>
                <w:p>
                  <w:pPr>
                    <w:adjustRightInd w:val="0"/>
                    <w:snapToGrid w:val="0"/>
                    <w:jc w:val="center"/>
                    <w:rPr>
                      <w:sz w:val="21"/>
                      <w:szCs w:val="21"/>
                    </w:rPr>
                  </w:pPr>
                  <w:r>
                    <w:rPr>
                      <w:sz w:val="21"/>
                      <w:szCs w:val="21"/>
                    </w:rPr>
                    <w:t>一般固废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trPr>
              <w:tc>
                <w:tcPr>
                  <w:tcW w:w="3375" w:type="dxa"/>
                  <w:vAlign w:val="center"/>
                </w:tcPr>
                <w:p>
                  <w:pPr>
                    <w:adjustRightInd w:val="0"/>
                    <w:snapToGrid w:val="0"/>
                    <w:jc w:val="center"/>
                    <w:rPr>
                      <w:color w:val="000000"/>
                      <w:sz w:val="21"/>
                      <w:szCs w:val="21"/>
                      <w:shd w:val="clear" w:color="auto" w:fill="FFFFFF"/>
                    </w:rPr>
                  </w:pPr>
                  <w:r>
                    <w:rPr>
                      <w:color w:val="000000"/>
                      <w:sz w:val="21"/>
                      <w:szCs w:val="21"/>
                      <w:shd w:val="clear" w:color="auto" w:fill="FFFFFF"/>
                    </w:rPr>
                    <w:t>《危险废物贮存污染控制标准》（GB18597-2001）及修改单</w:t>
                  </w:r>
                </w:p>
              </w:tc>
              <w:tc>
                <w:tcPr>
                  <w:tcW w:w="4562" w:type="dxa"/>
                  <w:gridSpan w:val="2"/>
                  <w:vAlign w:val="center"/>
                </w:tcPr>
                <w:p>
                  <w:pPr>
                    <w:adjustRightInd w:val="0"/>
                    <w:snapToGrid w:val="0"/>
                    <w:jc w:val="center"/>
                    <w:rPr>
                      <w:sz w:val="21"/>
                      <w:szCs w:val="21"/>
                    </w:rPr>
                  </w:pPr>
                  <w:r>
                    <w:rPr>
                      <w:sz w:val="21"/>
                      <w:szCs w:val="21"/>
                    </w:rPr>
                    <w:t>危险固废</w:t>
                  </w:r>
                </w:p>
              </w:tc>
            </w:tr>
          </w:tbl>
          <w:p>
            <w:pPr>
              <w:spacing w:after="120"/>
              <w:jc w:val="both"/>
              <w:rPr>
                <w:b/>
                <w:b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4" w:hRule="atLeast"/>
          <w:jc w:val="center"/>
        </w:trPr>
        <w:tc>
          <w:tcPr>
            <w:tcW w:w="637" w:type="dxa"/>
            <w:tcBorders>
              <w:top w:val="single" w:color="auto" w:sz="12" w:space="0"/>
            </w:tcBorders>
            <w:vAlign w:val="center"/>
          </w:tcPr>
          <w:p>
            <w:pPr>
              <w:spacing w:after="120"/>
              <w:jc w:val="center"/>
              <w:rPr>
                <w:b/>
                <w:bCs/>
                <w:sz w:val="24"/>
              </w:rPr>
            </w:pPr>
            <w:r>
              <w:rPr>
                <w:b/>
                <w:bCs/>
                <w:sz w:val="24"/>
              </w:rPr>
              <w:t>总量控制指标</w:t>
            </w:r>
          </w:p>
        </w:tc>
        <w:tc>
          <w:tcPr>
            <w:tcW w:w="8434" w:type="dxa"/>
            <w:tcBorders>
              <w:top w:val="single" w:color="auto" w:sz="12" w:space="0"/>
            </w:tcBorders>
            <w:vAlign w:val="center"/>
          </w:tcPr>
          <w:p>
            <w:pPr>
              <w:rPr>
                <w:sz w:val="24"/>
              </w:rPr>
            </w:pPr>
            <w:r>
              <w:rPr>
                <w:rFonts w:hint="eastAsia"/>
              </w:rPr>
              <w:t>本项目生活污水经化粪池处理后排入贾屯污水处理厂综合处理；注塑、吹塑</w:t>
            </w:r>
            <w:r>
              <w:rPr>
                <w:rFonts w:hint="eastAsia"/>
                <w:szCs w:val="24"/>
              </w:rPr>
              <w:t>工序产生的非甲烷总烃经收集后，由一套UV光催化氧化设备+活性炭吸附装置处理，于一根15m高排气筒排放</w:t>
            </w:r>
            <w:r>
              <w:rPr>
                <w:rFonts w:hint="eastAsia"/>
                <w:szCs w:val="24"/>
                <w:lang w:eastAsia="zh-CN"/>
              </w:rPr>
              <w:t>（</w:t>
            </w:r>
            <w:r>
              <w:rPr>
                <w:rFonts w:hint="eastAsia"/>
                <w:szCs w:val="24"/>
                <w:lang w:val="en-US" w:eastAsia="zh-CN"/>
              </w:rPr>
              <w:t>P1排放口</w:t>
            </w:r>
            <w:r>
              <w:rPr>
                <w:rFonts w:hint="eastAsia"/>
                <w:szCs w:val="24"/>
                <w:lang w:eastAsia="zh-CN"/>
              </w:rPr>
              <w:t>）</w:t>
            </w:r>
            <w:r>
              <w:rPr>
                <w:rFonts w:hint="eastAsia"/>
                <w:szCs w:val="24"/>
              </w:rPr>
              <w:t>，破碎产生的颗粒物经袋式除尘器处理后，</w:t>
            </w:r>
            <w:r>
              <w:rPr>
                <w:rFonts w:hint="eastAsia"/>
                <w:color w:val="000000" w:themeColor="text1"/>
                <w:szCs w:val="24"/>
                <w14:textFill>
                  <w14:solidFill>
                    <w14:schemeClr w14:val="tx1"/>
                  </w14:solidFill>
                </w14:textFill>
              </w:rPr>
              <w:t>于一根15m高排气筒排放</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P2排放口</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w:t>
            </w:r>
            <w:r>
              <w:rPr>
                <w:color w:val="000000" w:themeColor="text1"/>
                <w14:textFill>
                  <w14:solidFill>
                    <w14:schemeClr w14:val="tx1"/>
                  </w14:solidFill>
                </w14:textFill>
              </w:rPr>
              <w:t>故本项目建议总量控制指标为</w:t>
            </w:r>
            <w:r>
              <w:rPr>
                <w:snapToGrid w:val="0"/>
                <w:color w:val="000000" w:themeColor="text1"/>
                <w:kern w:val="0"/>
                <w:sz w:val="21"/>
                <w:szCs w:val="21"/>
                <w14:textFill>
                  <w14:solidFill>
                    <w14:schemeClr w14:val="tx1"/>
                  </w14:solidFill>
                </w14:textFill>
              </w:rPr>
              <w:t xml:space="preserve">COD </w:t>
            </w:r>
            <w:r>
              <w:rPr>
                <w:rFonts w:hint="eastAsia"/>
                <w:snapToGrid w:val="0"/>
                <w:color w:val="000000" w:themeColor="text1"/>
                <w:kern w:val="0"/>
                <w:sz w:val="21"/>
                <w:szCs w:val="21"/>
                <w:lang w:val="en-US" w:eastAsia="zh-CN"/>
                <w14:textFill>
                  <w14:solidFill>
                    <w14:schemeClr w14:val="tx1"/>
                  </w14:solidFill>
                </w14:textFill>
              </w:rPr>
              <w:t xml:space="preserve">50 </w:t>
            </w:r>
            <w:r>
              <w:rPr>
                <w:snapToGrid w:val="0"/>
                <w:color w:val="000000" w:themeColor="text1"/>
                <w:kern w:val="0"/>
                <w:sz w:val="21"/>
                <w:szCs w:val="21"/>
                <w14:textFill>
                  <w14:solidFill>
                    <w14:schemeClr w14:val="tx1"/>
                  </w14:solidFill>
                </w14:textFill>
              </w:rPr>
              <w:t>mg/L</w:t>
            </w:r>
            <w:r>
              <w:rPr>
                <w:rFonts w:hint="eastAsia"/>
                <w:snapToGrid w:val="0"/>
                <w:color w:val="000000" w:themeColor="text1"/>
                <w:kern w:val="0"/>
                <w:sz w:val="21"/>
                <w:szCs w:val="21"/>
                <w14:textFill>
                  <w14:solidFill>
                    <w14:schemeClr w14:val="tx1"/>
                  </w14:solidFill>
                </w14:textFill>
              </w:rPr>
              <w:t xml:space="preserve"> 0.0</w:t>
            </w:r>
            <w:r>
              <w:rPr>
                <w:rFonts w:hint="eastAsia"/>
                <w:snapToGrid w:val="0"/>
                <w:color w:val="000000" w:themeColor="text1"/>
                <w:kern w:val="0"/>
                <w:sz w:val="21"/>
                <w:szCs w:val="21"/>
                <w:lang w:val="en-US" w:eastAsia="zh-CN"/>
                <w14:textFill>
                  <w14:solidFill>
                    <w14:schemeClr w14:val="tx1"/>
                  </w14:solidFill>
                </w14:textFill>
              </w:rPr>
              <w:t xml:space="preserve">038 </w:t>
            </w:r>
            <w:r>
              <w:rPr>
                <w:rFonts w:hint="eastAsia"/>
                <w:color w:val="000000" w:themeColor="text1"/>
                <w:sz w:val="21"/>
                <w:szCs w:val="21"/>
                <w14:textFill>
                  <w14:solidFill>
                    <w14:schemeClr w14:val="tx1"/>
                  </w14:solidFill>
                </w14:textFill>
              </w:rPr>
              <w:t>t/a</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NH</w:t>
            </w:r>
            <w:r>
              <w:rPr>
                <w:rFonts w:hint="eastAsia"/>
                <w:color w:val="000000" w:themeColor="text1"/>
                <w:sz w:val="21"/>
                <w:szCs w:val="21"/>
                <w:vertAlign w:val="subscript"/>
                <w14:textFill>
                  <w14:solidFill>
                    <w14:schemeClr w14:val="tx1"/>
                  </w14:solidFill>
                </w14:textFill>
              </w:rPr>
              <w:t>3</w:t>
            </w:r>
            <w:r>
              <w:rPr>
                <w:rFonts w:hint="eastAsia"/>
                <w:color w:val="000000" w:themeColor="text1"/>
                <w:sz w:val="21"/>
                <w:szCs w:val="21"/>
                <w14:textFill>
                  <w14:solidFill>
                    <w14:schemeClr w14:val="tx1"/>
                  </w14:solidFill>
                </w14:textFill>
              </w:rPr>
              <w:t xml:space="preserve">-N </w:t>
            </w: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14:textFill>
                  <w14:solidFill>
                    <w14:schemeClr w14:val="tx1"/>
                  </w14:solidFill>
                </w14:textFill>
              </w:rPr>
              <w:t>mg/L 0.00</w:t>
            </w:r>
            <w:r>
              <w:rPr>
                <w:rFonts w:hint="eastAsia"/>
                <w:color w:val="000000" w:themeColor="text1"/>
                <w:sz w:val="21"/>
                <w:szCs w:val="21"/>
                <w:lang w:val="en-US" w:eastAsia="zh-CN"/>
                <w14:textFill>
                  <w14:solidFill>
                    <w14:schemeClr w14:val="tx1"/>
                  </w14:solidFill>
                </w14:textFill>
              </w:rPr>
              <w:t>04</w:t>
            </w:r>
            <w:r>
              <w:rPr>
                <w:rFonts w:hint="eastAsia"/>
                <w:color w:val="000000" w:themeColor="text1"/>
                <w:sz w:val="21"/>
                <w:szCs w:val="21"/>
                <w14:textFill>
                  <w14:solidFill>
                    <w14:schemeClr w14:val="tx1"/>
                  </w14:solidFill>
                </w14:textFill>
              </w:rPr>
              <w:t xml:space="preserve">t/a、TP </w:t>
            </w:r>
            <w:r>
              <w:rPr>
                <w:rFonts w:hint="eastAsia"/>
                <w:color w:val="000000" w:themeColor="text1"/>
                <w:sz w:val="21"/>
                <w:szCs w:val="21"/>
                <w:lang w:val="en-US" w:eastAsia="zh-CN"/>
                <w14:textFill>
                  <w14:solidFill>
                    <w14:schemeClr w14:val="tx1"/>
                  </w14:solidFill>
                </w14:textFill>
              </w:rPr>
              <w:t>0.5</w:t>
            </w:r>
            <w:r>
              <w:rPr>
                <w:rFonts w:hint="eastAsia"/>
                <w:color w:val="000000" w:themeColor="text1"/>
                <w:sz w:val="21"/>
                <w:szCs w:val="21"/>
                <w14:textFill>
                  <w14:solidFill>
                    <w14:schemeClr w14:val="tx1"/>
                  </w14:solidFill>
                </w14:textFill>
              </w:rPr>
              <w:t>mg/L 0.000</w:t>
            </w:r>
            <w:r>
              <w:rPr>
                <w:rFonts w:hint="eastAsia"/>
                <w:color w:val="000000" w:themeColor="text1"/>
                <w:sz w:val="21"/>
                <w:szCs w:val="21"/>
                <w:lang w:val="en-US" w:eastAsia="zh-CN"/>
                <w14:textFill>
                  <w14:solidFill>
                    <w14:schemeClr w14:val="tx1"/>
                  </w14:solidFill>
                </w14:textFill>
              </w:rPr>
              <w:t xml:space="preserve">04 </w:t>
            </w:r>
            <w:r>
              <w:rPr>
                <w:rFonts w:hint="eastAsia"/>
                <w:color w:val="000000" w:themeColor="text1"/>
                <w:sz w:val="21"/>
                <w:szCs w:val="21"/>
                <w14:textFill>
                  <w14:solidFill>
                    <w14:schemeClr w14:val="tx1"/>
                  </w14:solidFill>
                </w14:textFill>
              </w:rPr>
              <w:t>t/a</w:t>
            </w:r>
            <w:r>
              <w:rPr>
                <w:rFonts w:hint="eastAsia"/>
                <w:color w:val="000000" w:themeColor="text1"/>
                <w:sz w:val="21"/>
                <w:szCs w:val="21"/>
                <w:lang w:eastAsia="zh-CN"/>
                <w14:textFill>
                  <w14:solidFill>
                    <w14:schemeClr w14:val="tx1"/>
                  </w14:solidFill>
                </w14:textFill>
              </w:rPr>
              <w:t>，</w:t>
            </w:r>
            <w:r>
              <w:rPr>
                <w:rFonts w:hint="eastAsia"/>
                <w:color w:val="000000" w:themeColor="text1"/>
                <w:kern w:val="21"/>
                <w:szCs w:val="21"/>
                <w14:textFill>
                  <w14:solidFill>
                    <w14:schemeClr w14:val="tx1"/>
                  </w14:solidFill>
                </w14:textFill>
              </w:rPr>
              <w:t xml:space="preserve">本项目VOCs </w:t>
            </w:r>
            <w:r>
              <w:rPr>
                <w:rFonts w:hint="eastAsia"/>
                <w:color w:val="000000" w:themeColor="text1"/>
                <w:kern w:val="21"/>
                <w:szCs w:val="21"/>
                <w:lang w:eastAsia="zh-CN"/>
                <w14:textFill>
                  <w14:solidFill>
                    <w14:schemeClr w14:val="tx1"/>
                  </w14:solidFill>
                </w14:textFill>
              </w:rPr>
              <w:t>有组织</w:t>
            </w:r>
            <w:r>
              <w:rPr>
                <w:rFonts w:hint="eastAsia"/>
                <w:color w:val="000000" w:themeColor="text1"/>
                <w:kern w:val="21"/>
                <w:sz w:val="21"/>
                <w:szCs w:val="21"/>
                <w:lang w:eastAsia="zh-CN"/>
                <w14:textFill>
                  <w14:solidFill>
                    <w14:schemeClr w14:val="tx1"/>
                  </w14:solidFill>
                </w14:textFill>
              </w:rPr>
              <w:t>排放量为</w:t>
            </w:r>
            <w:r>
              <w:rPr>
                <w:rFonts w:hint="eastAsia"/>
                <w:color w:val="000000" w:themeColor="text1"/>
                <w:kern w:val="21"/>
                <w:sz w:val="21"/>
                <w:szCs w:val="21"/>
                <w14:textFill>
                  <w14:solidFill>
                    <w14:schemeClr w14:val="tx1"/>
                  </w14:solidFill>
                </w14:textFill>
              </w:rPr>
              <w:t>0.00</w:t>
            </w:r>
            <w:r>
              <w:rPr>
                <w:rFonts w:hint="eastAsia"/>
                <w:color w:val="000000" w:themeColor="text1"/>
                <w:kern w:val="21"/>
                <w:sz w:val="21"/>
                <w:szCs w:val="21"/>
                <w:lang w:val="en-US" w:eastAsia="zh-CN"/>
                <w14:textFill>
                  <w14:solidFill>
                    <w14:schemeClr w14:val="tx1"/>
                  </w14:solidFill>
                </w14:textFill>
              </w:rPr>
              <w:t xml:space="preserve">48 </w:t>
            </w:r>
            <w:r>
              <w:rPr>
                <w:rFonts w:hint="eastAsia"/>
                <w:color w:val="000000" w:themeColor="text1"/>
                <w:kern w:val="21"/>
                <w:sz w:val="21"/>
                <w:szCs w:val="21"/>
                <w14:textFill>
                  <w14:solidFill>
                    <w14:schemeClr w14:val="tx1"/>
                  </w14:solidFill>
                </w14:textFill>
              </w:rPr>
              <w:t>t/a，</w:t>
            </w:r>
            <w:r>
              <w:rPr>
                <w:rFonts w:hint="eastAsia"/>
                <w:color w:val="000000" w:themeColor="text1"/>
                <w:kern w:val="21"/>
                <w:sz w:val="21"/>
                <w:szCs w:val="21"/>
                <w:lang w:eastAsia="zh-CN"/>
                <w14:textFill>
                  <w14:solidFill>
                    <w14:schemeClr w14:val="tx1"/>
                  </w14:solidFill>
                </w14:textFill>
              </w:rPr>
              <w:t>无组织排放量为</w:t>
            </w:r>
            <w:r>
              <w:rPr>
                <w:rFonts w:hint="eastAsia"/>
                <w:color w:val="000000" w:themeColor="text1"/>
                <w:kern w:val="21"/>
                <w:sz w:val="21"/>
                <w:szCs w:val="21"/>
                <w:lang w:val="en-US" w:eastAsia="zh-CN"/>
                <w14:textFill>
                  <w14:solidFill>
                    <w14:schemeClr w14:val="tx1"/>
                  </w14:solidFill>
                </w14:textFill>
              </w:rPr>
              <w:t xml:space="preserve">0.0024 </w:t>
            </w:r>
            <w:r>
              <w:rPr>
                <w:rFonts w:hint="eastAsia"/>
                <w:color w:val="000000" w:themeColor="text1"/>
                <w:kern w:val="21"/>
                <w:sz w:val="21"/>
                <w:szCs w:val="21"/>
                <w14:textFill>
                  <w14:solidFill>
                    <w14:schemeClr w14:val="tx1"/>
                  </w14:solidFill>
                </w14:textFill>
              </w:rPr>
              <w:t>t/a</w:t>
            </w:r>
            <w:r>
              <w:rPr>
                <w:rFonts w:hint="eastAsia"/>
                <w:color w:val="000000" w:themeColor="text1"/>
                <w:kern w:val="21"/>
                <w:sz w:val="21"/>
                <w:szCs w:val="21"/>
                <w:lang w:eastAsia="zh-CN"/>
                <w14:textFill>
                  <w14:solidFill>
                    <w14:schemeClr w14:val="tx1"/>
                  </w14:solidFill>
                </w14:textFill>
              </w:rPr>
              <w:t>，共计</w:t>
            </w:r>
            <w:r>
              <w:rPr>
                <w:rFonts w:hint="eastAsia"/>
                <w:color w:val="000000" w:themeColor="text1"/>
                <w:kern w:val="21"/>
                <w:sz w:val="21"/>
                <w:szCs w:val="21"/>
                <w:lang w:val="en-US" w:eastAsia="zh-CN"/>
                <w14:textFill>
                  <w14:solidFill>
                    <w14:schemeClr w14:val="tx1"/>
                  </w14:solidFill>
                </w14:textFill>
              </w:rPr>
              <w:t xml:space="preserve">0.0072 </w:t>
            </w:r>
            <w:r>
              <w:rPr>
                <w:rFonts w:hint="eastAsia"/>
                <w:color w:val="000000" w:themeColor="text1"/>
                <w:kern w:val="21"/>
                <w:sz w:val="21"/>
                <w:szCs w:val="21"/>
                <w14:textFill>
                  <w14:solidFill>
                    <w14:schemeClr w14:val="tx1"/>
                  </w14:solidFill>
                </w14:textFill>
              </w:rPr>
              <w:t>t/a</w:t>
            </w:r>
            <w:r>
              <w:rPr>
                <w:rFonts w:hint="eastAsia"/>
                <w:color w:val="000000" w:themeColor="text1"/>
                <w:kern w:val="21"/>
                <w:sz w:val="21"/>
                <w:szCs w:val="21"/>
                <w:lang w:eastAsia="zh-CN"/>
                <w14:textFill>
                  <w14:solidFill>
                    <w14:schemeClr w14:val="tx1"/>
                  </w14:solidFill>
                </w14:textFill>
              </w:rPr>
              <w:t>，</w:t>
            </w:r>
            <w:r>
              <w:rPr>
                <w:rFonts w:hint="eastAsia"/>
                <w:color w:val="000000" w:themeColor="text1"/>
                <w:kern w:val="21"/>
                <w:sz w:val="21"/>
                <w:szCs w:val="21"/>
                <w14:textFill>
                  <w14:solidFill>
                    <w14:schemeClr w14:val="tx1"/>
                  </w14:solidFill>
                </w14:textFill>
              </w:rPr>
              <w:t>根据VOCs 排放总量倍量消减替代，应消减替代</w:t>
            </w:r>
            <w:r>
              <w:rPr>
                <w:rFonts w:hint="eastAsia"/>
                <w:color w:val="000000" w:themeColor="text1"/>
                <w:kern w:val="21"/>
                <w:sz w:val="21"/>
                <w:szCs w:val="21"/>
                <w:lang w:val="en-US" w:eastAsia="zh-CN"/>
                <w14:textFill>
                  <w14:solidFill>
                    <w14:schemeClr w14:val="tx1"/>
                  </w14:solidFill>
                </w14:textFill>
              </w:rPr>
              <w:t>0.0144</w:t>
            </w:r>
            <w:r>
              <w:rPr>
                <w:rFonts w:hint="eastAsia"/>
                <w:color w:val="000000" w:themeColor="text1"/>
                <w:kern w:val="21"/>
                <w:sz w:val="21"/>
                <w:szCs w:val="21"/>
                <w14:textFill>
                  <w14:solidFill>
                    <w14:schemeClr w14:val="tx1"/>
                  </w14:solidFill>
                </w14:textFill>
              </w:rPr>
              <w:t>t/a</w:t>
            </w:r>
            <w:r>
              <w:rPr>
                <w:rFonts w:hint="eastAsia"/>
                <w:color w:val="000000" w:themeColor="text1"/>
                <w:kern w:val="21"/>
                <w:sz w:val="21"/>
                <w:szCs w:val="21"/>
                <w:lang w:eastAsia="zh-CN"/>
                <w14:textFill>
                  <w14:solidFill>
                    <w14:schemeClr w14:val="tx1"/>
                  </w14:solidFill>
                </w14:textFill>
              </w:rPr>
              <w:t>，</w:t>
            </w:r>
            <w:r>
              <w:rPr>
                <w:rFonts w:hint="eastAsia"/>
                <w:kern w:val="21"/>
                <w:szCs w:val="21"/>
                <w:lang w:val="en-US" w:eastAsia="zh-CN"/>
              </w:rPr>
              <w:t>本项目拟从新乡县大召营镇贵波橡胶制品厂VOCs 排放总量中消减替代</w:t>
            </w:r>
            <w:r>
              <w:rPr>
                <w:rFonts w:hint="eastAsia"/>
                <w:color w:val="000000" w:themeColor="text1"/>
                <w:kern w:val="21"/>
                <w:sz w:val="21"/>
                <w:szCs w:val="21"/>
                <w:lang w:val="en-US" w:eastAsia="zh-CN"/>
                <w14:textFill>
                  <w14:solidFill>
                    <w14:schemeClr w14:val="tx1"/>
                  </w14:solidFill>
                </w14:textFill>
              </w:rPr>
              <w:t>0.0144</w:t>
            </w:r>
            <w:r>
              <w:rPr>
                <w:rFonts w:hint="eastAsia"/>
                <w:color w:val="000000" w:themeColor="text1"/>
                <w:kern w:val="21"/>
                <w:sz w:val="21"/>
                <w:szCs w:val="21"/>
                <w14:textFill>
                  <w14:solidFill>
                    <w14:schemeClr w14:val="tx1"/>
                  </w14:solidFill>
                </w14:textFill>
              </w:rPr>
              <w:t>t/a</w:t>
            </w:r>
            <w:r>
              <w:rPr>
                <w:rFonts w:hint="eastAsia"/>
                <w:color w:val="000000" w:themeColor="text1"/>
                <w:kern w:val="21"/>
                <w:sz w:val="21"/>
                <w:szCs w:val="21"/>
                <w:lang w:eastAsia="zh-CN"/>
                <w14:textFill>
                  <w14:solidFill>
                    <w14:schemeClr w14:val="tx1"/>
                  </w14:solidFill>
                </w14:textFill>
              </w:rPr>
              <w:t>。</w:t>
            </w:r>
            <w:r>
              <w:rPr>
                <w:rFonts w:hint="eastAsia"/>
                <w:color w:val="000000" w:themeColor="text1"/>
                <w:kern w:val="21"/>
                <w:sz w:val="21"/>
                <w:szCs w:val="21"/>
                <w14:textFill>
                  <w14:solidFill>
                    <w14:schemeClr w14:val="tx1"/>
                  </w14:solidFill>
                </w14:textFill>
              </w:rPr>
              <w:t>颗粒物0.00</w:t>
            </w:r>
            <w:r>
              <w:rPr>
                <w:rFonts w:hint="eastAsia"/>
                <w:color w:val="000000" w:themeColor="text1"/>
                <w:kern w:val="21"/>
                <w:sz w:val="21"/>
                <w:szCs w:val="21"/>
                <w:lang w:val="en-US" w:eastAsia="zh-CN"/>
                <w14:textFill>
                  <w14:solidFill>
                    <w14:schemeClr w14:val="tx1"/>
                  </w14:solidFill>
                </w14:textFill>
              </w:rPr>
              <w:t>72</w:t>
            </w:r>
            <w:r>
              <w:rPr>
                <w:rFonts w:hint="eastAsia"/>
                <w:color w:val="000000" w:themeColor="text1"/>
                <w:kern w:val="21"/>
                <w:sz w:val="21"/>
                <w:szCs w:val="21"/>
                <w14:textFill>
                  <w14:solidFill>
                    <w14:schemeClr w14:val="tx1"/>
                  </w14:solidFill>
                </w14:textFill>
              </w:rPr>
              <w:t>t/a</w:t>
            </w:r>
            <w:r>
              <w:rPr>
                <w:color w:val="000000" w:themeColor="text1"/>
                <w:sz w:val="21"/>
                <w:szCs w:val="21"/>
                <w14:textFill>
                  <w14:solidFill>
                    <w14:schemeClr w14:val="tx1"/>
                  </w14:solidFill>
                </w14:textFill>
              </w:rPr>
              <w:t>。</w:t>
            </w:r>
          </w:p>
        </w:tc>
      </w:tr>
    </w:tbl>
    <w:p>
      <w:pPr>
        <w:adjustRightInd w:val="0"/>
        <w:snapToGrid w:val="0"/>
        <w:rPr>
          <w:rFonts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建设项目工程分析</w:t>
      </w:r>
    </w:p>
    <w:tbl>
      <w:tblPr>
        <w:tblStyle w:val="23"/>
        <w:tblW w:w="9071"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436" w:hRule="atLeast"/>
          <w:jc w:val="center"/>
        </w:trPr>
        <w:tc>
          <w:tcPr>
            <w:tcW w:w="9071" w:type="dxa"/>
          </w:tcPr>
          <w:p>
            <w:pPr>
              <w:adjustRightInd w:val="0"/>
              <w:snapToGrid w:val="0"/>
              <w:spacing w:line="360" w:lineRule="auto"/>
              <w:rPr>
                <w:rFonts w:ascii="宋体" w:hAnsi="宋体" w:cs="宋体"/>
                <w:b/>
                <w:sz w:val="24"/>
              </w:rPr>
            </w:pPr>
            <w:r>
              <w:rPr>
                <w:rFonts w:hint="eastAsia" w:ascii="宋体" w:hAnsi="宋体" w:cs="宋体"/>
                <w:b/>
                <w:sz w:val="24"/>
              </w:rPr>
              <w:t>一、施工期工程分析</w:t>
            </w:r>
          </w:p>
          <w:p>
            <w:pPr>
              <w:adjustRightInd w:val="0"/>
              <w:snapToGrid w:val="0"/>
              <w:spacing w:line="360" w:lineRule="auto"/>
              <w:ind w:firstLine="480" w:firstLineChars="200"/>
              <w:rPr>
                <w:bCs/>
                <w:sz w:val="24"/>
              </w:rPr>
            </w:pPr>
            <w:r>
              <w:rPr>
                <w:bCs/>
                <w:sz w:val="24"/>
              </w:rPr>
              <w:t>本项目</w:t>
            </w:r>
            <w:r>
              <w:rPr>
                <w:rFonts w:hint="eastAsia"/>
                <w:bCs/>
                <w:sz w:val="24"/>
              </w:rPr>
              <w:t>利用现有厂房</w:t>
            </w:r>
            <w:r>
              <w:rPr>
                <w:bCs/>
                <w:sz w:val="24"/>
              </w:rPr>
              <w:t>，施工期仅为设备安装和调试，不再进行施工期工程分析。</w:t>
            </w:r>
          </w:p>
          <w:p>
            <w:pPr>
              <w:pStyle w:val="38"/>
              <w:adjustRightInd w:val="0"/>
              <w:snapToGrid w:val="0"/>
              <w:ind w:firstLine="0" w:firstLineChars="0"/>
              <w:jc w:val="both"/>
              <w:rPr>
                <w:rFonts w:ascii="Times New Roman" w:hAnsi="Times New Roman"/>
                <w:b/>
                <w:bCs/>
              </w:rPr>
            </w:pPr>
            <w:r>
              <w:rPr>
                <w:rFonts w:ascii="Times New Roman" w:hAnsi="Times New Roman"/>
                <w:b/>
                <w:bCs/>
              </w:rPr>
              <w:t>二、营运期工程分析</w:t>
            </w:r>
          </w:p>
          <w:p>
            <w:pPr>
              <w:adjustRightInd w:val="0"/>
              <w:snapToGrid w:val="0"/>
              <w:spacing w:line="360" w:lineRule="auto"/>
              <w:rPr>
                <w:bCs/>
                <w:sz w:val="24"/>
              </w:rPr>
            </w:pPr>
            <w:r>
              <w:rPr>
                <w:rFonts w:hint="eastAsia"/>
                <w:bCs/>
                <w:sz w:val="24"/>
              </w:rPr>
              <w:t>1</w:t>
            </w:r>
            <w:r>
              <w:rPr>
                <w:bCs/>
                <w:sz w:val="24"/>
              </w:rPr>
              <w:t>、</w:t>
            </w:r>
            <w:r>
              <w:rPr>
                <w:bCs/>
                <w:color w:val="000000" w:themeColor="text1"/>
                <w:sz w:val="24"/>
                <w14:textFill>
                  <w14:solidFill>
                    <w14:schemeClr w14:val="tx1"/>
                  </w14:solidFill>
                </w14:textFill>
              </w:rPr>
              <w:t>工艺流程简述（图示）</w:t>
            </w:r>
            <w:r>
              <w:rPr>
                <w:bCs/>
                <w:sz w:val="24"/>
              </w:rPr>
              <w:t>：</w:t>
            </w:r>
          </w:p>
          <w:p>
            <w:pPr>
              <w:pStyle w:val="10"/>
              <w:rPr>
                <w:bCs/>
                <w:sz w:val="24"/>
              </w:rPr>
            </w:pPr>
            <w:r>
              <w:rPr>
                <w:sz w:val="24"/>
              </w:rPr>
              <mc:AlternateContent>
                <mc:Choice Requires="wps">
                  <w:drawing>
                    <wp:anchor distT="0" distB="0" distL="114300" distR="114300" simplePos="0" relativeHeight="251693056" behindDoc="0" locked="0" layoutInCell="1" allowOverlap="1">
                      <wp:simplePos x="0" y="0"/>
                      <wp:positionH relativeFrom="column">
                        <wp:posOffset>2626360</wp:posOffset>
                      </wp:positionH>
                      <wp:positionV relativeFrom="paragraph">
                        <wp:posOffset>58420</wp:posOffset>
                      </wp:positionV>
                      <wp:extent cx="466725" cy="295275"/>
                      <wp:effectExtent l="0" t="0" r="0" b="0"/>
                      <wp:wrapNone/>
                      <wp:docPr id="33" name="文本框 19"/>
                      <wp:cNvGraphicFramePr/>
                      <a:graphic xmlns:a="http://schemas.openxmlformats.org/drawingml/2006/main">
                        <a:graphicData uri="http://schemas.microsoft.com/office/word/2010/wordprocessingShape">
                          <wps:wsp>
                            <wps:cNvSpPr txBox="1"/>
                            <wps:spPr>
                              <a:xfrm>
                                <a:off x="0" y="0"/>
                                <a:ext cx="466725" cy="295275"/>
                              </a:xfrm>
                              <a:prstGeom prst="rect">
                                <a:avLst/>
                              </a:prstGeom>
                              <a:noFill/>
                              <a:ln w="15875">
                                <a:noFill/>
                              </a:ln>
                            </wps:spPr>
                            <wps:txbx>
                              <w:txbxContent>
                                <w:p>
                                  <w:r>
                                    <w:rPr>
                                      <w:rFonts w:hint="eastAsia"/>
                                    </w:rPr>
                                    <w:t>废气</w:t>
                                  </w:r>
                                </w:p>
                              </w:txbxContent>
                            </wps:txbx>
                            <wps:bodyPr upright="1"/>
                          </wps:wsp>
                        </a:graphicData>
                      </a:graphic>
                    </wp:anchor>
                  </w:drawing>
                </mc:Choice>
                <mc:Fallback>
                  <w:pict>
                    <v:shape id="文本框 19" o:spid="_x0000_s1026" o:spt="202" type="#_x0000_t202" style="position:absolute;left:0pt;margin-left:206.8pt;margin-top:4.6pt;height:23.25pt;width:36.75pt;z-index:251693056;mso-width-relative:page;mso-height-relative:page;" filled="f" stroked="f" coordsize="21600,21600" o:gfxdata="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dPHVBdsAAAAIAQAADwAAAAAAAAABACAA&#10;AAAiAAAAZHJzL2Rvd25yZXYueG1sUEsBAhQAFAAAAAgAh07iQNHvbjaYAQAACwMAAA4AAAAAAAAA&#10;AQAgAAAAKgEAAGRycy9lMm9Eb2MueG1sUEsFBgAAAAAGAAYAWQEAADQFAAAAAA==&#10;">
                      <v:fill on="f" focussize="0,0"/>
                      <v:stroke on="f" weight="1.25pt"/>
                      <v:imagedata o:title=""/>
                      <o:lock v:ext="edit" aspectratio="f"/>
                      <v:textbox>
                        <w:txbxContent>
                          <w:p>
                            <w:r>
                              <w:rPr>
                                <w:rFonts w:hint="eastAsia"/>
                              </w:rPr>
                              <w:t>废气</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3750310</wp:posOffset>
                      </wp:positionH>
                      <wp:positionV relativeFrom="paragraph">
                        <wp:posOffset>86995</wp:posOffset>
                      </wp:positionV>
                      <wp:extent cx="485775" cy="295275"/>
                      <wp:effectExtent l="0" t="0" r="0" b="0"/>
                      <wp:wrapNone/>
                      <wp:docPr id="35" name="文本框 19"/>
                      <wp:cNvGraphicFramePr/>
                      <a:graphic xmlns:a="http://schemas.openxmlformats.org/drawingml/2006/main">
                        <a:graphicData uri="http://schemas.microsoft.com/office/word/2010/wordprocessingShape">
                          <wps:wsp>
                            <wps:cNvSpPr txBox="1"/>
                            <wps:spPr>
                              <a:xfrm>
                                <a:off x="0" y="0"/>
                                <a:ext cx="485775" cy="295275"/>
                              </a:xfrm>
                              <a:prstGeom prst="rect">
                                <a:avLst/>
                              </a:prstGeom>
                              <a:noFill/>
                              <a:ln w="15875">
                                <a:noFill/>
                              </a:ln>
                            </wps:spPr>
                            <wps:txbx>
                              <w:txbxContent>
                                <w:p>
                                  <w:r>
                                    <w:rPr>
                                      <w:rFonts w:hint="eastAsia"/>
                                    </w:rPr>
                                    <w:t>废气</w:t>
                                  </w:r>
                                </w:p>
                              </w:txbxContent>
                            </wps:txbx>
                            <wps:bodyPr upright="1"/>
                          </wps:wsp>
                        </a:graphicData>
                      </a:graphic>
                    </wp:anchor>
                  </w:drawing>
                </mc:Choice>
                <mc:Fallback>
                  <w:pict>
                    <v:shape id="文本框 19" o:spid="_x0000_s1026" o:spt="202" type="#_x0000_t202" style="position:absolute;left:0pt;margin-left:295.3pt;margin-top:6.85pt;height:23.25pt;width:38.25pt;z-index:251702272;mso-width-relative:page;mso-height-relative:page;" filled="f" stroked="f" coordsize="21600,21600" o:gfxdata="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5wh8zbAAAACQEAAA8AAAAAAAAAAQAgAAAA&#10;IgAAAGRycy9kb3ducmV2LnhtbFBLAQIUABQAAAAIAIdO4kAu7hPPlgEAAAsDAAAOAAAAAAAAAAEA&#10;IAAAACoBAABkcnMvZTJvRG9jLnhtbFBLBQYAAAAABgAGAFkBAAAyBQAAAAA=&#10;">
                      <v:fill on="f" focussize="0,0"/>
                      <v:stroke on="f" weight="1.25pt"/>
                      <v:imagedata o:title=""/>
                      <o:lock v:ext="edit" aspectratio="f"/>
                      <v:textbox>
                        <w:txbxContent>
                          <w:p>
                            <w:r>
                              <w:rPr>
                                <w:rFonts w:hint="eastAsia"/>
                              </w:rPr>
                              <w:t>废气</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1292860</wp:posOffset>
                      </wp:positionH>
                      <wp:positionV relativeFrom="paragraph">
                        <wp:posOffset>86995</wp:posOffset>
                      </wp:positionV>
                      <wp:extent cx="809625" cy="295275"/>
                      <wp:effectExtent l="0" t="0" r="0" b="0"/>
                      <wp:wrapNone/>
                      <wp:docPr id="30" name="文本框 19"/>
                      <wp:cNvGraphicFramePr/>
                      <a:graphic xmlns:a="http://schemas.openxmlformats.org/drawingml/2006/main">
                        <a:graphicData uri="http://schemas.microsoft.com/office/word/2010/wordprocessingShape">
                          <wps:wsp>
                            <wps:cNvSpPr txBox="1"/>
                            <wps:spPr>
                              <a:xfrm>
                                <a:off x="0" y="0"/>
                                <a:ext cx="809625" cy="295275"/>
                              </a:xfrm>
                              <a:prstGeom prst="rect">
                                <a:avLst/>
                              </a:prstGeom>
                              <a:noFill/>
                              <a:ln w="15875">
                                <a:noFill/>
                              </a:ln>
                            </wps:spPr>
                            <wps:txbx>
                              <w:txbxContent>
                                <w:p>
                                  <w:r>
                                    <w:rPr>
                                      <w:rFonts w:hint="eastAsia"/>
                                    </w:rPr>
                                    <w:t>废气、噪声</w:t>
                                  </w:r>
                                </w:p>
                              </w:txbxContent>
                            </wps:txbx>
                            <wps:bodyPr upright="1"/>
                          </wps:wsp>
                        </a:graphicData>
                      </a:graphic>
                    </wp:anchor>
                  </w:drawing>
                </mc:Choice>
                <mc:Fallback>
                  <w:pict>
                    <v:shape id="文本框 19" o:spid="_x0000_s1026" o:spt="202" type="#_x0000_t202" style="position:absolute;left:0pt;margin-left:101.8pt;margin-top:6.85pt;height:23.25pt;width:63.75pt;z-index:251666432;mso-width-relative:page;mso-height-relative:page;" filled="f" stroked="f" coordsize="21600,21600" o:gfxdata="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m6kD/doAAAAJAQAADwAAAAAAAAABACAA&#10;AAAiAAAAZHJzL2Rvd25yZXYueG1sUEsBAhQAFAAAAAgAh07iQKQJCoeZAQAACwMAAA4AAAAAAAAA&#10;AQAgAAAAKQEAAGRycy9lMm9Eb2MueG1sUEsFBgAAAAAGAAYAWQEAADQFAAAAAA==&#10;">
                      <v:fill on="f" focussize="0,0"/>
                      <v:stroke on="f" weight="1.25pt"/>
                      <v:imagedata o:title=""/>
                      <o:lock v:ext="edit" aspectratio="f"/>
                      <v:textbox>
                        <w:txbxContent>
                          <w:p>
                            <w:r>
                              <w:rPr>
                                <w:rFonts w:hint="eastAsia"/>
                              </w:rPr>
                              <w:t>废气、噪声</w:t>
                            </w:r>
                          </w:p>
                        </w:txbxContent>
                      </v:textbox>
                    </v:shape>
                  </w:pict>
                </mc:Fallback>
              </mc:AlternateContent>
            </w:r>
          </w:p>
          <w:p>
            <w:pPr>
              <w:pStyle w:val="9"/>
            </w:pPr>
            <w:r>
              <mc:AlternateContent>
                <mc:Choice Requires="wps">
                  <w:drawing>
                    <wp:anchor distT="0" distB="0" distL="114300" distR="114300" simplePos="0" relativeHeight="251675648" behindDoc="0" locked="0" layoutInCell="1" allowOverlap="1">
                      <wp:simplePos x="0" y="0"/>
                      <wp:positionH relativeFrom="column">
                        <wp:posOffset>2845435</wp:posOffset>
                      </wp:positionH>
                      <wp:positionV relativeFrom="paragraph">
                        <wp:posOffset>69850</wp:posOffset>
                      </wp:positionV>
                      <wp:extent cx="635" cy="190500"/>
                      <wp:effectExtent l="48895" t="0" r="64770" b="0"/>
                      <wp:wrapNone/>
                      <wp:docPr id="2" name="直线 20"/>
                      <wp:cNvGraphicFramePr/>
                      <a:graphic xmlns:a="http://schemas.openxmlformats.org/drawingml/2006/main">
                        <a:graphicData uri="http://schemas.microsoft.com/office/word/2010/wordprocessingShape">
                          <wps:wsp>
                            <wps:cNvCnPr/>
                            <wps:spPr>
                              <a:xfrm flipV="1">
                                <a:off x="0" y="0"/>
                                <a:ext cx="635" cy="19050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20" o:spid="_x0000_s1026" o:spt="20" style="position:absolute;left:0pt;flip:y;margin-left:224.05pt;margin-top:5.5pt;height:15pt;width:0.05pt;z-index:251675648;mso-width-relative:page;mso-height-relative:page;" filled="f" stroked="t" coordsize="21600,21600" o:gfxdata="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Gt23bTAAAACQEAAA8AAAAAAAAAAQAg&#10;AAAAIgAAAGRycy9kb3ducmV2LnhtbFBLAQIUABQAAAAIAIdO4kDk0rbd2gEAAJkDAAAOAAAAAAAA&#10;AAEAIAAAACIBAABkcnMvZTJvRG9jLnhtbFBLBQYAAAAABgAGAFkBAABuBQAAAAA=&#10;">
                      <v:fill on="f" focussize="0,0"/>
                      <v:stroke color="#000000" joinstyle="round" dashstyle="dash" endarrow="open"/>
                      <v:imagedata o:title=""/>
                      <o:lock v:ext="edit" aspectratio="f"/>
                    </v:lin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4017010</wp:posOffset>
                      </wp:positionH>
                      <wp:positionV relativeFrom="paragraph">
                        <wp:posOffset>50800</wp:posOffset>
                      </wp:positionV>
                      <wp:extent cx="635" cy="190500"/>
                      <wp:effectExtent l="48895" t="0" r="64770" b="0"/>
                      <wp:wrapNone/>
                      <wp:docPr id="32" name="直线 20"/>
                      <wp:cNvGraphicFramePr/>
                      <a:graphic xmlns:a="http://schemas.openxmlformats.org/drawingml/2006/main">
                        <a:graphicData uri="http://schemas.microsoft.com/office/word/2010/wordprocessingShape">
                          <wps:wsp>
                            <wps:cNvCnPr/>
                            <wps:spPr>
                              <a:xfrm flipV="1">
                                <a:off x="0" y="0"/>
                                <a:ext cx="635" cy="19050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20" o:spid="_x0000_s1026" o:spt="20" style="position:absolute;left:0pt;flip:y;margin-left:316.3pt;margin-top:4pt;height:15pt;width:0.05pt;z-index:251683840;mso-width-relative:page;mso-height-relative:page;" filled="f" stroked="t" coordsize="21600,21600" o:gfxdata="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p7JGdQAAAAIAQAADwAAAAAAAAAB&#10;ACAAAAAiAAAAZHJzL2Rvd25yZXYueG1sUEsBAhQAFAAAAAgAh07iQDZOnQbbAQAAmgMAAA4AAAAA&#10;AAAAAQAgAAAAIwEAAGRycy9lMm9Eb2MueG1sUEsFBgAAAAAGAAYAWQEAAHAFAAAAAA==&#10;">
                      <v:fill on="f" focussize="0,0"/>
                      <v:stroke color="#000000" joinstyle="round" dashstyle="dash" endarrow="open"/>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4959985</wp:posOffset>
                      </wp:positionH>
                      <wp:positionV relativeFrom="paragraph">
                        <wp:posOffset>273685</wp:posOffset>
                      </wp:positionV>
                      <wp:extent cx="697230" cy="288290"/>
                      <wp:effectExtent l="6350" t="6350" r="20320" b="10160"/>
                      <wp:wrapNone/>
                      <wp:docPr id="26" name="文本框 10"/>
                      <wp:cNvGraphicFramePr/>
                      <a:graphic xmlns:a="http://schemas.openxmlformats.org/drawingml/2006/main">
                        <a:graphicData uri="http://schemas.microsoft.com/office/word/2010/wordprocessingShape">
                          <wps:wsp>
                            <wps:cNvSpPr txBox="1"/>
                            <wps:spPr>
                              <a:xfrm>
                                <a:off x="0" y="0"/>
                                <a:ext cx="697230" cy="2882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成品</w:t>
                                  </w:r>
                                </w:p>
                              </w:txbxContent>
                            </wps:txbx>
                            <wps:bodyPr upright="1"/>
                          </wps:wsp>
                        </a:graphicData>
                      </a:graphic>
                    </wp:anchor>
                  </w:drawing>
                </mc:Choice>
                <mc:Fallback>
                  <w:pict>
                    <v:shape id="文本框 10" o:spid="_x0000_s1026" o:spt="202" type="#_x0000_t202" style="position:absolute;left:0pt;margin-left:390.55pt;margin-top:21.55pt;height:22.7pt;width:54.9pt;z-index:251662336;mso-width-relative:page;mso-height-relative:page;" fillcolor="#FFFFFF" filled="t" stroked="t" coordsize="21600,21600" o:gfxdata="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qBkA2wAAAAkBAAAPAAAAAAAAAAEAIAAAACIAAABkcnMvZG93bnJldi54bWxQSwEC&#10;FAAUAAAACACHTuJAxWgHmvEBAADqAwAADgAAAAAAAAABACAAAAAqAQAAZHJzL2Uyb0RvYy54bWxQ&#10;SwUGAAAAAAYABgBZAQAAjQUAAAAA&#10;">
                      <v:fill on="t" focussize="0,0"/>
                      <v:stroke weight="1pt" color="#000000" joinstyle="miter"/>
                      <v:imagedata o:title=""/>
                      <o:lock v:ext="edit" aspectratio="f"/>
                      <v:textbox>
                        <w:txbxContent>
                          <w:p>
                            <w:pPr>
                              <w:jc w:val="center"/>
                            </w:pPr>
                            <w:r>
                              <w:rPr>
                                <w:rFonts w:hint="eastAsia"/>
                              </w:rPr>
                              <w:t>成品</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1702435</wp:posOffset>
                      </wp:positionH>
                      <wp:positionV relativeFrom="paragraph">
                        <wp:posOffset>60325</wp:posOffset>
                      </wp:positionV>
                      <wp:extent cx="635" cy="190500"/>
                      <wp:effectExtent l="48895" t="0" r="64770" b="0"/>
                      <wp:wrapNone/>
                      <wp:docPr id="29" name="直线 20"/>
                      <wp:cNvGraphicFramePr/>
                      <a:graphic xmlns:a="http://schemas.openxmlformats.org/drawingml/2006/main">
                        <a:graphicData uri="http://schemas.microsoft.com/office/word/2010/wordprocessingShape">
                          <wps:wsp>
                            <wps:cNvCnPr/>
                            <wps:spPr>
                              <a:xfrm flipV="1">
                                <a:off x="0" y="0"/>
                                <a:ext cx="635" cy="19050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20" o:spid="_x0000_s1026" o:spt="20" style="position:absolute;left:0pt;flip:y;margin-left:134.05pt;margin-top:4.75pt;height:15pt;width:0.05pt;z-index:251665408;mso-width-relative:page;mso-height-relative:page;" filled="f" stroked="t" coordsize="21600,21600" o:gfxdata="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353H9QAAAAIAQAADwAAAAAAAAAB&#10;ACAAAAAiAAAAZHJzL2Rvd25yZXYueG1sUEsBAhQAFAAAAAgAh07iQEXh/lbbAQAAmgMAAA4AAAAA&#10;AAAAAQAgAAAAIwEAAGRycy9lMm9Eb2MueG1sUEsFBgAAAAAGAAYAWQEAAHAFAAAAAA==&#10;">
                      <v:fill on="f" focussize="0,0"/>
                      <v:stroke color="#000000" joinstyle="round" dashstyle="dash" endarrow="open"/>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3483610</wp:posOffset>
                      </wp:positionH>
                      <wp:positionV relativeFrom="paragraph">
                        <wp:posOffset>264160</wp:posOffset>
                      </wp:positionV>
                      <wp:extent cx="1125220" cy="288290"/>
                      <wp:effectExtent l="6350" t="6350" r="11430" b="10160"/>
                      <wp:wrapNone/>
                      <wp:docPr id="24" name="文本框 8"/>
                      <wp:cNvGraphicFramePr/>
                      <a:graphic xmlns:a="http://schemas.openxmlformats.org/drawingml/2006/main">
                        <a:graphicData uri="http://schemas.microsoft.com/office/word/2010/wordprocessingShape">
                          <wps:wsp>
                            <wps:cNvSpPr txBox="1"/>
                            <wps:spPr>
                              <a:xfrm>
                                <a:off x="0" y="0"/>
                                <a:ext cx="1125220" cy="2882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挤出（吹瓶）</w:t>
                                  </w:r>
                                </w:p>
                              </w:txbxContent>
                            </wps:txbx>
                            <wps:bodyPr vert="horz" anchor="t" upright="1"/>
                          </wps:wsp>
                        </a:graphicData>
                      </a:graphic>
                    </wp:anchor>
                  </w:drawing>
                </mc:Choice>
                <mc:Fallback>
                  <w:pict>
                    <v:shape id="文本框 8" o:spid="_x0000_s1026" o:spt="202" type="#_x0000_t202" style="position:absolute;left:0pt;margin-left:274.3pt;margin-top:20.8pt;height:22.7pt;width:88.6pt;z-index:251660288;mso-width-relative:page;mso-height-relative:page;" fillcolor="#FFFFFF" filled="t" stroked="t" coordsize="21600,21600" o:gfxdata="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K+D82wAAAAkBAAAPAAAAAAAAAAEAIAAAACIAAABkcnMv&#10;ZG93bnJldi54bWxQSwECFAAUAAAACACHTuJA6DvJFAACAAABBAAADgAAAAAAAAABACAAAAAqAQAA&#10;ZHJzL2Uyb0RvYy54bWxQSwUGAAAAAAYABgBZAQAAnAUAAAAA&#10;">
                      <v:fill on="t" focussize="0,0"/>
                      <v:stroke weight="1pt" color="#000000" joinstyle="miter"/>
                      <v:imagedata o:title=""/>
                      <o:lock v:ext="edit" aspectratio="f"/>
                      <v:textbox>
                        <w:txbxContent>
                          <w:p>
                            <w:pPr>
                              <w:jc w:val="center"/>
                              <w:rPr>
                                <w:rFonts w:hint="eastAsia" w:eastAsia="宋体"/>
                                <w:lang w:val="en-US" w:eastAsia="zh-CN"/>
                              </w:rPr>
                            </w:pPr>
                            <w:r>
                              <w:rPr>
                                <w:rFonts w:hint="eastAsia"/>
                                <w:lang w:val="en-US" w:eastAsia="zh-CN"/>
                              </w:rPr>
                              <w:t>挤出（吹瓶）</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2445385</wp:posOffset>
                      </wp:positionH>
                      <wp:positionV relativeFrom="paragraph">
                        <wp:posOffset>254635</wp:posOffset>
                      </wp:positionV>
                      <wp:extent cx="697230" cy="288290"/>
                      <wp:effectExtent l="6350" t="6350" r="20320" b="10160"/>
                      <wp:wrapNone/>
                      <wp:docPr id="22" name="文本框 7"/>
                      <wp:cNvGraphicFramePr/>
                      <a:graphic xmlns:a="http://schemas.openxmlformats.org/drawingml/2006/main">
                        <a:graphicData uri="http://schemas.microsoft.com/office/word/2010/wordprocessingShape">
                          <wps:wsp>
                            <wps:cNvSpPr txBox="1"/>
                            <wps:spPr>
                              <a:xfrm>
                                <a:off x="0" y="0"/>
                                <a:ext cx="697230" cy="2882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注塑</w:t>
                                  </w:r>
                                </w:p>
                              </w:txbxContent>
                            </wps:txbx>
                            <wps:bodyPr upright="1"/>
                          </wps:wsp>
                        </a:graphicData>
                      </a:graphic>
                    </wp:anchor>
                  </w:drawing>
                </mc:Choice>
                <mc:Fallback>
                  <w:pict>
                    <v:shape id="文本框 7" o:spid="_x0000_s1026" o:spt="202" type="#_x0000_t202" style="position:absolute;left:0pt;margin-left:192.55pt;margin-top:20.05pt;height:22.7pt;width:54.9pt;z-index:251658240;mso-width-relative:page;mso-height-relative:page;" fillcolor="#FFFFFF" filled="t" stroked="t" coordsize="21600,21600" o:gfxdata="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HdVvtsAAAAJAQAADwAAAAAAAAABACAAAAAiAAAAZHJzL2Rvd25yZXYueG1sUEsB&#10;AhQAFAAAAAgAh07iQBd+ESLyAQAA6QMAAA4AAAAAAAAAAQAgAAAAKgEAAGRycy9lMm9Eb2MueG1s&#10;UEsFBgAAAAAGAAYAWQEAAI4FAAAAAA==&#10;">
                      <v:fill on="t" focussize="0,0"/>
                      <v:stroke weight="1pt" color="#000000" joinstyle="miter"/>
                      <v:imagedata o:title=""/>
                      <o:lock v:ext="edit" aspectratio="f"/>
                      <v:textbox>
                        <w:txbxContent>
                          <w:p>
                            <w:pPr>
                              <w:jc w:val="center"/>
                              <w:rPr>
                                <w:rFonts w:hint="eastAsia" w:eastAsia="宋体"/>
                                <w:lang w:val="en-US" w:eastAsia="zh-CN"/>
                              </w:rPr>
                            </w:pPr>
                            <w:r>
                              <w:rPr>
                                <w:rFonts w:hint="eastAsia"/>
                                <w:lang w:val="en-US" w:eastAsia="zh-CN"/>
                              </w:rPr>
                              <w:t>注塑</w:t>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1292860</wp:posOffset>
                      </wp:positionH>
                      <wp:positionV relativeFrom="paragraph">
                        <wp:posOffset>254635</wp:posOffset>
                      </wp:positionV>
                      <wp:extent cx="810895" cy="288290"/>
                      <wp:effectExtent l="6350" t="6350" r="20955" b="10160"/>
                      <wp:wrapNone/>
                      <wp:docPr id="20" name="文本框 5"/>
                      <wp:cNvGraphicFramePr/>
                      <a:graphic xmlns:a="http://schemas.openxmlformats.org/drawingml/2006/main">
                        <a:graphicData uri="http://schemas.microsoft.com/office/word/2010/wordprocessingShape">
                          <wps:wsp>
                            <wps:cNvSpPr txBox="1"/>
                            <wps:spPr>
                              <a:xfrm>
                                <a:off x="0" y="0"/>
                                <a:ext cx="810895" cy="2882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搅拌</w:t>
                                  </w:r>
                                </w:p>
                              </w:txbxContent>
                            </wps:txbx>
                            <wps:bodyPr upright="1"/>
                          </wps:wsp>
                        </a:graphicData>
                      </a:graphic>
                    </wp:anchor>
                  </w:drawing>
                </mc:Choice>
                <mc:Fallback>
                  <w:pict>
                    <v:shape id="文本框 5" o:spid="_x0000_s1026" o:spt="202" type="#_x0000_t202" style="position:absolute;left:0pt;margin-left:101.8pt;margin-top:20.05pt;height:22.7pt;width:63.85pt;z-index:251656192;mso-width-relative:page;mso-height-relative:page;" fillcolor="#FFFFFF" filled="t" stroked="t" coordsize="21600,21600" o:gfxdata="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M/F89sAAAAJAQAADwAAAAAAAAABACAAAAAiAAAAZHJzL2Rvd25yZXYueG1sUEsB&#10;AhQAFAAAAAgAh07iQBweyD3yAQAA6QMAAA4AAAAAAAAAAQAgAAAAKgEAAGRycy9lMm9Eb2MueG1s&#10;UEsFBgAAAAAGAAYAWQEAAI4FAAAAAA==&#10;">
                      <v:fill on="t" focussize="0,0"/>
                      <v:stroke weight="1pt" color="#000000" joinstyle="miter"/>
                      <v:imagedata o:title=""/>
                      <o:lock v:ext="edit" aspectratio="f"/>
                      <v:textbox>
                        <w:txbxContent>
                          <w:p>
                            <w:pPr>
                              <w:jc w:val="center"/>
                              <w:rPr>
                                <w:rFonts w:hint="eastAsia" w:eastAsia="宋体"/>
                                <w:lang w:val="en-US" w:eastAsia="zh-CN"/>
                              </w:rPr>
                            </w:pPr>
                            <w:r>
                              <w:rPr>
                                <w:rFonts w:hint="eastAsia"/>
                                <w:lang w:val="en-US" w:eastAsia="zh-CN"/>
                              </w:rPr>
                              <w:t>搅拌</w:t>
                            </w:r>
                          </w:p>
                        </w:txbxContent>
                      </v:textbox>
                    </v:shape>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264160</wp:posOffset>
                      </wp:positionH>
                      <wp:positionV relativeFrom="paragraph">
                        <wp:posOffset>254635</wp:posOffset>
                      </wp:positionV>
                      <wp:extent cx="697230" cy="288290"/>
                      <wp:effectExtent l="6350" t="6350" r="20320" b="10160"/>
                      <wp:wrapNone/>
                      <wp:docPr id="4" name="文本框 3"/>
                      <wp:cNvGraphicFramePr/>
                      <a:graphic xmlns:a="http://schemas.openxmlformats.org/drawingml/2006/main">
                        <a:graphicData uri="http://schemas.microsoft.com/office/word/2010/wordprocessingShape">
                          <wps:wsp>
                            <wps:cNvSpPr txBox="1"/>
                            <wps:spPr>
                              <a:xfrm>
                                <a:off x="0" y="0"/>
                                <a:ext cx="697230" cy="2882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原材料</w:t>
                                  </w:r>
                                </w:p>
                              </w:txbxContent>
                            </wps:txbx>
                            <wps:bodyPr upright="1"/>
                          </wps:wsp>
                        </a:graphicData>
                      </a:graphic>
                    </wp:anchor>
                  </w:drawing>
                </mc:Choice>
                <mc:Fallback>
                  <w:pict>
                    <v:shape id="文本框 3" o:spid="_x0000_s1026" o:spt="202" type="#_x0000_t202" style="position:absolute;left:0pt;margin-left:20.8pt;margin-top:20.05pt;height:22.7pt;width:54.9pt;z-index:251649024;mso-width-relative:page;mso-height-relative:page;" fillcolor="#FFFFFF" filled="t" stroked="t" coordsize="21600,21600" o:gfxdata="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4LkDjaAAAACAEAAA8AAAAAAAAAAQAgAAAAIgAAAGRycy9kb3ducmV2LnhtbFBLAQIU&#10;ABQAAAAIAIdO4kC4wXFr8QEAAOgDAAAOAAAAAAAAAAEAIAAAACkBAABkcnMvZTJvRG9jLnhtbFBL&#10;BQYAAAAABgAGAFkBAACMBQAAAAA=&#10;">
                      <v:fill on="t" focussize="0,0"/>
                      <v:stroke weight="1pt" color="#000000" joinstyle="miter"/>
                      <v:imagedata o:title=""/>
                      <o:lock v:ext="edit" aspectratio="f"/>
                      <v:textbox>
                        <w:txbxContent>
                          <w:p>
                            <w:pPr>
                              <w:jc w:val="center"/>
                            </w:pPr>
                            <w:r>
                              <w:rPr>
                                <w:rFonts w:hint="eastAsia"/>
                              </w:rPr>
                              <w:t>原材料</w:t>
                            </w:r>
                          </w:p>
                        </w:txbxContent>
                      </v:textbox>
                    </v:shape>
                  </w:pict>
                </mc:Fallback>
              </mc:AlternateContent>
            </w:r>
          </w:p>
          <w:p>
            <w:pPr>
              <w:pStyle w:val="9"/>
            </w:pPr>
            <w:r>
              <mc:AlternateContent>
                <mc:Choice Requires="wps">
                  <w:drawing>
                    <wp:anchor distT="0" distB="0" distL="114300" distR="114300" simplePos="0" relativeHeight="251661312" behindDoc="0" locked="0" layoutInCell="1" allowOverlap="1">
                      <wp:simplePos x="0" y="0"/>
                      <wp:positionH relativeFrom="column">
                        <wp:posOffset>4645660</wp:posOffset>
                      </wp:positionH>
                      <wp:positionV relativeFrom="paragraph">
                        <wp:posOffset>29845</wp:posOffset>
                      </wp:positionV>
                      <wp:extent cx="323850" cy="635"/>
                      <wp:effectExtent l="0" t="50165" r="0" b="63500"/>
                      <wp:wrapNone/>
                      <wp:docPr id="25" name="直线 11"/>
                      <wp:cNvGraphicFramePr/>
                      <a:graphic xmlns:a="http://schemas.openxmlformats.org/drawingml/2006/main">
                        <a:graphicData uri="http://schemas.microsoft.com/office/word/2010/wordprocessingShape">
                          <wps:wsp>
                            <wps:cNvCnPr/>
                            <wps:spPr>
                              <a:xfrm>
                                <a:off x="0" y="0"/>
                                <a:ext cx="32385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1" o:spid="_x0000_s1026" o:spt="20" style="position:absolute;left:0pt;margin-left:365.8pt;margin-top:2.35pt;height:0.05pt;width:25.5pt;z-index:251661312;mso-width-relative:page;mso-height-relative:page;" filled="f" stroked="t" coordsize="21600,21600" o:gfxdata="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nKDRDUAAAABwEAAA8AAAAAAAAAAQAgAAAAIgAA&#10;AGRycy9kb3ducmV2LnhtbFBLAQIUABQAAAAIAIdO4kCYY3kw0wEAAJIDAAAOAAAAAAAAAAEAIAAA&#10;ACMBAABkcnMvZTJvRG9jLnhtbFBLBQYAAAAABgAGAFkBAABoBQAAAAA=&#10;">
                      <v:fill on="f" focussize="0,0"/>
                      <v:stroke weight="1pt" color="#000000" joinstyle="round" endarrow="open"/>
                      <v:imagedata o:title=""/>
                      <o:lock v:ext="edit" aspectratio="f"/>
                    </v:lin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2292985</wp:posOffset>
                      </wp:positionH>
                      <wp:positionV relativeFrom="paragraph">
                        <wp:posOffset>178435</wp:posOffset>
                      </wp:positionV>
                      <wp:extent cx="809625" cy="295275"/>
                      <wp:effectExtent l="0" t="0" r="0" b="0"/>
                      <wp:wrapNone/>
                      <wp:docPr id="19" name="文本框 18"/>
                      <wp:cNvGraphicFramePr/>
                      <a:graphic xmlns:a="http://schemas.openxmlformats.org/drawingml/2006/main">
                        <a:graphicData uri="http://schemas.microsoft.com/office/word/2010/wordprocessingShape">
                          <wps:wsp>
                            <wps:cNvSpPr txBox="1"/>
                            <wps:spPr>
                              <a:xfrm>
                                <a:off x="0" y="0"/>
                                <a:ext cx="809625" cy="295275"/>
                              </a:xfrm>
                              <a:prstGeom prst="rect">
                                <a:avLst/>
                              </a:prstGeom>
                              <a:noFill/>
                              <a:ln w="15875">
                                <a:noFill/>
                              </a:ln>
                            </wps:spPr>
                            <wps:txbx>
                              <w:txbxContent>
                                <w:p>
                                  <w:r>
                                    <w:rPr>
                                      <w:rFonts w:hint="eastAsia"/>
                                    </w:rPr>
                                    <w:t>废气、噪声</w:t>
                                  </w:r>
                                </w:p>
                              </w:txbxContent>
                            </wps:txbx>
                            <wps:bodyPr upright="1"/>
                          </wps:wsp>
                        </a:graphicData>
                      </a:graphic>
                    </wp:anchor>
                  </w:drawing>
                </mc:Choice>
                <mc:Fallback>
                  <w:pict>
                    <v:shape id="文本框 18" o:spid="_x0000_s1026" o:spt="202" type="#_x0000_t202" style="position:absolute;left:0pt;margin-left:180.55pt;margin-top:14.05pt;height:23.25pt;width:63.75pt;z-index:251655168;mso-width-relative:page;mso-height-relative:page;" filled="f" stroked="f" coordsize="21600,21600" o:gfxdata="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HVrJf3AAAAAkBAAAPAAAAAAAAAAEA&#10;IAAAACIAAABkcnMvZG93bnJldi54bWxQSwECFAAUAAAACACHTuJAwqAm6JkBAAALAwAADgAAAAAA&#10;AAABACAAAAArAQAAZHJzL2Uyb0RvYy54bWxQSwUGAAAAAAYABgBZAQAANgUAAAAA&#10;">
                      <v:fill on="f" focussize="0,0"/>
                      <v:stroke on="f" weight="1.25pt"/>
                      <v:imagedata o:title=""/>
                      <o:lock v:ext="edit" aspectratio="f"/>
                      <v:textbox>
                        <w:txbxContent>
                          <w:p>
                            <w:r>
                              <w:rPr>
                                <w:rFonts w:hint="eastAsia"/>
                              </w:rPr>
                              <w:t>废气、噪声</w:t>
                            </w:r>
                          </w:p>
                        </w:txbxContent>
                      </v:textbox>
                    </v:shape>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1698625</wp:posOffset>
                      </wp:positionH>
                      <wp:positionV relativeFrom="paragraph">
                        <wp:posOffset>146685</wp:posOffset>
                      </wp:positionV>
                      <wp:extent cx="651510" cy="627380"/>
                      <wp:effectExtent l="50800" t="0" r="2540" b="20320"/>
                      <wp:wrapNone/>
                      <wp:docPr id="14" name="自选图形 16"/>
                      <wp:cNvGraphicFramePr/>
                      <a:graphic xmlns:a="http://schemas.openxmlformats.org/drawingml/2006/main">
                        <a:graphicData uri="http://schemas.microsoft.com/office/word/2010/wordprocessingShape">
                          <wps:wsp>
                            <wps:cNvCnPr>
                              <a:stCxn id="28" idx="1"/>
                              <a:endCxn id="20" idx="2"/>
                            </wps:cNvCnPr>
                            <wps:spPr>
                              <a:xfrm rot="10800000">
                                <a:off x="0" y="0"/>
                                <a:ext cx="651510" cy="627380"/>
                              </a:xfrm>
                              <a:prstGeom prst="bentConnector2">
                                <a:avLst/>
                              </a:prstGeom>
                              <a:ln w="12700" cap="flat" cmpd="sng">
                                <a:solidFill>
                                  <a:srgbClr val="000000"/>
                                </a:solidFill>
                                <a:prstDash val="solid"/>
                                <a:miter/>
                                <a:headEnd type="none" w="med" len="med"/>
                                <a:tailEnd type="arrow" w="med" len="med"/>
                              </a:ln>
                            </wps:spPr>
                            <wps:bodyPr/>
                          </wps:wsp>
                        </a:graphicData>
                      </a:graphic>
                    </wp:anchor>
                  </w:drawing>
                </mc:Choice>
                <mc:Fallback>
                  <w:pict>
                    <v:shape id="自选图形 16" o:spid="_x0000_s1026" o:spt="33" type="#_x0000_t33" style="position:absolute;left:0pt;margin-left:133.75pt;margin-top:11.55pt;height:49.4pt;width:51.3pt;rotation:11796480f;z-index:251650048;mso-width-relative:page;mso-height-relative:page;" filled="f" stroked="t" coordsize="21600,21600" o:gfxdata="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aszl1wAAAAoBAAAPAAAAAAAAAAEAIAAAACIA&#10;AABkcnMvZG93bnJldi54bWxQSwECFAAUAAAACACHTuJAzrcWgwoCAAD0AwAADgAAAAAAAAABACAA&#10;AAAmAQAAZHJzL2Uyb0RvYy54bWxQSwUGAAAAAAYABgBZAQAAogU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3836035</wp:posOffset>
                      </wp:positionH>
                      <wp:positionV relativeFrom="paragraph">
                        <wp:posOffset>168910</wp:posOffset>
                      </wp:positionV>
                      <wp:extent cx="635" cy="466725"/>
                      <wp:effectExtent l="50165" t="0" r="63500" b="9525"/>
                      <wp:wrapNone/>
                      <wp:docPr id="15" name="直线 12"/>
                      <wp:cNvGraphicFramePr/>
                      <a:graphic xmlns:a="http://schemas.openxmlformats.org/drawingml/2006/main">
                        <a:graphicData uri="http://schemas.microsoft.com/office/word/2010/wordprocessingShape">
                          <wps:wsp>
                            <wps:cNvCnPr/>
                            <wps:spPr>
                              <a:xfrm>
                                <a:off x="0" y="0"/>
                                <a:ext cx="635" cy="46672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2" o:spid="_x0000_s1026" o:spt="20" style="position:absolute;left:0pt;margin-left:302.05pt;margin-top:13.3pt;height:36.75pt;width:0.05pt;z-index:251651072;mso-width-relative:page;mso-height-relative:page;" filled="f" stroked="t" coordsize="21600,21600" o:gfxdata="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JxvNDWAAAACgEAAA8AAAAAAAAAAQAgAAAA&#10;IgAAAGRycy9kb3ducmV2LnhtbFBLAQIUABQAAAAIAIdO4kBKdJhW1AEAAJIDAAAOAAAAAAAAAAEA&#10;IAAAACUBAABkcnMvZTJvRG9jLnhtbFBLBQYAAAAABgAGAFkBAABrBQAAAAA=&#10;">
                      <v:fill on="f" focussize="0,0"/>
                      <v:stroke weight="1pt" color="#000000" joinstyle="round" endarrow="open"/>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3150235</wp:posOffset>
                      </wp:positionH>
                      <wp:positionV relativeFrom="paragraph">
                        <wp:posOffset>10795</wp:posOffset>
                      </wp:positionV>
                      <wp:extent cx="323850" cy="635"/>
                      <wp:effectExtent l="0" t="50165" r="0" b="63500"/>
                      <wp:wrapNone/>
                      <wp:docPr id="23" name="直线 9"/>
                      <wp:cNvGraphicFramePr/>
                      <a:graphic xmlns:a="http://schemas.openxmlformats.org/drawingml/2006/main">
                        <a:graphicData uri="http://schemas.microsoft.com/office/word/2010/wordprocessingShape">
                          <wps:wsp>
                            <wps:cNvCnPr/>
                            <wps:spPr>
                              <a:xfrm>
                                <a:off x="0" y="0"/>
                                <a:ext cx="32385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9" o:spid="_x0000_s1026" o:spt="20" style="position:absolute;left:0pt;margin-left:248.05pt;margin-top:0.85pt;height:0.05pt;width:25.5pt;z-index:251659264;mso-width-relative:page;mso-height-relative:page;" filled="f" stroked="t" coordsize="21600,21600" o:gfxdata="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qwxstMAAAAHAQAADwAAAAAAAAABACAAAAAiAAAA&#10;ZHJzL2Rvd25yZXYueG1sUEsBAhQAFAAAAAgAh07iQJ30uAnTAQAAkQMAAA4AAAAAAAAAAQAgAAAA&#10;IgEAAGRycy9lMm9Eb2MueG1sUEsFBgAAAAAGAAYAWQEAAGcFAAAAAA==&#10;">
                      <v:fill on="f" focussize="0,0"/>
                      <v:stroke weight="1pt" color="#000000" joinstyle="round" endarrow="open"/>
                      <v:imagedata o:title=""/>
                      <o:lock v:ext="edit" aspectratio="f"/>
                    </v:lin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2112010</wp:posOffset>
                      </wp:positionH>
                      <wp:positionV relativeFrom="paragraph">
                        <wp:posOffset>1270</wp:posOffset>
                      </wp:positionV>
                      <wp:extent cx="323850" cy="635"/>
                      <wp:effectExtent l="0" t="50165" r="0" b="63500"/>
                      <wp:wrapNone/>
                      <wp:docPr id="21" name="直线 6"/>
                      <wp:cNvGraphicFramePr/>
                      <a:graphic xmlns:a="http://schemas.openxmlformats.org/drawingml/2006/main">
                        <a:graphicData uri="http://schemas.microsoft.com/office/word/2010/wordprocessingShape">
                          <wps:wsp>
                            <wps:cNvCnPr/>
                            <wps:spPr>
                              <a:xfrm>
                                <a:off x="0" y="0"/>
                                <a:ext cx="32385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6" o:spid="_x0000_s1026" o:spt="20" style="position:absolute;left:0pt;margin-left:166.3pt;margin-top:0.1pt;height:0.05pt;width:25.5pt;z-index:251657216;mso-width-relative:page;mso-height-relative:page;" filled="f" stroked="t" coordsize="21600,21600" o:gfxdata="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5ZNF9MAAAAFAQAADwAAAAAAAAABACAAAAAiAAAA&#10;ZHJzL2Rvd25yZXYueG1sUEsBAhQAFAAAAAgAh07iQEsjG83TAQAAkQMAAA4AAAAAAAAAAQAgAAAA&#10;IgEAAGRycy9lMm9Eb2MueG1sUEsFBgAAAAAGAAYAWQEAAGcFAAAAAA==&#10;">
                      <v:fill on="f" focussize="0,0"/>
                      <v:stroke weight="1pt" color="#000000" joinstyle="round" endarrow="open"/>
                      <v:imagedata o:title=""/>
                      <o:lock v:ext="edit" aspectratio="f"/>
                    </v:lin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959485</wp:posOffset>
                      </wp:positionH>
                      <wp:positionV relativeFrom="paragraph">
                        <wp:posOffset>10795</wp:posOffset>
                      </wp:positionV>
                      <wp:extent cx="323850" cy="635"/>
                      <wp:effectExtent l="0" t="50165" r="0" b="63500"/>
                      <wp:wrapNone/>
                      <wp:docPr id="17" name="直线 4"/>
                      <wp:cNvGraphicFramePr/>
                      <a:graphic xmlns:a="http://schemas.openxmlformats.org/drawingml/2006/main">
                        <a:graphicData uri="http://schemas.microsoft.com/office/word/2010/wordprocessingShape">
                          <wps:wsp>
                            <wps:cNvCnPr/>
                            <wps:spPr>
                              <a:xfrm>
                                <a:off x="0" y="0"/>
                                <a:ext cx="32385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4" o:spid="_x0000_s1026" o:spt="20" style="position:absolute;left:0pt;margin-left:75.55pt;margin-top:0.85pt;height:0.05pt;width:25.5pt;z-index:251653120;mso-width-relative:page;mso-height-relative:page;" filled="f" stroked="t" coordsize="21600,21600" o:gfxdata="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UCKJdIAAAAHAQAADwAAAAAAAAABACAAAAAiAAAAZHJz&#10;L2Rvd25yZXYueG1sUEsBAhQAFAAAAAgAh07iQFpF/n/RAQAAkQMAAA4AAAAAAAAAAQAgAAAAIQEA&#10;AGRycy9lMm9Eb2MueG1sUEsFBgAAAAAGAAYAWQEAAGQFAAAAAA==&#10;">
                      <v:fill on="f" focussize="0,0"/>
                      <v:stroke weight="1pt" color="#000000" joinstyle="round" endarrow="open"/>
                      <v:imagedata o:title=""/>
                      <o:lock v:ext="edit" aspectratio="f"/>
                    </v:line>
                  </w:pict>
                </mc:Fallback>
              </mc:AlternateContent>
            </w:r>
          </w:p>
          <w:p>
            <w:pPr>
              <w:pStyle w:val="9"/>
            </w:pPr>
            <w:r>
              <mc:AlternateContent>
                <mc:Choice Requires="wps">
                  <w:drawing>
                    <wp:anchor distT="0" distB="0" distL="114300" distR="114300" simplePos="0" relativeHeight="251654144" behindDoc="0" locked="0" layoutInCell="1" allowOverlap="1">
                      <wp:simplePos x="0" y="0"/>
                      <wp:positionH relativeFrom="column">
                        <wp:posOffset>2702560</wp:posOffset>
                      </wp:positionH>
                      <wp:positionV relativeFrom="paragraph">
                        <wp:posOffset>29845</wp:posOffset>
                      </wp:positionV>
                      <wp:extent cx="635" cy="190500"/>
                      <wp:effectExtent l="48895" t="0" r="64770" b="0"/>
                      <wp:wrapNone/>
                      <wp:docPr id="18" name="直线 17"/>
                      <wp:cNvGraphicFramePr/>
                      <a:graphic xmlns:a="http://schemas.openxmlformats.org/drawingml/2006/main">
                        <a:graphicData uri="http://schemas.microsoft.com/office/word/2010/wordprocessingShape">
                          <wps:wsp>
                            <wps:cNvCnPr/>
                            <wps:spPr>
                              <a:xfrm flipV="1">
                                <a:off x="0" y="0"/>
                                <a:ext cx="635" cy="19050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17" o:spid="_x0000_s1026" o:spt="20" style="position:absolute;left:0pt;flip:y;margin-left:212.8pt;margin-top:2.35pt;height:15pt;width:0.05pt;z-index:251654144;mso-width-relative:page;mso-height-relative:page;" filled="f" stroked="t" coordsize="21600,21600" o:gfxdata="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pqpb70gAAAAgBAAAPAAAAAAAAAAEA&#10;IAAAACIAAABkcnMvZG93bnJldi54bWxQSwECFAAUAAAACACHTuJAemfL39wBAACaAwAADgAAAAAA&#10;AAABACAAAAAhAQAAZHJzL2Uyb0RvYy54bWxQSwUGAAAAAAYABgBZAQAAbwUAAAAA&#10;">
                      <v:fill on="f" focussize="0,0"/>
                      <v:stroke color="#000000" joinstyle="round" dashstyle="dash" endarrow="open"/>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2350135</wp:posOffset>
                      </wp:positionH>
                      <wp:positionV relativeFrom="paragraph">
                        <wp:posOffset>233680</wp:posOffset>
                      </wp:positionV>
                      <wp:extent cx="697230" cy="288290"/>
                      <wp:effectExtent l="6350" t="6350" r="20320" b="10160"/>
                      <wp:wrapNone/>
                      <wp:docPr id="28" name="文本框 15"/>
                      <wp:cNvGraphicFramePr/>
                      <a:graphic xmlns:a="http://schemas.openxmlformats.org/drawingml/2006/main">
                        <a:graphicData uri="http://schemas.microsoft.com/office/word/2010/wordprocessingShape">
                          <wps:wsp>
                            <wps:cNvSpPr txBox="1"/>
                            <wps:spPr>
                              <a:xfrm>
                                <a:off x="0" y="0"/>
                                <a:ext cx="697230" cy="2882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破碎</w:t>
                                  </w:r>
                                </w:p>
                              </w:txbxContent>
                            </wps:txbx>
                            <wps:bodyPr upright="1"/>
                          </wps:wsp>
                        </a:graphicData>
                      </a:graphic>
                    </wp:anchor>
                  </w:drawing>
                </mc:Choice>
                <mc:Fallback>
                  <w:pict>
                    <v:shape id="文本框 15" o:spid="_x0000_s1026" o:spt="202" type="#_x0000_t202" style="position:absolute;left:0pt;margin-left:185.05pt;margin-top:18.4pt;height:22.7pt;width:54.9pt;z-index:251664384;mso-width-relative:page;mso-height-relative:page;" fillcolor="#FFFFFF" filled="t" stroked="t" coordsize="21600,21600" o:gfxdata="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zf68vbAAAACQEAAA8AAAAAAAAAAQAgAAAAIgAAAGRycy9kb3ducmV2LnhtbFBL&#10;AQIUABQAAAAIAIdO4kBd76Gt8wEAAOoDAAAOAAAAAAAAAAEAIAAAACoBAABkcnMvZTJvRG9jLnht&#10;bFBLBQYAAAAABgAGAFkBAACPBQAAAAA=&#10;">
                      <v:fill on="t" focussize="0,0"/>
                      <v:stroke weight="1pt" color="#000000" joinstyle="miter"/>
                      <v:imagedata o:title=""/>
                      <o:lock v:ext="edit" aspectratio="f"/>
                      <v:textbox>
                        <w:txbxContent>
                          <w:p>
                            <w:pPr>
                              <w:jc w:val="center"/>
                            </w:pPr>
                            <w:r>
                              <w:rPr>
                                <w:rFonts w:hint="eastAsia"/>
                              </w:rPr>
                              <w:t>破碎</w:t>
                            </w:r>
                          </w:p>
                        </w:txbxContent>
                      </v:textbox>
                    </v:shap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3055620</wp:posOffset>
                      </wp:positionH>
                      <wp:positionV relativeFrom="paragraph">
                        <wp:posOffset>372745</wp:posOffset>
                      </wp:positionV>
                      <wp:extent cx="351790" cy="635"/>
                      <wp:effectExtent l="0" t="50165" r="10160" b="63500"/>
                      <wp:wrapNone/>
                      <wp:docPr id="16" name="直线 14"/>
                      <wp:cNvGraphicFramePr/>
                      <a:graphic xmlns:a="http://schemas.openxmlformats.org/drawingml/2006/main">
                        <a:graphicData uri="http://schemas.microsoft.com/office/word/2010/wordprocessingShape">
                          <wps:wsp>
                            <wps:cNvCnPr/>
                            <wps:spPr>
                              <a:xfrm flipH="1">
                                <a:off x="0" y="0"/>
                                <a:ext cx="35179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14" o:spid="_x0000_s1026" o:spt="20" style="position:absolute;left:0pt;flip:x;margin-left:240.6pt;margin-top:29.35pt;height:0.05pt;width:27.7pt;z-index:251652096;mso-width-relative:page;mso-height-relative:page;" filled="f" stroked="t" coordsize="21600,21600" o:gfxdata="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KuC2doAAAAJAQAADwAA&#10;AAAAAAABACAAAAAiAAAAZHJzL2Rvd25yZXYueG1sUEsBAhQAFAAAAAgAh07iQPjn3M7bAQAAnAMA&#10;AA4AAAAAAAAAAQAgAAAAKQEAAGRycy9lMm9Eb2MueG1sUEsFBgAAAAAGAAYAWQEAAHYFAAAAAA==&#10;">
                      <v:fill on="f" focussize="0,0"/>
                      <v:stroke weight="1pt" color="#000000" joinstyle="round" endarrow="open"/>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3416935</wp:posOffset>
                      </wp:positionH>
                      <wp:positionV relativeFrom="paragraph">
                        <wp:posOffset>233680</wp:posOffset>
                      </wp:positionV>
                      <wp:extent cx="830580" cy="288290"/>
                      <wp:effectExtent l="6350" t="6350" r="20320" b="10160"/>
                      <wp:wrapNone/>
                      <wp:docPr id="27" name="文本框 13"/>
                      <wp:cNvGraphicFramePr/>
                      <a:graphic xmlns:a="http://schemas.openxmlformats.org/drawingml/2006/main">
                        <a:graphicData uri="http://schemas.microsoft.com/office/word/2010/wordprocessingShape">
                          <wps:wsp>
                            <wps:cNvSpPr txBox="1"/>
                            <wps:spPr>
                              <a:xfrm>
                                <a:off x="0" y="0"/>
                                <a:ext cx="830580" cy="28829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不合格品</w:t>
                                  </w:r>
                                </w:p>
                              </w:txbxContent>
                            </wps:txbx>
                            <wps:bodyPr upright="1"/>
                          </wps:wsp>
                        </a:graphicData>
                      </a:graphic>
                    </wp:anchor>
                  </w:drawing>
                </mc:Choice>
                <mc:Fallback>
                  <w:pict>
                    <v:shape id="文本框 13" o:spid="_x0000_s1026" o:spt="202" type="#_x0000_t202" style="position:absolute;left:0pt;margin-left:269.05pt;margin-top:18.4pt;height:22.7pt;width:65.4pt;z-index:251663360;mso-width-relative:page;mso-height-relative:page;" fillcolor="#FFFFFF" filled="t" stroked="t" coordsize="21600,21600" o:gfxdata="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A5TkXbAAAACQEAAA8AAAAAAAAAAQAgAAAAIgAAAGRycy9kb3ducmV2LnhtbFBL&#10;AQIUABQAAAAIAIdO4kC87Fwy8wEAAOoDAAAOAAAAAAAAAAEAIAAAACoBAABkcnMvZTJvRG9jLnht&#10;bFBLBQYAAAAABgAGAFkBAACPBQAAAAA=&#10;">
                      <v:fill on="t" focussize="0,0"/>
                      <v:stroke weight="1pt" color="#000000" joinstyle="miter"/>
                      <v:imagedata o:title=""/>
                      <o:lock v:ext="edit" aspectratio="f"/>
                      <v:textbox>
                        <w:txbxContent>
                          <w:p>
                            <w:pPr>
                              <w:jc w:val="center"/>
                            </w:pPr>
                            <w:r>
                              <w:rPr>
                                <w:rFonts w:hint="eastAsia"/>
                              </w:rPr>
                              <w:t>不合格品</w:t>
                            </w:r>
                          </w:p>
                        </w:txbxContent>
                      </v:textbox>
                    </v:shape>
                  </w:pict>
                </mc:Fallback>
              </mc:AlternateContent>
            </w:r>
          </w:p>
          <w:p>
            <w:pPr>
              <w:pStyle w:val="10"/>
              <w:ind w:left="0" w:leftChars="0"/>
            </w:pPr>
          </w:p>
          <w:p>
            <w:pPr>
              <w:adjustRightInd w:val="0"/>
              <w:snapToGrid w:val="0"/>
              <w:jc w:val="center"/>
              <w:rPr>
                <w:rFonts w:eastAsia="黑体"/>
                <w:sz w:val="24"/>
              </w:rPr>
            </w:pPr>
            <w:r>
              <w:rPr>
                <w:rFonts w:eastAsia="黑体"/>
                <w:sz w:val="24"/>
              </w:rPr>
              <w:t>图</w:t>
            </w:r>
            <w:r>
              <w:rPr>
                <w:rFonts w:hint="eastAsia" w:eastAsia="黑体"/>
                <w:sz w:val="24"/>
              </w:rPr>
              <w:t>2</w:t>
            </w:r>
            <w:r>
              <w:rPr>
                <w:rFonts w:eastAsia="黑体"/>
                <w:sz w:val="24"/>
              </w:rPr>
              <w:t xml:space="preserve">  项目生产工艺流程图</w:t>
            </w:r>
          </w:p>
          <w:p>
            <w:pPr>
              <w:adjustRightInd w:val="0"/>
              <w:snapToGrid w:val="0"/>
              <w:spacing w:line="360" w:lineRule="auto"/>
              <w:rPr>
                <w:sz w:val="24"/>
              </w:rPr>
            </w:pPr>
          </w:p>
          <w:p>
            <w:pPr>
              <w:adjustRightInd w:val="0"/>
              <w:snapToGrid w:val="0"/>
              <w:spacing w:line="360" w:lineRule="auto"/>
              <w:rPr>
                <w:sz w:val="24"/>
              </w:rPr>
            </w:pPr>
            <w:r>
              <w:rPr>
                <w:rFonts w:hint="eastAsia"/>
                <w:sz w:val="24"/>
              </w:rPr>
              <w:t>2、</w:t>
            </w:r>
            <w:r>
              <w:rPr>
                <w:color w:val="000000" w:themeColor="text1"/>
                <w:sz w:val="24"/>
                <w14:textFill>
                  <w14:solidFill>
                    <w14:schemeClr w14:val="tx1"/>
                  </w14:solidFill>
                </w14:textFill>
              </w:rPr>
              <w:t>生产工艺流程说明</w:t>
            </w:r>
            <w:r>
              <w:rPr>
                <w:sz w:val="24"/>
              </w:rPr>
              <w:t>：</w:t>
            </w:r>
          </w:p>
          <w:p>
            <w:pPr>
              <w:pStyle w:val="39"/>
              <w:adjustRightInd w:val="0"/>
              <w:snapToGrid w:val="0"/>
              <w:ind w:firstLine="480"/>
              <w:jc w:val="both"/>
              <w:rPr>
                <w:rFonts w:ascii="Times New Roman" w:hAnsi="Times New Roman"/>
              </w:rPr>
            </w:pPr>
            <w:r>
              <w:rPr>
                <w:rFonts w:hint="eastAsia" w:ascii="Times New Roman" w:hAnsi="Times New Roman"/>
              </w:rPr>
              <w:t>（1）将原材料（</w:t>
            </w:r>
            <w:r>
              <w:rPr>
                <w:rFonts w:hint="eastAsia" w:ascii="Times New Roman" w:hAnsi="Times New Roman"/>
                <w:lang w:val="en-US" w:eastAsia="zh-CN"/>
              </w:rPr>
              <w:t>PP、PE材料</w:t>
            </w:r>
            <w:r>
              <w:rPr>
                <w:rFonts w:hint="eastAsia" w:ascii="Times New Roman" w:hAnsi="Times New Roman"/>
              </w:rPr>
              <w:t>）</w:t>
            </w:r>
            <w:r>
              <w:rPr>
                <w:rFonts w:hint="eastAsia" w:ascii="Times New Roman" w:hAnsi="Times New Roman"/>
                <w:lang w:eastAsia="zh-CN"/>
              </w:rPr>
              <w:t>按一定比列搅拌后</w:t>
            </w:r>
            <w:r>
              <w:rPr>
                <w:rFonts w:hint="eastAsia" w:ascii="Times New Roman" w:hAnsi="Times New Roman"/>
              </w:rPr>
              <w:t>放入注塑机，调整好温度、注射速度等数据后开始注塑。</w:t>
            </w:r>
          </w:p>
          <w:p>
            <w:pPr>
              <w:pStyle w:val="39"/>
              <w:adjustRightInd w:val="0"/>
              <w:snapToGrid w:val="0"/>
              <w:ind w:firstLine="480"/>
              <w:jc w:val="both"/>
              <w:rPr>
                <w:rFonts w:ascii="Times New Roman" w:hAnsi="Times New Roman"/>
              </w:rPr>
            </w:pPr>
            <w:r>
              <w:rPr>
                <w:rFonts w:hint="eastAsia" w:ascii="Times New Roman" w:hAnsi="Times New Roman"/>
              </w:rPr>
              <w:t>（2）</w:t>
            </w:r>
            <w:r>
              <w:rPr>
                <w:rFonts w:hint="eastAsia" w:ascii="Times New Roman" w:hAnsi="Times New Roman"/>
                <w:lang w:eastAsia="zh-CN"/>
              </w:rPr>
              <w:t>注塑后经挤出机或吹瓶机挤出成型，成型后即为成品</w:t>
            </w:r>
            <w:r>
              <w:rPr>
                <w:rFonts w:hint="eastAsia" w:ascii="Times New Roman" w:hAnsi="Times New Roman"/>
              </w:rPr>
              <w:t>。</w:t>
            </w:r>
          </w:p>
          <w:p>
            <w:pPr>
              <w:pStyle w:val="39"/>
              <w:adjustRightInd w:val="0"/>
              <w:snapToGrid w:val="0"/>
              <w:ind w:firstLine="480"/>
              <w:jc w:val="both"/>
              <w:rPr>
                <w:rFonts w:ascii="Times New Roman" w:hAnsi="Times New Roman"/>
              </w:rPr>
            </w:pPr>
            <w:r>
              <w:rPr>
                <w:rFonts w:hint="eastAsia" w:ascii="Times New Roman" w:hAnsi="Times New Roman"/>
              </w:rPr>
              <w:t>（3）对产品进行检验，不合格品通过破碎机破碎后回用于生产，检验合格后即为成品。</w:t>
            </w:r>
          </w:p>
          <w:p>
            <w:pPr>
              <w:adjustRightInd w:val="0"/>
              <w:snapToGrid w:val="0"/>
              <w:spacing w:line="360" w:lineRule="auto"/>
              <w:rPr>
                <w:bCs/>
                <w:sz w:val="24"/>
              </w:rPr>
            </w:pPr>
            <w:r>
              <w:rPr>
                <w:bCs/>
                <w:sz w:val="24"/>
              </w:rPr>
              <w:t>3、主要污染工序：</w:t>
            </w:r>
          </w:p>
          <w:p>
            <w:pPr>
              <w:adjustRightInd w:val="0"/>
              <w:snapToGrid w:val="0"/>
              <w:spacing w:line="360" w:lineRule="auto"/>
              <w:ind w:firstLine="480" w:firstLineChars="200"/>
              <w:rPr>
                <w:rFonts w:eastAsia="黑体"/>
                <w:sz w:val="24"/>
              </w:rPr>
            </w:pPr>
            <w:r>
              <w:rPr>
                <w:color w:val="000000"/>
                <w:sz w:val="24"/>
              </w:rPr>
              <w:t>项目营运期污染工序详见下表。</w:t>
            </w:r>
          </w:p>
          <w:p>
            <w:pPr>
              <w:pStyle w:val="95"/>
              <w:adjustRightInd w:val="0"/>
              <w:snapToGrid w:val="0"/>
              <w:spacing w:line="240" w:lineRule="auto"/>
              <w:ind w:firstLine="0"/>
              <w:jc w:val="center"/>
              <w:rPr>
                <w:rFonts w:ascii="Times New Roman" w:hAnsi="Times New Roman" w:eastAsia="黑体" w:cs="Times New Roman"/>
                <w:sz w:val="24"/>
              </w:rPr>
            </w:pPr>
            <w:r>
              <w:rPr>
                <w:rFonts w:ascii="Times New Roman" w:hAnsi="Times New Roman" w:eastAsia="黑体" w:cs="Times New Roman"/>
                <w:sz w:val="24"/>
              </w:rPr>
              <w:t>表</w:t>
            </w:r>
            <w:r>
              <w:rPr>
                <w:rFonts w:hint="eastAsia" w:ascii="Times New Roman" w:hAnsi="Times New Roman" w:eastAsia="黑体" w:cs="Times New Roman"/>
                <w:sz w:val="24"/>
              </w:rPr>
              <w:t>1</w:t>
            </w:r>
            <w:r>
              <w:rPr>
                <w:rFonts w:hint="eastAsia" w:ascii="Times New Roman" w:hAnsi="Times New Roman" w:eastAsia="黑体" w:cs="Times New Roman"/>
                <w:sz w:val="24"/>
                <w:lang w:val="en-US" w:eastAsia="zh-CN"/>
              </w:rPr>
              <w:t>9</w:t>
            </w:r>
            <w:r>
              <w:rPr>
                <w:rFonts w:ascii="Times New Roman" w:hAnsi="Times New Roman" w:eastAsia="黑体" w:cs="Times New Roman"/>
                <w:sz w:val="24"/>
              </w:rPr>
              <w:t xml:space="preserve">  项目产污环节一览表</w:t>
            </w:r>
          </w:p>
          <w:tbl>
            <w:tblPr>
              <w:tblStyle w:val="23"/>
              <w:tblW w:w="850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748"/>
              <w:gridCol w:w="1395"/>
              <w:gridCol w:w="1582"/>
              <w:gridCol w:w="286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vAlign w:val="center"/>
                </w:tcPr>
                <w:p>
                  <w:pPr>
                    <w:tabs>
                      <w:tab w:val="center" w:pos="4153"/>
                      <w:tab w:val="right" w:pos="8306"/>
                    </w:tabs>
                    <w:snapToGrid w:val="0"/>
                    <w:jc w:val="center"/>
                    <w:rPr>
                      <w:snapToGrid w:val="0"/>
                      <w:kern w:val="0"/>
                      <w:szCs w:val="21"/>
                    </w:rPr>
                  </w:pPr>
                  <w:r>
                    <w:rPr>
                      <w:snapToGrid w:val="0"/>
                      <w:kern w:val="0"/>
                      <w:szCs w:val="21"/>
                    </w:rPr>
                    <w:t>污染因素</w:t>
                  </w:r>
                </w:p>
              </w:tc>
              <w:tc>
                <w:tcPr>
                  <w:tcW w:w="1748" w:type="dxa"/>
                  <w:vAlign w:val="center"/>
                </w:tcPr>
                <w:p>
                  <w:pPr>
                    <w:tabs>
                      <w:tab w:val="center" w:pos="4153"/>
                      <w:tab w:val="right" w:pos="8306"/>
                    </w:tabs>
                    <w:snapToGrid w:val="0"/>
                    <w:jc w:val="center"/>
                    <w:rPr>
                      <w:snapToGrid w:val="0"/>
                      <w:kern w:val="0"/>
                      <w:szCs w:val="21"/>
                    </w:rPr>
                  </w:pPr>
                  <w:r>
                    <w:rPr>
                      <w:snapToGrid w:val="0"/>
                      <w:kern w:val="0"/>
                      <w:szCs w:val="21"/>
                    </w:rPr>
                    <w:t>产污环节</w:t>
                  </w:r>
                </w:p>
              </w:tc>
              <w:tc>
                <w:tcPr>
                  <w:tcW w:w="1395" w:type="dxa"/>
                  <w:vAlign w:val="center"/>
                </w:tcPr>
                <w:p>
                  <w:pPr>
                    <w:tabs>
                      <w:tab w:val="center" w:pos="4153"/>
                      <w:tab w:val="right" w:pos="8306"/>
                    </w:tabs>
                    <w:snapToGrid w:val="0"/>
                    <w:jc w:val="center"/>
                    <w:rPr>
                      <w:snapToGrid w:val="0"/>
                      <w:kern w:val="0"/>
                      <w:szCs w:val="21"/>
                    </w:rPr>
                  </w:pPr>
                  <w:r>
                    <w:rPr>
                      <w:snapToGrid w:val="0"/>
                      <w:kern w:val="0"/>
                      <w:szCs w:val="21"/>
                    </w:rPr>
                    <w:t>污染物</w:t>
                  </w:r>
                </w:p>
              </w:tc>
              <w:tc>
                <w:tcPr>
                  <w:tcW w:w="4445" w:type="dxa"/>
                  <w:gridSpan w:val="2"/>
                  <w:vAlign w:val="center"/>
                </w:tcPr>
                <w:p>
                  <w:pPr>
                    <w:tabs>
                      <w:tab w:val="center" w:pos="4153"/>
                      <w:tab w:val="right" w:pos="8306"/>
                    </w:tabs>
                    <w:snapToGrid w:val="0"/>
                    <w:jc w:val="center"/>
                    <w:rPr>
                      <w:snapToGrid w:val="0"/>
                      <w:kern w:val="0"/>
                      <w:szCs w:val="21"/>
                    </w:rPr>
                  </w:pPr>
                  <w:r>
                    <w:rPr>
                      <w:snapToGrid w:val="0"/>
                      <w:kern w:val="0"/>
                      <w:szCs w:val="21"/>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vMerge w:val="restart"/>
                  <w:vAlign w:val="center"/>
                </w:tcPr>
                <w:p>
                  <w:pPr>
                    <w:tabs>
                      <w:tab w:val="center" w:pos="4153"/>
                      <w:tab w:val="right" w:pos="8306"/>
                    </w:tabs>
                    <w:snapToGrid w:val="0"/>
                    <w:jc w:val="center"/>
                    <w:rPr>
                      <w:snapToGrid w:val="0"/>
                      <w:kern w:val="0"/>
                      <w:szCs w:val="21"/>
                    </w:rPr>
                  </w:pPr>
                  <w:r>
                    <w:rPr>
                      <w:rFonts w:hint="eastAsia"/>
                      <w:snapToGrid w:val="0"/>
                      <w:kern w:val="0"/>
                      <w:szCs w:val="21"/>
                    </w:rPr>
                    <w:t>废气</w:t>
                  </w:r>
                </w:p>
              </w:tc>
              <w:tc>
                <w:tcPr>
                  <w:tcW w:w="1748" w:type="dxa"/>
                  <w:vAlign w:val="center"/>
                </w:tcPr>
                <w:p>
                  <w:pPr>
                    <w:tabs>
                      <w:tab w:val="center" w:pos="4153"/>
                      <w:tab w:val="right" w:pos="8306"/>
                    </w:tabs>
                    <w:snapToGrid w:val="0"/>
                    <w:jc w:val="center"/>
                    <w:rPr>
                      <w:snapToGrid w:val="0"/>
                      <w:kern w:val="0"/>
                      <w:szCs w:val="21"/>
                    </w:rPr>
                  </w:pPr>
                  <w:r>
                    <w:rPr>
                      <w:rFonts w:hint="eastAsia"/>
                      <w:snapToGrid w:val="0"/>
                      <w:kern w:val="0"/>
                      <w:szCs w:val="21"/>
                    </w:rPr>
                    <w:t>注塑、吹塑工序</w:t>
                  </w:r>
                </w:p>
              </w:tc>
              <w:tc>
                <w:tcPr>
                  <w:tcW w:w="1395" w:type="dxa"/>
                  <w:vAlign w:val="center"/>
                </w:tcPr>
                <w:p>
                  <w:pPr>
                    <w:tabs>
                      <w:tab w:val="center" w:pos="4153"/>
                      <w:tab w:val="right" w:pos="8306"/>
                    </w:tabs>
                    <w:snapToGrid w:val="0"/>
                    <w:jc w:val="center"/>
                    <w:rPr>
                      <w:snapToGrid w:val="0"/>
                      <w:kern w:val="0"/>
                      <w:szCs w:val="21"/>
                    </w:rPr>
                  </w:pPr>
                  <w:r>
                    <w:rPr>
                      <w:rFonts w:hint="eastAsia"/>
                      <w:snapToGrid w:val="0"/>
                      <w:kern w:val="0"/>
                      <w:szCs w:val="21"/>
                    </w:rPr>
                    <w:t>非甲烷总烃</w:t>
                  </w:r>
                </w:p>
              </w:tc>
              <w:tc>
                <w:tcPr>
                  <w:tcW w:w="4445" w:type="dxa"/>
                  <w:gridSpan w:val="2"/>
                  <w:vAlign w:val="center"/>
                </w:tcPr>
                <w:p>
                  <w:pPr>
                    <w:tabs>
                      <w:tab w:val="center" w:pos="4153"/>
                      <w:tab w:val="right" w:pos="8306"/>
                    </w:tabs>
                    <w:snapToGrid w:val="0"/>
                    <w:jc w:val="center"/>
                    <w:rPr>
                      <w:rFonts w:hint="eastAsia" w:eastAsia="宋体"/>
                      <w:snapToGrid w:val="0"/>
                      <w:kern w:val="0"/>
                      <w:szCs w:val="21"/>
                      <w:lang w:eastAsia="zh-CN"/>
                    </w:rPr>
                  </w:pPr>
                  <w:r>
                    <w:rPr>
                      <w:rFonts w:hint="eastAsia"/>
                      <w:bCs/>
                      <w:szCs w:val="21"/>
                    </w:rPr>
                    <w:t>集气罩收集后通过一套UV光催化氧化设备+活性炭吸附装置处理，经15米高排气筒排放</w:t>
                  </w:r>
                  <w:r>
                    <w:rPr>
                      <w:rFonts w:hint="eastAsia"/>
                      <w:bCs/>
                      <w:szCs w:val="21"/>
                      <w:lang w:eastAsia="zh-CN"/>
                    </w:rPr>
                    <w:t>（</w:t>
                  </w:r>
                  <w:r>
                    <w:rPr>
                      <w:rFonts w:hint="eastAsia"/>
                      <w:bCs/>
                      <w:szCs w:val="21"/>
                      <w:lang w:val="en-US" w:eastAsia="zh-CN"/>
                    </w:rPr>
                    <w:t>P1排放口</w:t>
                  </w:r>
                  <w:r>
                    <w:rPr>
                      <w:rFonts w:hint="eastAsia"/>
                      <w:bCs/>
                      <w:szCs w:val="21"/>
                      <w:lang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916" w:type="dxa"/>
                  <w:vMerge w:val="continue"/>
                  <w:vAlign w:val="center"/>
                </w:tcPr>
                <w:p>
                  <w:pPr>
                    <w:tabs>
                      <w:tab w:val="center" w:pos="4153"/>
                      <w:tab w:val="right" w:pos="8306"/>
                    </w:tabs>
                    <w:snapToGrid w:val="0"/>
                    <w:jc w:val="center"/>
                    <w:rPr>
                      <w:snapToGrid w:val="0"/>
                      <w:kern w:val="0"/>
                      <w:szCs w:val="21"/>
                    </w:rPr>
                  </w:pPr>
                </w:p>
              </w:tc>
              <w:tc>
                <w:tcPr>
                  <w:tcW w:w="1748" w:type="dxa"/>
                  <w:vAlign w:val="center"/>
                </w:tcPr>
                <w:p>
                  <w:pPr>
                    <w:tabs>
                      <w:tab w:val="center" w:pos="4153"/>
                      <w:tab w:val="right" w:pos="8306"/>
                    </w:tabs>
                    <w:snapToGrid w:val="0"/>
                    <w:jc w:val="center"/>
                    <w:rPr>
                      <w:snapToGrid w:val="0"/>
                      <w:kern w:val="0"/>
                      <w:szCs w:val="21"/>
                    </w:rPr>
                  </w:pPr>
                  <w:r>
                    <w:rPr>
                      <w:rFonts w:hint="eastAsia"/>
                      <w:snapToGrid w:val="0"/>
                      <w:kern w:val="0"/>
                      <w:szCs w:val="21"/>
                    </w:rPr>
                    <w:t>破碎工序</w:t>
                  </w:r>
                </w:p>
              </w:tc>
              <w:tc>
                <w:tcPr>
                  <w:tcW w:w="1395" w:type="dxa"/>
                  <w:vAlign w:val="center"/>
                </w:tcPr>
                <w:p>
                  <w:pPr>
                    <w:tabs>
                      <w:tab w:val="center" w:pos="4153"/>
                      <w:tab w:val="right" w:pos="8306"/>
                    </w:tabs>
                    <w:snapToGrid w:val="0"/>
                    <w:jc w:val="center"/>
                    <w:rPr>
                      <w:snapToGrid w:val="0"/>
                      <w:kern w:val="0"/>
                      <w:szCs w:val="21"/>
                    </w:rPr>
                  </w:pPr>
                  <w:r>
                    <w:rPr>
                      <w:rFonts w:hint="eastAsia"/>
                      <w:snapToGrid w:val="0"/>
                      <w:kern w:val="0"/>
                      <w:szCs w:val="21"/>
                    </w:rPr>
                    <w:t>颗粒物</w:t>
                  </w:r>
                </w:p>
              </w:tc>
              <w:tc>
                <w:tcPr>
                  <w:tcW w:w="4445" w:type="dxa"/>
                  <w:gridSpan w:val="2"/>
                  <w:vAlign w:val="center"/>
                </w:tcPr>
                <w:p>
                  <w:pPr>
                    <w:tabs>
                      <w:tab w:val="center" w:pos="4153"/>
                      <w:tab w:val="right" w:pos="8306"/>
                    </w:tabs>
                    <w:snapToGrid w:val="0"/>
                    <w:jc w:val="center"/>
                    <w:rPr>
                      <w:rFonts w:hint="eastAsia" w:eastAsia="宋体"/>
                      <w:snapToGrid w:val="0"/>
                      <w:kern w:val="0"/>
                      <w:szCs w:val="21"/>
                      <w:lang w:eastAsia="zh-CN"/>
                    </w:rPr>
                  </w:pPr>
                  <w:r>
                    <w:rPr>
                      <w:rFonts w:hint="eastAsia"/>
                      <w:snapToGrid w:val="0"/>
                      <w:kern w:val="0"/>
                      <w:szCs w:val="21"/>
                    </w:rPr>
                    <w:t>集气罩收集后通过袋式除尘器处理，经15米高排气筒排放</w:t>
                  </w:r>
                  <w:r>
                    <w:rPr>
                      <w:rFonts w:hint="eastAsia"/>
                      <w:snapToGrid w:val="0"/>
                      <w:kern w:val="0"/>
                      <w:szCs w:val="21"/>
                      <w:lang w:eastAsia="zh-CN"/>
                    </w:rPr>
                    <w:t>（</w:t>
                  </w:r>
                  <w:r>
                    <w:rPr>
                      <w:rFonts w:hint="eastAsia"/>
                      <w:snapToGrid w:val="0"/>
                      <w:kern w:val="0"/>
                      <w:szCs w:val="21"/>
                      <w:lang w:val="en-US" w:eastAsia="zh-CN"/>
                    </w:rPr>
                    <w:t>P2排放口</w:t>
                  </w:r>
                  <w:r>
                    <w:rPr>
                      <w:rFonts w:hint="eastAsia"/>
                      <w:snapToGrid w:val="0"/>
                      <w:kern w:val="0"/>
                      <w:szCs w:val="21"/>
                      <w:lang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vAlign w:val="center"/>
                </w:tcPr>
                <w:p>
                  <w:pPr>
                    <w:tabs>
                      <w:tab w:val="center" w:pos="4153"/>
                      <w:tab w:val="right" w:pos="8306"/>
                    </w:tabs>
                    <w:snapToGrid w:val="0"/>
                    <w:jc w:val="center"/>
                    <w:rPr>
                      <w:snapToGrid w:val="0"/>
                      <w:kern w:val="0"/>
                      <w:szCs w:val="21"/>
                    </w:rPr>
                  </w:pPr>
                  <w:r>
                    <w:rPr>
                      <w:snapToGrid w:val="0"/>
                      <w:kern w:val="0"/>
                      <w:szCs w:val="21"/>
                    </w:rPr>
                    <w:t>废水</w:t>
                  </w:r>
                </w:p>
              </w:tc>
              <w:tc>
                <w:tcPr>
                  <w:tcW w:w="1748" w:type="dxa"/>
                  <w:vAlign w:val="center"/>
                </w:tcPr>
                <w:p>
                  <w:pPr>
                    <w:tabs>
                      <w:tab w:val="center" w:pos="4153"/>
                      <w:tab w:val="right" w:pos="8306"/>
                    </w:tabs>
                    <w:snapToGrid w:val="0"/>
                    <w:jc w:val="center"/>
                    <w:rPr>
                      <w:snapToGrid w:val="0"/>
                      <w:kern w:val="0"/>
                      <w:szCs w:val="21"/>
                    </w:rPr>
                  </w:pPr>
                  <w:r>
                    <w:rPr>
                      <w:snapToGrid w:val="0"/>
                      <w:kern w:val="0"/>
                      <w:szCs w:val="21"/>
                    </w:rPr>
                    <w:t>职工生活</w:t>
                  </w:r>
                </w:p>
              </w:tc>
              <w:tc>
                <w:tcPr>
                  <w:tcW w:w="1395" w:type="dxa"/>
                  <w:vAlign w:val="center"/>
                </w:tcPr>
                <w:p>
                  <w:pPr>
                    <w:tabs>
                      <w:tab w:val="center" w:pos="4153"/>
                      <w:tab w:val="right" w:pos="8306"/>
                    </w:tabs>
                    <w:snapToGrid w:val="0"/>
                    <w:jc w:val="center"/>
                    <w:rPr>
                      <w:snapToGrid w:val="0"/>
                      <w:kern w:val="0"/>
                      <w:szCs w:val="21"/>
                    </w:rPr>
                  </w:pPr>
                  <w:r>
                    <w:rPr>
                      <w:snapToGrid w:val="0"/>
                      <w:kern w:val="0"/>
                      <w:szCs w:val="21"/>
                    </w:rPr>
                    <w:t>COD</w:t>
                  </w:r>
                  <w:r>
                    <w:rPr>
                      <w:rFonts w:hint="eastAsia"/>
                      <w:snapToGrid w:val="0"/>
                      <w:kern w:val="0"/>
                      <w:szCs w:val="21"/>
                    </w:rPr>
                    <w:t>、</w:t>
                  </w:r>
                  <w:r>
                    <w:rPr>
                      <w:snapToGrid w:val="0"/>
                      <w:kern w:val="0"/>
                      <w:szCs w:val="21"/>
                    </w:rPr>
                    <w:t>SS、NH</w:t>
                  </w:r>
                  <w:r>
                    <w:rPr>
                      <w:snapToGrid w:val="0"/>
                      <w:kern w:val="0"/>
                      <w:szCs w:val="21"/>
                      <w:vertAlign w:val="subscript"/>
                    </w:rPr>
                    <w:t>3</w:t>
                  </w:r>
                  <w:r>
                    <w:rPr>
                      <w:snapToGrid w:val="0"/>
                      <w:kern w:val="0"/>
                      <w:szCs w:val="21"/>
                    </w:rPr>
                    <w:t>-N</w:t>
                  </w:r>
                </w:p>
              </w:tc>
              <w:tc>
                <w:tcPr>
                  <w:tcW w:w="4445" w:type="dxa"/>
                  <w:gridSpan w:val="2"/>
                  <w:vAlign w:val="center"/>
                </w:tcPr>
                <w:p>
                  <w:pPr>
                    <w:tabs>
                      <w:tab w:val="center" w:pos="4153"/>
                      <w:tab w:val="right" w:pos="8306"/>
                    </w:tabs>
                    <w:snapToGrid w:val="0"/>
                    <w:jc w:val="center"/>
                    <w:rPr>
                      <w:snapToGrid w:val="0"/>
                      <w:kern w:val="0"/>
                      <w:szCs w:val="21"/>
                    </w:rPr>
                  </w:pPr>
                  <w:r>
                    <w:rPr>
                      <w:snapToGrid w:val="0"/>
                      <w:kern w:val="0"/>
                      <w:szCs w:val="21"/>
                    </w:rPr>
                    <w:t>生活污水经化粪池处理后</w:t>
                  </w:r>
                  <w:r>
                    <w:rPr>
                      <w:rFonts w:hint="eastAsia"/>
                      <w:snapToGrid w:val="0"/>
                      <w:kern w:val="0"/>
                      <w:szCs w:val="21"/>
                    </w:rPr>
                    <w:t>，排入市政管网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vAlign w:val="center"/>
                </w:tcPr>
                <w:p>
                  <w:pPr>
                    <w:tabs>
                      <w:tab w:val="center" w:pos="4153"/>
                      <w:tab w:val="right" w:pos="8306"/>
                    </w:tabs>
                    <w:snapToGrid w:val="0"/>
                    <w:jc w:val="center"/>
                    <w:rPr>
                      <w:snapToGrid w:val="0"/>
                      <w:kern w:val="0"/>
                      <w:szCs w:val="21"/>
                    </w:rPr>
                  </w:pPr>
                  <w:r>
                    <w:rPr>
                      <w:snapToGrid w:val="0"/>
                      <w:kern w:val="0"/>
                      <w:szCs w:val="21"/>
                    </w:rPr>
                    <w:t>噪声</w:t>
                  </w:r>
                </w:p>
              </w:tc>
              <w:tc>
                <w:tcPr>
                  <w:tcW w:w="1748" w:type="dxa"/>
                  <w:vAlign w:val="center"/>
                </w:tcPr>
                <w:p>
                  <w:pPr>
                    <w:tabs>
                      <w:tab w:val="center" w:pos="4153"/>
                      <w:tab w:val="right" w:pos="8306"/>
                    </w:tabs>
                    <w:snapToGrid w:val="0"/>
                    <w:jc w:val="center"/>
                    <w:rPr>
                      <w:snapToGrid w:val="0"/>
                      <w:kern w:val="0"/>
                      <w:szCs w:val="21"/>
                    </w:rPr>
                  </w:pPr>
                  <w:r>
                    <w:rPr>
                      <w:snapToGrid w:val="0"/>
                      <w:kern w:val="0"/>
                      <w:szCs w:val="21"/>
                    </w:rPr>
                    <w:t>高噪声设备</w:t>
                  </w:r>
                </w:p>
              </w:tc>
              <w:tc>
                <w:tcPr>
                  <w:tcW w:w="1395" w:type="dxa"/>
                  <w:vAlign w:val="center"/>
                </w:tcPr>
                <w:p>
                  <w:pPr>
                    <w:tabs>
                      <w:tab w:val="center" w:pos="4153"/>
                      <w:tab w:val="right" w:pos="8306"/>
                    </w:tabs>
                    <w:snapToGrid w:val="0"/>
                    <w:jc w:val="center"/>
                    <w:rPr>
                      <w:snapToGrid w:val="0"/>
                      <w:kern w:val="0"/>
                      <w:szCs w:val="21"/>
                    </w:rPr>
                  </w:pPr>
                  <w:r>
                    <w:rPr>
                      <w:snapToGrid w:val="0"/>
                      <w:kern w:val="0"/>
                      <w:szCs w:val="21"/>
                    </w:rPr>
                    <w:t>噪声</w:t>
                  </w:r>
                </w:p>
              </w:tc>
              <w:tc>
                <w:tcPr>
                  <w:tcW w:w="4445" w:type="dxa"/>
                  <w:gridSpan w:val="2"/>
                  <w:vAlign w:val="center"/>
                </w:tcPr>
                <w:p>
                  <w:pPr>
                    <w:tabs>
                      <w:tab w:val="center" w:pos="4153"/>
                      <w:tab w:val="right" w:pos="8306"/>
                    </w:tabs>
                    <w:snapToGrid w:val="0"/>
                    <w:jc w:val="center"/>
                    <w:rPr>
                      <w:snapToGrid w:val="0"/>
                      <w:kern w:val="0"/>
                      <w:szCs w:val="21"/>
                    </w:rPr>
                  </w:pPr>
                  <w:r>
                    <w:rPr>
                      <w:snapToGrid w:val="0"/>
                      <w:color w:val="000000"/>
                      <w:kern w:val="0"/>
                      <w:szCs w:val="21"/>
                    </w:rPr>
                    <w:t>安装减振基础、厂房隔声、距离衰减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vMerge w:val="restart"/>
                  <w:vAlign w:val="center"/>
                </w:tcPr>
                <w:p>
                  <w:pPr>
                    <w:tabs>
                      <w:tab w:val="center" w:pos="4153"/>
                      <w:tab w:val="right" w:pos="8306"/>
                    </w:tabs>
                    <w:snapToGrid w:val="0"/>
                    <w:jc w:val="center"/>
                    <w:rPr>
                      <w:snapToGrid w:val="0"/>
                      <w:kern w:val="0"/>
                      <w:szCs w:val="21"/>
                    </w:rPr>
                  </w:pPr>
                  <w:r>
                    <w:rPr>
                      <w:snapToGrid w:val="0"/>
                      <w:kern w:val="0"/>
                      <w:szCs w:val="21"/>
                    </w:rPr>
                    <w:t>固废</w:t>
                  </w:r>
                </w:p>
              </w:tc>
              <w:tc>
                <w:tcPr>
                  <w:tcW w:w="1748" w:type="dxa"/>
                  <w:vAlign w:val="center"/>
                </w:tcPr>
                <w:p>
                  <w:pPr>
                    <w:adjustRightInd w:val="0"/>
                    <w:snapToGrid w:val="0"/>
                    <w:jc w:val="center"/>
                    <w:rPr>
                      <w:snapToGrid w:val="0"/>
                      <w:kern w:val="0"/>
                      <w:szCs w:val="21"/>
                    </w:rPr>
                  </w:pPr>
                  <w:r>
                    <w:rPr>
                      <w:rFonts w:hint="eastAsia"/>
                      <w:snapToGrid w:val="0"/>
                      <w:kern w:val="0"/>
                      <w:szCs w:val="21"/>
                    </w:rPr>
                    <w:t>检验工序</w:t>
                  </w:r>
                </w:p>
              </w:tc>
              <w:tc>
                <w:tcPr>
                  <w:tcW w:w="1395" w:type="dxa"/>
                  <w:vAlign w:val="center"/>
                </w:tcPr>
                <w:p>
                  <w:pPr>
                    <w:adjustRightInd w:val="0"/>
                    <w:snapToGrid w:val="0"/>
                    <w:jc w:val="center"/>
                    <w:rPr>
                      <w:snapToGrid w:val="0"/>
                      <w:kern w:val="0"/>
                      <w:szCs w:val="21"/>
                    </w:rPr>
                  </w:pPr>
                  <w:r>
                    <w:rPr>
                      <w:rFonts w:hint="eastAsia"/>
                      <w:snapToGrid w:val="0"/>
                      <w:kern w:val="21"/>
                      <w:szCs w:val="21"/>
                    </w:rPr>
                    <w:t>不合格品</w:t>
                  </w:r>
                </w:p>
              </w:tc>
              <w:tc>
                <w:tcPr>
                  <w:tcW w:w="4445" w:type="dxa"/>
                  <w:gridSpan w:val="2"/>
                  <w:vAlign w:val="center"/>
                </w:tcPr>
                <w:p>
                  <w:pPr>
                    <w:adjustRightInd w:val="0"/>
                    <w:snapToGrid w:val="0"/>
                    <w:jc w:val="center"/>
                    <w:rPr>
                      <w:szCs w:val="21"/>
                    </w:rPr>
                  </w:pPr>
                  <w:r>
                    <w:rPr>
                      <w:szCs w:val="21"/>
                    </w:rPr>
                    <w:t>设置一般固废暂存间</w:t>
                  </w:r>
                  <w:r>
                    <w:rPr>
                      <w:rFonts w:hint="eastAsia"/>
                      <w:szCs w:val="21"/>
                    </w:rPr>
                    <w:t>10</w:t>
                  </w:r>
                  <w:r>
                    <w:rPr>
                      <w:szCs w:val="21"/>
                    </w:rPr>
                    <w:t>m</w:t>
                  </w:r>
                  <w:r>
                    <w:rPr>
                      <w:szCs w:val="21"/>
                      <w:vertAlign w:val="superscript"/>
                    </w:rPr>
                    <w:t>2</w:t>
                  </w:r>
                  <w:r>
                    <w:rPr>
                      <w:rFonts w:hint="eastAsia"/>
                      <w:szCs w:val="21"/>
                    </w:rPr>
                    <w:t>，</w:t>
                  </w:r>
                  <w:r>
                    <w:rPr>
                      <w:rFonts w:hint="eastAsia"/>
                      <w:snapToGrid w:val="0"/>
                      <w:color w:val="000000"/>
                      <w:kern w:val="0"/>
                      <w:szCs w:val="21"/>
                    </w:rPr>
                    <w:t>集中收集后通过破碎机破碎，回用于生产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vMerge w:val="continue"/>
                  <w:vAlign w:val="center"/>
                </w:tcPr>
                <w:p>
                  <w:pPr>
                    <w:tabs>
                      <w:tab w:val="center" w:pos="4153"/>
                      <w:tab w:val="right" w:pos="8306"/>
                    </w:tabs>
                    <w:snapToGrid w:val="0"/>
                    <w:jc w:val="center"/>
                    <w:rPr>
                      <w:snapToGrid w:val="0"/>
                      <w:kern w:val="0"/>
                      <w:szCs w:val="21"/>
                    </w:rPr>
                  </w:pPr>
                </w:p>
              </w:tc>
              <w:tc>
                <w:tcPr>
                  <w:tcW w:w="1748" w:type="dxa"/>
                  <w:vAlign w:val="center"/>
                </w:tcPr>
                <w:p>
                  <w:pPr>
                    <w:adjustRightInd w:val="0"/>
                    <w:snapToGrid w:val="0"/>
                    <w:jc w:val="center"/>
                    <w:rPr>
                      <w:snapToGrid w:val="0"/>
                      <w:kern w:val="0"/>
                      <w:szCs w:val="21"/>
                    </w:rPr>
                  </w:pPr>
                  <w:r>
                    <w:rPr>
                      <w:rFonts w:hint="eastAsia"/>
                      <w:snapToGrid w:val="0"/>
                      <w:kern w:val="21"/>
                      <w:szCs w:val="21"/>
                    </w:rPr>
                    <w:t>活性炭吸附装置</w:t>
                  </w:r>
                </w:p>
              </w:tc>
              <w:tc>
                <w:tcPr>
                  <w:tcW w:w="1395" w:type="dxa"/>
                  <w:vAlign w:val="center"/>
                </w:tcPr>
                <w:p>
                  <w:pPr>
                    <w:adjustRightInd w:val="0"/>
                    <w:snapToGrid w:val="0"/>
                    <w:jc w:val="center"/>
                    <w:rPr>
                      <w:snapToGrid w:val="0"/>
                      <w:kern w:val="21"/>
                      <w:szCs w:val="21"/>
                    </w:rPr>
                  </w:pPr>
                  <w:r>
                    <w:rPr>
                      <w:rFonts w:hint="eastAsia"/>
                      <w:snapToGrid w:val="0"/>
                      <w:kern w:val="21"/>
                      <w:szCs w:val="21"/>
                    </w:rPr>
                    <w:t>废活性炭</w:t>
                  </w:r>
                </w:p>
              </w:tc>
              <w:tc>
                <w:tcPr>
                  <w:tcW w:w="1582" w:type="dxa"/>
                  <w:vAlign w:val="center"/>
                </w:tcPr>
                <w:p>
                  <w:pPr>
                    <w:adjustRightInd w:val="0"/>
                    <w:snapToGrid w:val="0"/>
                    <w:jc w:val="center"/>
                    <w:rPr>
                      <w:szCs w:val="21"/>
                    </w:rPr>
                  </w:pPr>
                  <w:r>
                    <w:rPr>
                      <w:rFonts w:hint="eastAsia"/>
                      <w:color w:val="000000"/>
                      <w:szCs w:val="21"/>
                    </w:rPr>
                    <w:t>专门容器收集</w:t>
                  </w:r>
                </w:p>
              </w:tc>
              <w:tc>
                <w:tcPr>
                  <w:tcW w:w="2863" w:type="dxa"/>
                  <w:vMerge w:val="restart"/>
                  <w:vAlign w:val="center"/>
                </w:tcPr>
                <w:p>
                  <w:pPr>
                    <w:adjustRightInd w:val="0"/>
                    <w:snapToGrid w:val="0"/>
                    <w:jc w:val="center"/>
                    <w:rPr>
                      <w:snapToGrid w:val="0"/>
                      <w:color w:val="000000"/>
                      <w:kern w:val="0"/>
                      <w:szCs w:val="21"/>
                    </w:rPr>
                  </w:pPr>
                  <w:r>
                    <w:rPr>
                      <w:rFonts w:hint="eastAsia"/>
                      <w:snapToGrid w:val="0"/>
                      <w:color w:val="000000"/>
                      <w:kern w:val="0"/>
                      <w:szCs w:val="21"/>
                    </w:rPr>
                    <w:t>由厂家更换时回收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vMerge w:val="continue"/>
                  <w:vAlign w:val="center"/>
                </w:tcPr>
                <w:p>
                  <w:pPr>
                    <w:tabs>
                      <w:tab w:val="center" w:pos="4153"/>
                      <w:tab w:val="right" w:pos="8306"/>
                    </w:tabs>
                    <w:snapToGrid w:val="0"/>
                    <w:jc w:val="center"/>
                    <w:rPr>
                      <w:snapToGrid w:val="0"/>
                      <w:kern w:val="0"/>
                      <w:szCs w:val="21"/>
                    </w:rPr>
                  </w:pPr>
                </w:p>
              </w:tc>
              <w:tc>
                <w:tcPr>
                  <w:tcW w:w="1748" w:type="dxa"/>
                  <w:vMerge w:val="restart"/>
                  <w:vAlign w:val="center"/>
                </w:tcPr>
                <w:p>
                  <w:pPr>
                    <w:adjustRightInd w:val="0"/>
                    <w:snapToGrid w:val="0"/>
                    <w:jc w:val="center"/>
                    <w:rPr>
                      <w:snapToGrid w:val="0"/>
                      <w:kern w:val="21"/>
                      <w:szCs w:val="21"/>
                    </w:rPr>
                  </w:pPr>
                  <w:r>
                    <w:rPr>
                      <w:rFonts w:hint="eastAsia"/>
                      <w:snapToGrid w:val="0"/>
                      <w:kern w:val="21"/>
                      <w:szCs w:val="21"/>
                    </w:rPr>
                    <w:t>UV光催化氧化设备</w:t>
                  </w:r>
                </w:p>
              </w:tc>
              <w:tc>
                <w:tcPr>
                  <w:tcW w:w="1395" w:type="dxa"/>
                  <w:vAlign w:val="center"/>
                </w:tcPr>
                <w:p>
                  <w:pPr>
                    <w:adjustRightInd w:val="0"/>
                    <w:snapToGrid w:val="0"/>
                    <w:jc w:val="center"/>
                    <w:rPr>
                      <w:snapToGrid w:val="0"/>
                      <w:kern w:val="21"/>
                      <w:szCs w:val="21"/>
                    </w:rPr>
                  </w:pPr>
                  <w:r>
                    <w:rPr>
                      <w:rFonts w:hint="eastAsia"/>
                      <w:snapToGrid w:val="0"/>
                      <w:kern w:val="21"/>
                      <w:szCs w:val="21"/>
                    </w:rPr>
                    <w:t>废催化板</w:t>
                  </w:r>
                </w:p>
              </w:tc>
              <w:tc>
                <w:tcPr>
                  <w:tcW w:w="1582" w:type="dxa"/>
                  <w:vAlign w:val="center"/>
                </w:tcPr>
                <w:p>
                  <w:pPr>
                    <w:adjustRightInd w:val="0"/>
                    <w:snapToGrid w:val="0"/>
                    <w:jc w:val="center"/>
                    <w:rPr>
                      <w:color w:val="000000"/>
                      <w:szCs w:val="21"/>
                    </w:rPr>
                  </w:pPr>
                  <w:r>
                    <w:rPr>
                      <w:rFonts w:hint="eastAsia"/>
                      <w:snapToGrid w:val="0"/>
                      <w:kern w:val="21"/>
                      <w:szCs w:val="21"/>
                    </w:rPr>
                    <w:t>专门容器收集</w:t>
                  </w:r>
                </w:p>
              </w:tc>
              <w:tc>
                <w:tcPr>
                  <w:tcW w:w="2863" w:type="dxa"/>
                  <w:vMerge w:val="continue"/>
                  <w:vAlign w:val="center"/>
                </w:tcPr>
                <w:p>
                  <w:pPr>
                    <w:adjustRightInd w:val="0"/>
                    <w:snapToGrid w:val="0"/>
                    <w:jc w:val="center"/>
                    <w:rPr>
                      <w:snapToGrid w:val="0"/>
                      <w:color w:val="000000"/>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vMerge w:val="continue"/>
                  <w:vAlign w:val="center"/>
                </w:tcPr>
                <w:p>
                  <w:pPr>
                    <w:tabs>
                      <w:tab w:val="center" w:pos="4153"/>
                      <w:tab w:val="right" w:pos="8306"/>
                    </w:tabs>
                    <w:snapToGrid w:val="0"/>
                    <w:jc w:val="center"/>
                    <w:rPr>
                      <w:snapToGrid w:val="0"/>
                      <w:kern w:val="0"/>
                      <w:szCs w:val="21"/>
                    </w:rPr>
                  </w:pPr>
                </w:p>
              </w:tc>
              <w:tc>
                <w:tcPr>
                  <w:tcW w:w="1748" w:type="dxa"/>
                  <w:vMerge w:val="continue"/>
                  <w:vAlign w:val="center"/>
                </w:tcPr>
                <w:p>
                  <w:pPr>
                    <w:adjustRightInd w:val="0"/>
                    <w:snapToGrid w:val="0"/>
                    <w:jc w:val="center"/>
                    <w:rPr>
                      <w:szCs w:val="21"/>
                    </w:rPr>
                  </w:pPr>
                </w:p>
              </w:tc>
              <w:tc>
                <w:tcPr>
                  <w:tcW w:w="1395" w:type="dxa"/>
                  <w:vAlign w:val="center"/>
                </w:tcPr>
                <w:p>
                  <w:pPr>
                    <w:adjustRightInd w:val="0"/>
                    <w:snapToGrid w:val="0"/>
                    <w:jc w:val="center"/>
                    <w:rPr>
                      <w:szCs w:val="21"/>
                    </w:rPr>
                  </w:pPr>
                  <w:r>
                    <w:rPr>
                      <w:rFonts w:hint="eastAsia"/>
                      <w:snapToGrid w:val="0"/>
                      <w:kern w:val="21"/>
                      <w:szCs w:val="21"/>
                    </w:rPr>
                    <w:t>废灯管</w:t>
                  </w:r>
                </w:p>
              </w:tc>
              <w:tc>
                <w:tcPr>
                  <w:tcW w:w="1582" w:type="dxa"/>
                  <w:vAlign w:val="center"/>
                </w:tcPr>
                <w:p>
                  <w:pPr>
                    <w:adjustRightInd w:val="0"/>
                    <w:snapToGrid w:val="0"/>
                    <w:jc w:val="center"/>
                    <w:rPr>
                      <w:snapToGrid w:val="0"/>
                      <w:color w:val="000000"/>
                      <w:kern w:val="0"/>
                      <w:szCs w:val="21"/>
                    </w:rPr>
                  </w:pPr>
                  <w:r>
                    <w:rPr>
                      <w:rFonts w:hint="eastAsia"/>
                      <w:color w:val="000000"/>
                      <w:szCs w:val="21"/>
                    </w:rPr>
                    <w:t>专门容器收集</w:t>
                  </w:r>
                </w:p>
              </w:tc>
              <w:tc>
                <w:tcPr>
                  <w:tcW w:w="2863" w:type="dxa"/>
                  <w:vMerge w:val="restart"/>
                  <w:vAlign w:val="center"/>
                </w:tcPr>
                <w:p>
                  <w:pPr>
                    <w:adjustRightInd w:val="0"/>
                    <w:snapToGrid w:val="0"/>
                    <w:jc w:val="center"/>
                    <w:rPr>
                      <w:snapToGrid w:val="0"/>
                      <w:color w:val="000000"/>
                      <w:kern w:val="0"/>
                      <w:szCs w:val="21"/>
                    </w:rPr>
                  </w:pPr>
                  <w:r>
                    <w:rPr>
                      <w:szCs w:val="21"/>
                    </w:rPr>
                    <w:t>设置</w:t>
                  </w:r>
                  <w:r>
                    <w:rPr>
                      <w:rFonts w:hint="eastAsia"/>
                      <w:szCs w:val="21"/>
                    </w:rPr>
                    <w:t>危废</w:t>
                  </w:r>
                  <w:r>
                    <w:rPr>
                      <w:szCs w:val="21"/>
                    </w:rPr>
                    <w:t>暂存间</w:t>
                  </w:r>
                  <w:r>
                    <w:rPr>
                      <w:rFonts w:hint="eastAsia"/>
                      <w:szCs w:val="21"/>
                    </w:rPr>
                    <w:t>10</w:t>
                  </w:r>
                  <w:r>
                    <w:rPr>
                      <w:szCs w:val="21"/>
                    </w:rPr>
                    <w:t>m</w:t>
                  </w:r>
                  <w:r>
                    <w:rPr>
                      <w:szCs w:val="21"/>
                      <w:vertAlign w:val="superscript"/>
                    </w:rPr>
                    <w:t>2</w:t>
                  </w:r>
                  <w:r>
                    <w:rPr>
                      <w:rFonts w:hint="eastAsia"/>
                      <w:szCs w:val="21"/>
                    </w:rPr>
                    <w:t>，集中收存后交由资质单位处理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vMerge w:val="continue"/>
                  <w:vAlign w:val="center"/>
                </w:tcPr>
                <w:p>
                  <w:pPr>
                    <w:tabs>
                      <w:tab w:val="center" w:pos="4153"/>
                      <w:tab w:val="right" w:pos="8306"/>
                    </w:tabs>
                    <w:snapToGrid w:val="0"/>
                    <w:jc w:val="center"/>
                    <w:rPr>
                      <w:snapToGrid w:val="0"/>
                      <w:kern w:val="0"/>
                      <w:szCs w:val="21"/>
                    </w:rPr>
                  </w:pPr>
                </w:p>
              </w:tc>
              <w:tc>
                <w:tcPr>
                  <w:tcW w:w="1748" w:type="dxa"/>
                  <w:vMerge w:val="restart"/>
                  <w:vAlign w:val="center"/>
                </w:tcPr>
                <w:p>
                  <w:pPr>
                    <w:adjustRightInd w:val="0"/>
                    <w:snapToGrid w:val="0"/>
                    <w:jc w:val="center"/>
                    <w:rPr>
                      <w:szCs w:val="21"/>
                    </w:rPr>
                  </w:pPr>
                  <w:r>
                    <w:rPr>
                      <w:rFonts w:hint="eastAsia"/>
                      <w:snapToGrid w:val="0"/>
                      <w:kern w:val="21"/>
                      <w:szCs w:val="21"/>
                    </w:rPr>
                    <w:t>设备检修</w:t>
                  </w:r>
                </w:p>
              </w:tc>
              <w:tc>
                <w:tcPr>
                  <w:tcW w:w="1395" w:type="dxa"/>
                  <w:vAlign w:val="center"/>
                </w:tcPr>
                <w:p>
                  <w:pPr>
                    <w:adjustRightInd w:val="0"/>
                    <w:snapToGrid w:val="0"/>
                    <w:jc w:val="center"/>
                    <w:rPr>
                      <w:szCs w:val="21"/>
                    </w:rPr>
                  </w:pPr>
                  <w:r>
                    <w:rPr>
                      <w:rFonts w:hint="eastAsia"/>
                      <w:snapToGrid w:val="0"/>
                      <w:kern w:val="21"/>
                      <w:szCs w:val="21"/>
                    </w:rPr>
                    <w:t>废机油</w:t>
                  </w:r>
                </w:p>
              </w:tc>
              <w:tc>
                <w:tcPr>
                  <w:tcW w:w="1582" w:type="dxa"/>
                  <w:vAlign w:val="center"/>
                </w:tcPr>
                <w:p>
                  <w:pPr>
                    <w:adjustRightInd w:val="0"/>
                    <w:snapToGrid w:val="0"/>
                    <w:jc w:val="center"/>
                    <w:rPr>
                      <w:snapToGrid w:val="0"/>
                      <w:kern w:val="0"/>
                      <w:szCs w:val="21"/>
                    </w:rPr>
                  </w:pPr>
                  <w:r>
                    <w:rPr>
                      <w:rFonts w:hint="eastAsia"/>
                      <w:color w:val="000000"/>
                      <w:szCs w:val="21"/>
                    </w:rPr>
                    <w:t>塑料桶收集</w:t>
                  </w:r>
                </w:p>
              </w:tc>
              <w:tc>
                <w:tcPr>
                  <w:tcW w:w="2863" w:type="dxa"/>
                  <w:vMerge w:val="continue"/>
                  <w:vAlign w:val="center"/>
                </w:tcPr>
                <w:p>
                  <w:pPr>
                    <w:adjustRightInd w:val="0"/>
                    <w:snapToGrid w:val="0"/>
                    <w:jc w:val="center"/>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vMerge w:val="continue"/>
                  <w:vAlign w:val="center"/>
                </w:tcPr>
                <w:p>
                  <w:pPr>
                    <w:tabs>
                      <w:tab w:val="center" w:pos="4153"/>
                      <w:tab w:val="right" w:pos="8306"/>
                    </w:tabs>
                    <w:snapToGrid w:val="0"/>
                    <w:jc w:val="center"/>
                    <w:rPr>
                      <w:snapToGrid w:val="0"/>
                      <w:kern w:val="0"/>
                      <w:szCs w:val="21"/>
                    </w:rPr>
                  </w:pPr>
                </w:p>
              </w:tc>
              <w:tc>
                <w:tcPr>
                  <w:tcW w:w="1748" w:type="dxa"/>
                  <w:vMerge w:val="continue"/>
                  <w:vAlign w:val="center"/>
                </w:tcPr>
                <w:p>
                  <w:pPr>
                    <w:adjustRightInd w:val="0"/>
                    <w:snapToGrid w:val="0"/>
                    <w:jc w:val="center"/>
                    <w:rPr>
                      <w:szCs w:val="21"/>
                    </w:rPr>
                  </w:pPr>
                </w:p>
              </w:tc>
              <w:tc>
                <w:tcPr>
                  <w:tcW w:w="1395" w:type="dxa"/>
                  <w:vAlign w:val="center"/>
                </w:tcPr>
                <w:p>
                  <w:pPr>
                    <w:adjustRightInd w:val="0"/>
                    <w:snapToGrid w:val="0"/>
                    <w:jc w:val="center"/>
                    <w:rPr>
                      <w:snapToGrid w:val="0"/>
                      <w:kern w:val="0"/>
                      <w:szCs w:val="21"/>
                    </w:rPr>
                  </w:pPr>
                  <w:r>
                    <w:rPr>
                      <w:rFonts w:hint="eastAsia"/>
                      <w:snapToGrid w:val="0"/>
                      <w:kern w:val="21"/>
                      <w:szCs w:val="21"/>
                    </w:rPr>
                    <w:t>废液压油</w:t>
                  </w:r>
                </w:p>
              </w:tc>
              <w:tc>
                <w:tcPr>
                  <w:tcW w:w="1582" w:type="dxa"/>
                  <w:vAlign w:val="center"/>
                </w:tcPr>
                <w:p>
                  <w:pPr>
                    <w:adjustRightInd w:val="0"/>
                    <w:snapToGrid w:val="0"/>
                    <w:jc w:val="center"/>
                    <w:rPr>
                      <w:rFonts w:cs="宋体"/>
                      <w:color w:val="0000FF"/>
                      <w:szCs w:val="21"/>
                    </w:rPr>
                  </w:pPr>
                  <w:r>
                    <w:rPr>
                      <w:rFonts w:hint="eastAsia"/>
                      <w:color w:val="000000"/>
                      <w:szCs w:val="21"/>
                    </w:rPr>
                    <w:t>塑料桶收集</w:t>
                  </w:r>
                </w:p>
              </w:tc>
              <w:tc>
                <w:tcPr>
                  <w:tcW w:w="2863" w:type="dxa"/>
                  <w:vMerge w:val="continue"/>
                  <w:vAlign w:val="center"/>
                </w:tcPr>
                <w:p>
                  <w:pPr>
                    <w:adjustRightInd w:val="0"/>
                    <w:snapToGrid w:val="0"/>
                    <w:jc w:val="cente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vMerge w:val="continue"/>
                  <w:vAlign w:val="center"/>
                </w:tcPr>
                <w:p>
                  <w:pPr>
                    <w:tabs>
                      <w:tab w:val="center" w:pos="4153"/>
                      <w:tab w:val="right" w:pos="8306"/>
                    </w:tabs>
                    <w:snapToGrid w:val="0"/>
                    <w:jc w:val="center"/>
                    <w:rPr>
                      <w:snapToGrid w:val="0"/>
                      <w:kern w:val="0"/>
                      <w:szCs w:val="21"/>
                    </w:rPr>
                  </w:pPr>
                </w:p>
              </w:tc>
              <w:tc>
                <w:tcPr>
                  <w:tcW w:w="1748" w:type="dxa"/>
                  <w:vAlign w:val="center"/>
                </w:tcPr>
                <w:p>
                  <w:pPr>
                    <w:adjustRightInd w:val="0"/>
                    <w:snapToGrid w:val="0"/>
                    <w:jc w:val="center"/>
                    <w:rPr>
                      <w:szCs w:val="21"/>
                    </w:rPr>
                  </w:pPr>
                  <w:r>
                    <w:rPr>
                      <w:rFonts w:hint="eastAsia"/>
                      <w:snapToGrid w:val="0"/>
                      <w:kern w:val="21"/>
                      <w:szCs w:val="21"/>
                    </w:rPr>
                    <w:t>职工生活</w:t>
                  </w:r>
                </w:p>
              </w:tc>
              <w:tc>
                <w:tcPr>
                  <w:tcW w:w="1395" w:type="dxa"/>
                  <w:vAlign w:val="center"/>
                </w:tcPr>
                <w:p>
                  <w:pPr>
                    <w:adjustRightInd w:val="0"/>
                    <w:snapToGrid w:val="0"/>
                    <w:jc w:val="center"/>
                    <w:rPr>
                      <w:snapToGrid w:val="0"/>
                      <w:kern w:val="21"/>
                      <w:szCs w:val="21"/>
                    </w:rPr>
                  </w:pPr>
                  <w:r>
                    <w:rPr>
                      <w:rFonts w:hint="eastAsia"/>
                      <w:snapToGrid w:val="0"/>
                      <w:kern w:val="21"/>
                      <w:szCs w:val="21"/>
                    </w:rPr>
                    <w:t>生活垃圾</w:t>
                  </w:r>
                </w:p>
              </w:tc>
              <w:tc>
                <w:tcPr>
                  <w:tcW w:w="4445" w:type="dxa"/>
                  <w:gridSpan w:val="2"/>
                  <w:vAlign w:val="center"/>
                </w:tcPr>
                <w:p>
                  <w:pPr>
                    <w:adjustRightInd w:val="0"/>
                    <w:snapToGrid w:val="0"/>
                    <w:jc w:val="center"/>
                  </w:pPr>
                  <w:r>
                    <w:rPr>
                      <w:rFonts w:hint="eastAsia"/>
                      <w:color w:val="000000"/>
                      <w:szCs w:val="21"/>
                    </w:rPr>
                    <w:t>设置垃圾桶若干，交由环卫部门处理</w:t>
                  </w:r>
                </w:p>
              </w:tc>
            </w:tr>
          </w:tbl>
          <w:p>
            <w:pPr>
              <w:adjustRightInd w:val="0"/>
              <w:snapToGrid w:val="0"/>
              <w:spacing w:line="360" w:lineRule="auto"/>
              <w:rPr>
                <w:b/>
                <w:bCs/>
                <w:sz w:val="24"/>
              </w:rPr>
            </w:pPr>
          </w:p>
          <w:p>
            <w:pPr>
              <w:adjustRightInd w:val="0"/>
              <w:snapToGrid w:val="0"/>
              <w:spacing w:line="360" w:lineRule="auto"/>
              <w:rPr>
                <w:sz w:val="24"/>
              </w:rPr>
            </w:pPr>
          </w:p>
          <w:p>
            <w:pPr>
              <w:adjustRightInd w:val="0"/>
              <w:snapToGrid w:val="0"/>
              <w:jc w:val="center"/>
              <w:rPr>
                <w:rFonts w:eastAsia="黑体"/>
                <w:sz w:val="24"/>
                <w:szCs w:val="20"/>
              </w:rPr>
            </w:pPr>
          </w:p>
          <w:p>
            <w:pPr>
              <w:pStyle w:val="10"/>
            </w:pPr>
            <w:r>
              <w:t xml:space="preserve"> </w:t>
            </w:r>
          </w:p>
        </w:tc>
      </w:tr>
    </w:tbl>
    <w:p>
      <w:pPr>
        <w:adjustRightInd w:val="0"/>
        <w:snapToGrid w:val="0"/>
        <w:spacing w:line="360" w:lineRule="auto"/>
        <w:rPr>
          <w:rFonts w:ascii="宋体" w:hAnsi="宋体" w:cs="宋体"/>
          <w:b/>
          <w:sz w:val="24"/>
        </w:rPr>
        <w:sectPr>
          <w:pgSz w:w="11906" w:h="16838"/>
          <w:pgMar w:top="1440" w:right="1800" w:bottom="1440" w:left="1800" w:header="851" w:footer="992" w:gutter="0"/>
          <w:cols w:space="720" w:num="1"/>
          <w:docGrid w:type="lines" w:linePitch="312" w:charSpace="0"/>
        </w:sectPr>
      </w:pPr>
    </w:p>
    <w:p>
      <w:pPr>
        <w:adjustRightInd w:val="0"/>
        <w:snapToGrid w:val="0"/>
        <w:jc w:val="left"/>
        <w:rPr>
          <w:rFonts w:ascii="宋体" w:hAnsi="宋体" w:cs="宋体"/>
          <w:b/>
          <w:sz w:val="28"/>
          <w:szCs w:val="28"/>
        </w:rPr>
      </w:pPr>
      <w:r>
        <w:rPr>
          <w:rFonts w:hint="eastAsia" w:ascii="宋体" w:hAnsi="宋体" w:cs="宋体"/>
          <w:b/>
          <w:sz w:val="28"/>
          <w:szCs w:val="28"/>
        </w:rPr>
        <w:t>项目主要污染物产生及预计排放情况</w:t>
      </w:r>
    </w:p>
    <w:tbl>
      <w:tblPr>
        <w:tblStyle w:val="23"/>
        <w:tblW w:w="9080"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1270"/>
        <w:gridCol w:w="1515"/>
        <w:gridCol w:w="2685"/>
        <w:gridCol w:w="2687"/>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23" w:type="dxa"/>
            <w:tcBorders>
              <w:tl2br w:val="nil"/>
              <w:tr2bl w:val="nil"/>
            </w:tcBorders>
            <w:vAlign w:val="center"/>
          </w:tcPr>
          <w:p>
            <w:pPr>
              <w:adjustRightInd w:val="0"/>
              <w:snapToGrid w:val="0"/>
              <w:jc w:val="center"/>
              <w:rPr>
                <w:snapToGrid w:val="0"/>
                <w:kern w:val="21"/>
                <w:sz w:val="24"/>
                <w:szCs w:val="24"/>
              </w:rPr>
            </w:pPr>
            <w:r>
              <w:rPr>
                <w:snapToGrid w:val="0"/>
                <w:kern w:val="21"/>
                <w:sz w:val="24"/>
                <w:szCs w:val="24"/>
              </w:rPr>
              <w:t>内容</w:t>
            </w:r>
          </w:p>
          <w:p>
            <w:pPr>
              <w:adjustRightInd w:val="0"/>
              <w:snapToGrid w:val="0"/>
              <w:jc w:val="center"/>
              <w:rPr>
                <w:snapToGrid w:val="0"/>
                <w:kern w:val="21"/>
                <w:sz w:val="24"/>
                <w:szCs w:val="24"/>
              </w:rPr>
            </w:pPr>
            <w:r>
              <w:rPr>
                <w:snapToGrid w:val="0"/>
                <w:kern w:val="21"/>
                <w:sz w:val="24"/>
                <w:szCs w:val="24"/>
              </w:rPr>
              <w:t>类型</w:t>
            </w:r>
          </w:p>
        </w:tc>
        <w:tc>
          <w:tcPr>
            <w:tcW w:w="1270" w:type="dxa"/>
            <w:tcBorders>
              <w:tl2br w:val="nil"/>
              <w:tr2bl w:val="nil"/>
            </w:tcBorders>
            <w:vAlign w:val="center"/>
          </w:tcPr>
          <w:p>
            <w:pPr>
              <w:adjustRightInd w:val="0"/>
              <w:snapToGrid w:val="0"/>
              <w:jc w:val="center"/>
              <w:rPr>
                <w:snapToGrid w:val="0"/>
                <w:kern w:val="21"/>
                <w:sz w:val="24"/>
                <w:szCs w:val="24"/>
              </w:rPr>
            </w:pPr>
            <w:r>
              <w:rPr>
                <w:snapToGrid w:val="0"/>
                <w:kern w:val="21"/>
                <w:sz w:val="24"/>
                <w:szCs w:val="24"/>
              </w:rPr>
              <w:t>排放源</w:t>
            </w:r>
          </w:p>
          <w:p>
            <w:pPr>
              <w:adjustRightInd w:val="0"/>
              <w:snapToGrid w:val="0"/>
              <w:jc w:val="center"/>
              <w:rPr>
                <w:snapToGrid w:val="0"/>
                <w:kern w:val="21"/>
                <w:sz w:val="24"/>
                <w:szCs w:val="24"/>
              </w:rPr>
            </w:pPr>
            <w:r>
              <w:rPr>
                <w:snapToGrid w:val="0"/>
                <w:kern w:val="21"/>
                <w:sz w:val="24"/>
                <w:szCs w:val="24"/>
              </w:rPr>
              <w:t>（编号）</w:t>
            </w:r>
          </w:p>
        </w:tc>
        <w:tc>
          <w:tcPr>
            <w:tcW w:w="1515" w:type="dxa"/>
            <w:tcBorders>
              <w:tl2br w:val="nil"/>
              <w:tr2bl w:val="nil"/>
            </w:tcBorders>
            <w:vAlign w:val="center"/>
          </w:tcPr>
          <w:p>
            <w:pPr>
              <w:adjustRightInd w:val="0"/>
              <w:snapToGrid w:val="0"/>
              <w:jc w:val="center"/>
              <w:rPr>
                <w:snapToGrid w:val="0"/>
                <w:kern w:val="21"/>
                <w:sz w:val="24"/>
                <w:szCs w:val="24"/>
              </w:rPr>
            </w:pPr>
            <w:r>
              <w:rPr>
                <w:snapToGrid w:val="0"/>
                <w:kern w:val="21"/>
                <w:sz w:val="24"/>
                <w:szCs w:val="24"/>
              </w:rPr>
              <w:t>污染物</w:t>
            </w:r>
          </w:p>
          <w:p>
            <w:pPr>
              <w:adjustRightInd w:val="0"/>
              <w:snapToGrid w:val="0"/>
              <w:jc w:val="center"/>
              <w:rPr>
                <w:snapToGrid w:val="0"/>
                <w:kern w:val="21"/>
                <w:sz w:val="24"/>
                <w:szCs w:val="24"/>
              </w:rPr>
            </w:pPr>
            <w:r>
              <w:rPr>
                <w:snapToGrid w:val="0"/>
                <w:kern w:val="21"/>
                <w:sz w:val="24"/>
                <w:szCs w:val="24"/>
              </w:rPr>
              <w:t>名称</w:t>
            </w:r>
          </w:p>
        </w:tc>
        <w:tc>
          <w:tcPr>
            <w:tcW w:w="2685" w:type="dxa"/>
            <w:tcBorders>
              <w:tl2br w:val="nil"/>
              <w:tr2bl w:val="nil"/>
            </w:tcBorders>
            <w:vAlign w:val="center"/>
          </w:tcPr>
          <w:p>
            <w:pPr>
              <w:adjustRightInd w:val="0"/>
              <w:snapToGrid w:val="0"/>
              <w:jc w:val="center"/>
              <w:rPr>
                <w:snapToGrid w:val="0"/>
                <w:kern w:val="21"/>
                <w:sz w:val="24"/>
                <w:szCs w:val="24"/>
              </w:rPr>
            </w:pPr>
            <w:r>
              <w:rPr>
                <w:snapToGrid w:val="0"/>
                <w:kern w:val="21"/>
                <w:sz w:val="24"/>
                <w:szCs w:val="24"/>
              </w:rPr>
              <w:t>处理前产生浓度及产生量</w:t>
            </w:r>
          </w:p>
        </w:tc>
        <w:tc>
          <w:tcPr>
            <w:tcW w:w="2687" w:type="dxa"/>
            <w:tcBorders>
              <w:tl2br w:val="nil"/>
              <w:tr2bl w:val="nil"/>
            </w:tcBorders>
            <w:vAlign w:val="center"/>
          </w:tcPr>
          <w:p>
            <w:pPr>
              <w:adjustRightInd w:val="0"/>
              <w:snapToGrid w:val="0"/>
              <w:jc w:val="center"/>
              <w:rPr>
                <w:snapToGrid w:val="0"/>
                <w:kern w:val="21"/>
                <w:sz w:val="24"/>
                <w:szCs w:val="24"/>
              </w:rPr>
            </w:pPr>
            <w:r>
              <w:rPr>
                <w:snapToGrid w:val="0"/>
                <w:kern w:val="21"/>
                <w:sz w:val="24"/>
                <w:szCs w:val="24"/>
              </w:rPr>
              <w:t>处理后排放浓度及排放量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23" w:type="dxa"/>
            <w:vMerge w:val="restart"/>
            <w:tcBorders>
              <w:tl2br w:val="nil"/>
              <w:tr2bl w:val="nil"/>
            </w:tcBorders>
            <w:textDirection w:val="tbRlV"/>
            <w:vAlign w:val="center"/>
          </w:tcPr>
          <w:p>
            <w:pPr>
              <w:adjustRightInd w:val="0"/>
              <w:snapToGrid w:val="0"/>
              <w:jc w:val="center"/>
              <w:rPr>
                <w:snapToGrid w:val="0"/>
                <w:kern w:val="21"/>
                <w:sz w:val="24"/>
                <w:szCs w:val="24"/>
              </w:rPr>
            </w:pPr>
            <w:r>
              <w:rPr>
                <w:rFonts w:hint="eastAsia"/>
                <w:snapToGrid w:val="0"/>
                <w:kern w:val="21"/>
                <w:sz w:val="24"/>
                <w:szCs w:val="24"/>
              </w:rPr>
              <w:t>大气污染物</w:t>
            </w:r>
          </w:p>
        </w:tc>
        <w:tc>
          <w:tcPr>
            <w:tcW w:w="1270" w:type="dxa"/>
            <w:vMerge w:val="restart"/>
            <w:tcBorders>
              <w:tl2br w:val="nil"/>
              <w:tr2bl w:val="nil"/>
            </w:tcBorders>
            <w:vAlign w:val="center"/>
          </w:tcPr>
          <w:p>
            <w:pPr>
              <w:widowControl/>
              <w:adjustRightInd w:val="0"/>
              <w:snapToGrid w:val="0"/>
              <w:jc w:val="center"/>
              <w:rPr>
                <w:rFonts w:hint="default" w:eastAsia="宋体"/>
                <w:snapToGrid w:val="0"/>
                <w:kern w:val="21"/>
                <w:sz w:val="24"/>
                <w:szCs w:val="24"/>
                <w:lang w:val="en-US" w:eastAsia="zh-CN"/>
              </w:rPr>
            </w:pPr>
            <w:r>
              <w:rPr>
                <w:rFonts w:hint="eastAsia"/>
                <w:sz w:val="24"/>
                <w:szCs w:val="24"/>
              </w:rPr>
              <w:t>注塑、吹塑</w:t>
            </w:r>
            <w:r>
              <w:rPr>
                <w:rFonts w:hint="eastAsia"/>
                <w:sz w:val="24"/>
                <w:szCs w:val="24"/>
                <w:lang w:val="en-US" w:eastAsia="zh-CN"/>
              </w:rPr>
              <w:t>(P1排放口）</w:t>
            </w:r>
          </w:p>
        </w:tc>
        <w:tc>
          <w:tcPr>
            <w:tcW w:w="1515" w:type="dxa"/>
            <w:tcBorders>
              <w:bottom w:val="single" w:color="auto" w:sz="4" w:space="0"/>
              <w:tl2br w:val="nil"/>
              <w:tr2bl w:val="nil"/>
            </w:tcBorders>
            <w:vAlign w:val="center"/>
          </w:tcPr>
          <w:p>
            <w:pPr>
              <w:widowControl/>
              <w:adjustRightInd w:val="0"/>
              <w:snapToGrid w:val="0"/>
              <w:jc w:val="center"/>
              <w:rPr>
                <w:sz w:val="24"/>
                <w:szCs w:val="24"/>
              </w:rPr>
            </w:pPr>
            <w:r>
              <w:rPr>
                <w:rFonts w:hint="eastAsia"/>
                <w:sz w:val="24"/>
                <w:szCs w:val="24"/>
              </w:rPr>
              <w:t>非甲烷总烃</w:t>
            </w:r>
            <w:r>
              <w:rPr>
                <w:rFonts w:hint="eastAsia"/>
                <w:snapToGrid w:val="0"/>
                <w:kern w:val="21"/>
                <w:sz w:val="24"/>
                <w:szCs w:val="24"/>
              </w:rPr>
              <w:t>（有组织）</w:t>
            </w:r>
          </w:p>
        </w:tc>
        <w:tc>
          <w:tcPr>
            <w:tcW w:w="2685" w:type="dxa"/>
            <w:tcBorders>
              <w:bottom w:val="single" w:color="auto" w:sz="4" w:space="0"/>
              <w:tl2br w:val="nil"/>
              <w:tr2bl w:val="nil"/>
            </w:tcBorders>
            <w:vAlign w:val="center"/>
          </w:tcPr>
          <w:p>
            <w:pPr>
              <w:widowControl/>
              <w:adjustRightInd w:val="0"/>
              <w:snapToGrid w:val="0"/>
              <w:jc w:val="center"/>
              <w:rPr>
                <w:snapToGrid w:val="0"/>
                <w:color w:val="000000" w:themeColor="text1"/>
                <w:kern w:val="2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1.6</w:t>
            </w:r>
            <w:r>
              <w:rPr>
                <w:color w:val="000000" w:themeColor="text1"/>
                <w:sz w:val="24"/>
                <w:szCs w:val="24"/>
                <w14:textFill>
                  <w14:solidFill>
                    <w14:schemeClr w14:val="tx1"/>
                  </w14:solidFill>
                </w14:textFill>
              </w:rPr>
              <w:t>mg/m</w:t>
            </w:r>
            <w:r>
              <w:rPr>
                <w:color w:val="000000" w:themeColor="text1"/>
                <w:sz w:val="24"/>
                <w:szCs w:val="24"/>
                <w:vertAlign w:val="superscript"/>
                <w14:textFill>
                  <w14:solidFill>
                    <w14:schemeClr w14:val="tx1"/>
                  </w14:solidFill>
                </w14:textFill>
              </w:rPr>
              <w:t>3</w:t>
            </w:r>
            <w:r>
              <w:rPr>
                <w:rFonts w:hint="eastAsia"/>
                <w:snapToGrid w:val="0"/>
                <w:color w:val="000000" w:themeColor="text1"/>
                <w:kern w:val="2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0.0</w:t>
            </w:r>
            <w:r>
              <w:rPr>
                <w:rFonts w:hint="eastAsia"/>
                <w:color w:val="000000" w:themeColor="text1"/>
                <w:sz w:val="24"/>
                <w:szCs w:val="24"/>
                <w:lang w:val="en-US" w:eastAsia="zh-CN"/>
                <w14:textFill>
                  <w14:solidFill>
                    <w14:schemeClr w14:val="tx1"/>
                  </w14:solidFill>
                </w14:textFill>
              </w:rPr>
              <w:t xml:space="preserve">24 </w:t>
            </w:r>
            <w:r>
              <w:rPr>
                <w:rFonts w:hint="eastAsia"/>
                <w:color w:val="000000" w:themeColor="text1"/>
                <w:sz w:val="24"/>
                <w:szCs w:val="24"/>
                <w14:textFill>
                  <w14:solidFill>
                    <w14:schemeClr w14:val="tx1"/>
                  </w14:solidFill>
                </w14:textFill>
              </w:rPr>
              <w:t>t/a</w:t>
            </w:r>
          </w:p>
        </w:tc>
        <w:tc>
          <w:tcPr>
            <w:tcW w:w="2687" w:type="dxa"/>
            <w:tcBorders>
              <w:tl2br w:val="nil"/>
              <w:tr2bl w:val="nil"/>
            </w:tcBorders>
            <w:vAlign w:val="center"/>
          </w:tcPr>
          <w:p>
            <w:pPr>
              <w:widowControl/>
              <w:adjustRightInd w:val="0"/>
              <w:snapToGrid w:val="0"/>
              <w:jc w:val="center"/>
              <w:rPr>
                <w:snapToGrid w:val="0"/>
                <w:color w:val="000000" w:themeColor="text1"/>
                <w:kern w:val="2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0.32</w:t>
            </w:r>
            <w:r>
              <w:rPr>
                <w:rFonts w:hint="eastAsia"/>
                <w:color w:val="000000" w:themeColor="text1"/>
                <w:sz w:val="24"/>
                <w:szCs w:val="24"/>
                <w14:textFill>
                  <w14:solidFill>
                    <w14:schemeClr w14:val="tx1"/>
                  </w14:solidFill>
                </w14:textFill>
              </w:rPr>
              <w:t>mg/m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、0.00</w:t>
            </w:r>
            <w:r>
              <w:rPr>
                <w:rFonts w:hint="eastAsia"/>
                <w:color w:val="000000" w:themeColor="text1"/>
                <w:sz w:val="24"/>
                <w:szCs w:val="24"/>
                <w:lang w:val="en-US" w:eastAsia="zh-CN"/>
                <w14:textFill>
                  <w14:solidFill>
                    <w14:schemeClr w14:val="tx1"/>
                  </w14:solidFill>
                </w14:textFill>
              </w:rPr>
              <w:t>48</w:t>
            </w:r>
            <w:r>
              <w:rPr>
                <w:rFonts w:hint="eastAsia"/>
                <w:color w:val="000000" w:themeColor="text1"/>
                <w:sz w:val="24"/>
                <w:szCs w:val="24"/>
                <w14:textFill>
                  <w14:solidFill>
                    <w14:schemeClr w14:val="tx1"/>
                  </w14:solidFill>
                </w14:textFill>
              </w:rPr>
              <w:t>t/a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23" w:type="dxa"/>
            <w:vMerge w:val="continue"/>
            <w:tcBorders>
              <w:tl2br w:val="nil"/>
              <w:tr2bl w:val="nil"/>
            </w:tcBorders>
            <w:textDirection w:val="tbRlV"/>
            <w:vAlign w:val="center"/>
          </w:tcPr>
          <w:p>
            <w:pPr>
              <w:adjustRightInd w:val="0"/>
              <w:snapToGrid w:val="0"/>
              <w:jc w:val="center"/>
              <w:rPr>
                <w:snapToGrid w:val="0"/>
                <w:kern w:val="21"/>
                <w:sz w:val="24"/>
                <w:szCs w:val="24"/>
              </w:rPr>
            </w:pPr>
          </w:p>
        </w:tc>
        <w:tc>
          <w:tcPr>
            <w:tcW w:w="1270" w:type="dxa"/>
            <w:vMerge w:val="continue"/>
            <w:tcBorders>
              <w:bottom w:val="single" w:color="auto" w:sz="4" w:space="0"/>
              <w:tl2br w:val="nil"/>
              <w:tr2bl w:val="nil"/>
            </w:tcBorders>
            <w:vAlign w:val="center"/>
          </w:tcPr>
          <w:p>
            <w:pPr>
              <w:widowControl/>
              <w:adjustRightInd w:val="0"/>
              <w:snapToGrid w:val="0"/>
              <w:jc w:val="center"/>
              <w:rPr>
                <w:sz w:val="24"/>
                <w:szCs w:val="24"/>
              </w:rPr>
            </w:pPr>
          </w:p>
        </w:tc>
        <w:tc>
          <w:tcPr>
            <w:tcW w:w="1515" w:type="dxa"/>
            <w:tcBorders>
              <w:bottom w:val="single" w:color="auto" w:sz="4" w:space="0"/>
              <w:tl2br w:val="nil"/>
              <w:tr2bl w:val="nil"/>
            </w:tcBorders>
            <w:vAlign w:val="center"/>
          </w:tcPr>
          <w:p>
            <w:pPr>
              <w:widowControl/>
              <w:adjustRightInd w:val="0"/>
              <w:snapToGrid w:val="0"/>
              <w:jc w:val="center"/>
              <w:rPr>
                <w:sz w:val="24"/>
                <w:szCs w:val="24"/>
              </w:rPr>
            </w:pPr>
            <w:r>
              <w:rPr>
                <w:rFonts w:hint="eastAsia"/>
                <w:sz w:val="24"/>
                <w:szCs w:val="24"/>
              </w:rPr>
              <w:t>非甲烷总烃（无组织）</w:t>
            </w:r>
          </w:p>
        </w:tc>
        <w:tc>
          <w:tcPr>
            <w:tcW w:w="2685" w:type="dxa"/>
            <w:tcBorders>
              <w:bottom w:val="single" w:color="auto" w:sz="4" w:space="0"/>
              <w:tl2br w:val="nil"/>
              <w:tr2bl w:val="nil"/>
            </w:tcBorders>
            <w:vAlign w:val="center"/>
          </w:tcPr>
          <w:p>
            <w:pPr>
              <w:widowControl/>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0.00</w:t>
            </w:r>
            <w:r>
              <w:rPr>
                <w:rFonts w:hint="eastAsia"/>
                <w:color w:val="000000" w:themeColor="text1"/>
                <w:sz w:val="24"/>
                <w:szCs w:val="24"/>
                <w:lang w:val="en-US" w:eastAsia="zh-CN"/>
                <w14:textFill>
                  <w14:solidFill>
                    <w14:schemeClr w14:val="tx1"/>
                  </w14:solidFill>
                </w14:textFill>
              </w:rPr>
              <w:t xml:space="preserve">24 </w:t>
            </w:r>
            <w:r>
              <w:rPr>
                <w:rFonts w:hint="eastAsia"/>
                <w:color w:val="000000" w:themeColor="text1"/>
                <w:sz w:val="24"/>
                <w:szCs w:val="24"/>
                <w14:textFill>
                  <w14:solidFill>
                    <w14:schemeClr w14:val="tx1"/>
                  </w14:solidFill>
                </w14:textFill>
              </w:rPr>
              <w:t>t/a</w:t>
            </w:r>
          </w:p>
        </w:tc>
        <w:tc>
          <w:tcPr>
            <w:tcW w:w="2687" w:type="dxa"/>
            <w:tcBorders>
              <w:tl2br w:val="nil"/>
              <w:tr2bl w:val="nil"/>
            </w:tcBorders>
            <w:vAlign w:val="center"/>
          </w:tcPr>
          <w:p>
            <w:pPr>
              <w:widowControl/>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0.00</w:t>
            </w:r>
            <w:r>
              <w:rPr>
                <w:rFonts w:hint="eastAsia"/>
                <w:color w:val="000000" w:themeColor="text1"/>
                <w:sz w:val="24"/>
                <w:szCs w:val="24"/>
                <w:lang w:val="en-US" w:eastAsia="zh-CN"/>
                <w14:textFill>
                  <w14:solidFill>
                    <w14:schemeClr w14:val="tx1"/>
                  </w14:solidFill>
                </w14:textFill>
              </w:rPr>
              <w:t xml:space="preserve">24 </w:t>
            </w:r>
            <w:r>
              <w:rPr>
                <w:rFonts w:hint="eastAsia"/>
                <w:color w:val="000000" w:themeColor="text1"/>
                <w:sz w:val="24"/>
                <w:szCs w:val="24"/>
                <w14:textFill>
                  <w14:solidFill>
                    <w14:schemeClr w14:val="tx1"/>
                  </w14:solidFill>
                </w14:textFill>
              </w:rPr>
              <w:t>t/a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23" w:type="dxa"/>
            <w:vMerge w:val="continue"/>
            <w:tcBorders>
              <w:tl2br w:val="nil"/>
              <w:tr2bl w:val="nil"/>
            </w:tcBorders>
            <w:textDirection w:val="tbRlV"/>
            <w:vAlign w:val="center"/>
          </w:tcPr>
          <w:p>
            <w:pPr>
              <w:adjustRightInd w:val="0"/>
              <w:snapToGrid w:val="0"/>
              <w:jc w:val="center"/>
              <w:rPr>
                <w:snapToGrid w:val="0"/>
                <w:kern w:val="21"/>
                <w:sz w:val="24"/>
                <w:szCs w:val="24"/>
              </w:rPr>
            </w:pPr>
          </w:p>
        </w:tc>
        <w:tc>
          <w:tcPr>
            <w:tcW w:w="1270" w:type="dxa"/>
            <w:vMerge w:val="restart"/>
            <w:tcBorders>
              <w:tl2br w:val="nil"/>
              <w:tr2bl w:val="nil"/>
            </w:tcBorders>
            <w:vAlign w:val="center"/>
          </w:tcPr>
          <w:p>
            <w:pPr>
              <w:widowControl/>
              <w:adjustRightInd w:val="0"/>
              <w:snapToGrid w:val="0"/>
              <w:jc w:val="center"/>
              <w:rPr>
                <w:rFonts w:hint="eastAsia" w:eastAsia="宋体"/>
                <w:sz w:val="24"/>
                <w:szCs w:val="24"/>
                <w:lang w:eastAsia="zh-CN"/>
              </w:rPr>
            </w:pPr>
            <w:r>
              <w:rPr>
                <w:rFonts w:hint="eastAsia"/>
                <w:sz w:val="24"/>
                <w:szCs w:val="24"/>
              </w:rPr>
              <w:t>破碎</w:t>
            </w:r>
            <w:r>
              <w:rPr>
                <w:rFonts w:hint="eastAsia"/>
                <w:sz w:val="24"/>
                <w:szCs w:val="24"/>
                <w:lang w:eastAsia="zh-CN"/>
              </w:rPr>
              <w:t>（</w:t>
            </w:r>
            <w:r>
              <w:rPr>
                <w:rFonts w:hint="eastAsia"/>
                <w:sz w:val="24"/>
                <w:szCs w:val="24"/>
                <w:lang w:val="en-US" w:eastAsia="zh-CN"/>
              </w:rPr>
              <w:t>P2排放口</w:t>
            </w:r>
            <w:r>
              <w:rPr>
                <w:rFonts w:hint="eastAsia"/>
                <w:sz w:val="24"/>
                <w:szCs w:val="24"/>
                <w:lang w:eastAsia="zh-CN"/>
              </w:rPr>
              <w:t>）</w:t>
            </w:r>
          </w:p>
        </w:tc>
        <w:tc>
          <w:tcPr>
            <w:tcW w:w="1515" w:type="dxa"/>
            <w:tcBorders>
              <w:bottom w:val="single" w:color="auto" w:sz="4" w:space="0"/>
              <w:tl2br w:val="nil"/>
              <w:tr2bl w:val="nil"/>
            </w:tcBorders>
            <w:vAlign w:val="center"/>
          </w:tcPr>
          <w:p>
            <w:pPr>
              <w:widowControl/>
              <w:adjustRightInd w:val="0"/>
              <w:snapToGrid w:val="0"/>
              <w:jc w:val="center"/>
              <w:rPr>
                <w:sz w:val="24"/>
                <w:szCs w:val="24"/>
              </w:rPr>
            </w:pPr>
            <w:r>
              <w:rPr>
                <w:rFonts w:hint="eastAsia"/>
                <w:sz w:val="24"/>
                <w:szCs w:val="24"/>
              </w:rPr>
              <w:t>颗粒物（有组织）</w:t>
            </w:r>
          </w:p>
        </w:tc>
        <w:tc>
          <w:tcPr>
            <w:tcW w:w="2685" w:type="dxa"/>
            <w:tcBorders>
              <w:bottom w:val="single" w:color="auto" w:sz="4" w:space="0"/>
              <w:tl2br w:val="nil"/>
              <w:tr2bl w:val="nil"/>
            </w:tcBorders>
            <w:vAlign w:val="center"/>
          </w:tcPr>
          <w:p>
            <w:pPr>
              <w:widowControl/>
              <w:adjustRightInd w:val="0"/>
              <w:snapToGrid w:val="0"/>
              <w:jc w:val="center"/>
              <w:rPr>
                <w:color w:val="auto"/>
                <w:sz w:val="24"/>
                <w:szCs w:val="24"/>
              </w:rPr>
            </w:pPr>
            <w:r>
              <w:rPr>
                <w:rFonts w:hint="eastAsia"/>
                <w:color w:val="auto"/>
                <w:sz w:val="24"/>
                <w:szCs w:val="24"/>
                <w:lang w:val="en-US" w:eastAsia="zh-CN"/>
              </w:rPr>
              <w:t xml:space="preserve">96 </w:t>
            </w:r>
            <w:r>
              <w:rPr>
                <w:color w:val="auto"/>
                <w:sz w:val="24"/>
                <w:szCs w:val="24"/>
              </w:rPr>
              <w:t>mg/m</w:t>
            </w:r>
            <w:r>
              <w:rPr>
                <w:color w:val="auto"/>
                <w:sz w:val="24"/>
                <w:szCs w:val="24"/>
                <w:vertAlign w:val="superscript"/>
              </w:rPr>
              <w:t>3</w:t>
            </w:r>
            <w:r>
              <w:rPr>
                <w:rFonts w:hint="eastAsia"/>
                <w:snapToGrid w:val="0"/>
                <w:color w:val="auto"/>
                <w:kern w:val="21"/>
                <w:sz w:val="24"/>
                <w:szCs w:val="24"/>
              </w:rPr>
              <w:t>、</w:t>
            </w:r>
            <w:r>
              <w:rPr>
                <w:rFonts w:hint="eastAsia"/>
                <w:color w:val="auto"/>
                <w:sz w:val="24"/>
                <w:szCs w:val="24"/>
              </w:rPr>
              <w:t>0.0</w:t>
            </w:r>
            <w:r>
              <w:rPr>
                <w:rFonts w:hint="eastAsia"/>
                <w:color w:val="auto"/>
                <w:sz w:val="24"/>
                <w:szCs w:val="24"/>
                <w:lang w:val="en-US" w:eastAsia="zh-CN"/>
              </w:rPr>
              <w:t>72</w:t>
            </w:r>
            <w:r>
              <w:rPr>
                <w:rFonts w:hint="eastAsia"/>
                <w:color w:val="auto"/>
                <w:sz w:val="24"/>
                <w:szCs w:val="24"/>
              </w:rPr>
              <w:t>t/a</w:t>
            </w:r>
          </w:p>
        </w:tc>
        <w:tc>
          <w:tcPr>
            <w:tcW w:w="2687" w:type="dxa"/>
            <w:tcBorders>
              <w:tl2br w:val="nil"/>
              <w:tr2bl w:val="nil"/>
            </w:tcBorders>
            <w:vAlign w:val="center"/>
          </w:tcPr>
          <w:p>
            <w:pPr>
              <w:widowControl/>
              <w:adjustRightInd w:val="0"/>
              <w:snapToGrid w:val="0"/>
              <w:jc w:val="center"/>
              <w:rPr>
                <w:color w:val="auto"/>
                <w:sz w:val="24"/>
                <w:szCs w:val="24"/>
              </w:rPr>
            </w:pPr>
            <w:r>
              <w:rPr>
                <w:rFonts w:hint="eastAsia"/>
                <w:color w:val="auto"/>
                <w:sz w:val="24"/>
                <w:szCs w:val="24"/>
                <w:lang w:val="en-US" w:eastAsia="zh-CN"/>
              </w:rPr>
              <w:t xml:space="preserve">9.6 </w:t>
            </w:r>
            <w:r>
              <w:rPr>
                <w:rFonts w:hint="eastAsia"/>
                <w:color w:val="auto"/>
                <w:sz w:val="24"/>
                <w:szCs w:val="24"/>
              </w:rPr>
              <w:t>mg/m</w:t>
            </w:r>
            <w:r>
              <w:rPr>
                <w:rFonts w:hint="eastAsia"/>
                <w:color w:val="auto"/>
                <w:sz w:val="24"/>
                <w:szCs w:val="24"/>
                <w:vertAlign w:val="superscript"/>
              </w:rPr>
              <w:t>3</w:t>
            </w:r>
            <w:r>
              <w:rPr>
                <w:rFonts w:hint="eastAsia"/>
                <w:color w:val="auto"/>
                <w:sz w:val="24"/>
                <w:szCs w:val="24"/>
              </w:rPr>
              <w:t>、0.0</w:t>
            </w:r>
            <w:r>
              <w:rPr>
                <w:rFonts w:hint="eastAsia"/>
                <w:color w:val="auto"/>
                <w:sz w:val="24"/>
                <w:szCs w:val="24"/>
                <w:lang w:val="en-US" w:eastAsia="zh-CN"/>
              </w:rPr>
              <w:t>072</w:t>
            </w:r>
            <w:r>
              <w:rPr>
                <w:rFonts w:hint="eastAsia"/>
                <w:color w:val="auto"/>
                <w:sz w:val="24"/>
                <w:szCs w:val="24"/>
              </w:rPr>
              <w:t>t/a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709" w:hRule="atLeast"/>
          <w:jc w:val="center"/>
        </w:trPr>
        <w:tc>
          <w:tcPr>
            <w:tcW w:w="923" w:type="dxa"/>
            <w:vMerge w:val="continue"/>
            <w:tcBorders>
              <w:tl2br w:val="nil"/>
              <w:tr2bl w:val="nil"/>
            </w:tcBorders>
            <w:textDirection w:val="tbRlV"/>
            <w:vAlign w:val="center"/>
          </w:tcPr>
          <w:p>
            <w:pPr>
              <w:adjustRightInd w:val="0"/>
              <w:snapToGrid w:val="0"/>
              <w:jc w:val="center"/>
              <w:rPr>
                <w:snapToGrid w:val="0"/>
                <w:kern w:val="21"/>
                <w:sz w:val="24"/>
                <w:szCs w:val="24"/>
              </w:rPr>
            </w:pPr>
          </w:p>
        </w:tc>
        <w:tc>
          <w:tcPr>
            <w:tcW w:w="1270" w:type="dxa"/>
            <w:vMerge w:val="continue"/>
            <w:tcBorders>
              <w:tl2br w:val="nil"/>
              <w:tr2bl w:val="nil"/>
            </w:tcBorders>
            <w:vAlign w:val="center"/>
          </w:tcPr>
          <w:p>
            <w:pPr>
              <w:widowControl/>
              <w:adjustRightInd w:val="0"/>
              <w:snapToGrid w:val="0"/>
              <w:jc w:val="center"/>
              <w:rPr>
                <w:sz w:val="24"/>
                <w:szCs w:val="24"/>
              </w:rPr>
            </w:pPr>
          </w:p>
        </w:tc>
        <w:tc>
          <w:tcPr>
            <w:tcW w:w="1515" w:type="dxa"/>
            <w:tcBorders>
              <w:tl2br w:val="nil"/>
              <w:tr2bl w:val="nil"/>
            </w:tcBorders>
            <w:vAlign w:val="center"/>
          </w:tcPr>
          <w:p>
            <w:pPr>
              <w:widowControl/>
              <w:adjustRightInd w:val="0"/>
              <w:snapToGrid w:val="0"/>
              <w:jc w:val="center"/>
              <w:rPr>
                <w:sz w:val="24"/>
                <w:szCs w:val="24"/>
              </w:rPr>
            </w:pPr>
            <w:r>
              <w:rPr>
                <w:rFonts w:hint="eastAsia"/>
                <w:sz w:val="24"/>
                <w:szCs w:val="24"/>
              </w:rPr>
              <w:t>颗粒物（无组织）</w:t>
            </w:r>
          </w:p>
        </w:tc>
        <w:tc>
          <w:tcPr>
            <w:tcW w:w="2685" w:type="dxa"/>
            <w:tcBorders>
              <w:tl2br w:val="nil"/>
              <w:tr2bl w:val="nil"/>
            </w:tcBorders>
            <w:vAlign w:val="center"/>
          </w:tcPr>
          <w:p>
            <w:pPr>
              <w:widowControl/>
              <w:adjustRightInd w:val="0"/>
              <w:snapToGrid w:val="0"/>
              <w:jc w:val="center"/>
              <w:rPr>
                <w:color w:val="auto"/>
                <w:sz w:val="24"/>
                <w:szCs w:val="24"/>
              </w:rPr>
            </w:pPr>
            <w:r>
              <w:rPr>
                <w:rFonts w:hint="eastAsia"/>
                <w:color w:val="auto"/>
                <w:sz w:val="24"/>
                <w:szCs w:val="24"/>
              </w:rPr>
              <w:t>0.0</w:t>
            </w:r>
            <w:r>
              <w:rPr>
                <w:rFonts w:hint="eastAsia"/>
                <w:color w:val="auto"/>
                <w:sz w:val="24"/>
                <w:szCs w:val="24"/>
                <w:lang w:val="en-US" w:eastAsia="zh-CN"/>
              </w:rPr>
              <w:t xml:space="preserve">08 </w:t>
            </w:r>
            <w:r>
              <w:rPr>
                <w:rFonts w:hint="eastAsia"/>
                <w:color w:val="auto"/>
                <w:sz w:val="24"/>
                <w:szCs w:val="24"/>
              </w:rPr>
              <w:t>t/a</w:t>
            </w:r>
          </w:p>
        </w:tc>
        <w:tc>
          <w:tcPr>
            <w:tcW w:w="2687" w:type="dxa"/>
            <w:tcBorders>
              <w:tl2br w:val="nil"/>
              <w:tr2bl w:val="nil"/>
            </w:tcBorders>
            <w:vAlign w:val="center"/>
          </w:tcPr>
          <w:p>
            <w:pPr>
              <w:widowControl/>
              <w:adjustRightInd w:val="0"/>
              <w:snapToGrid w:val="0"/>
              <w:jc w:val="center"/>
              <w:rPr>
                <w:color w:val="auto"/>
                <w:sz w:val="24"/>
                <w:szCs w:val="24"/>
              </w:rPr>
            </w:pPr>
            <w:r>
              <w:rPr>
                <w:rFonts w:hint="eastAsia"/>
                <w:color w:val="auto"/>
                <w:sz w:val="24"/>
                <w:szCs w:val="24"/>
              </w:rPr>
              <w:t>0.0</w:t>
            </w:r>
            <w:r>
              <w:rPr>
                <w:rFonts w:hint="eastAsia"/>
                <w:color w:val="auto"/>
                <w:sz w:val="24"/>
                <w:szCs w:val="24"/>
                <w:lang w:val="en-US" w:eastAsia="zh-CN"/>
              </w:rPr>
              <w:t xml:space="preserve">08 </w:t>
            </w:r>
            <w:r>
              <w:rPr>
                <w:rFonts w:hint="eastAsia"/>
                <w:color w:val="auto"/>
                <w:sz w:val="24"/>
                <w:szCs w:val="24"/>
              </w:rPr>
              <w:t>t/a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23" w:type="dxa"/>
            <w:vMerge w:val="restart"/>
            <w:tcBorders>
              <w:tl2br w:val="nil"/>
              <w:tr2bl w:val="nil"/>
            </w:tcBorders>
            <w:textDirection w:val="tbRlV"/>
            <w:vAlign w:val="center"/>
          </w:tcPr>
          <w:p>
            <w:pPr>
              <w:adjustRightInd w:val="0"/>
              <w:snapToGrid w:val="0"/>
              <w:jc w:val="center"/>
              <w:rPr>
                <w:snapToGrid w:val="0"/>
                <w:kern w:val="21"/>
                <w:sz w:val="24"/>
                <w:szCs w:val="24"/>
              </w:rPr>
            </w:pPr>
            <w:r>
              <w:rPr>
                <w:snapToGrid w:val="0"/>
                <w:kern w:val="21"/>
                <w:sz w:val="24"/>
                <w:szCs w:val="24"/>
              </w:rPr>
              <w:t>水 污 染 物</w:t>
            </w:r>
          </w:p>
        </w:tc>
        <w:tc>
          <w:tcPr>
            <w:tcW w:w="1270" w:type="dxa"/>
            <w:vMerge w:val="restart"/>
            <w:tcBorders>
              <w:tl2br w:val="nil"/>
              <w:tr2bl w:val="nil"/>
            </w:tcBorders>
            <w:vAlign w:val="center"/>
          </w:tcPr>
          <w:p>
            <w:pPr>
              <w:adjustRightInd w:val="0"/>
              <w:snapToGrid w:val="0"/>
              <w:jc w:val="center"/>
              <w:rPr>
                <w:snapToGrid w:val="0"/>
                <w:kern w:val="21"/>
                <w:sz w:val="24"/>
                <w:szCs w:val="24"/>
              </w:rPr>
            </w:pPr>
            <w:r>
              <w:rPr>
                <w:snapToGrid w:val="0"/>
                <w:kern w:val="21"/>
                <w:sz w:val="24"/>
                <w:szCs w:val="24"/>
              </w:rPr>
              <w:t>生活污水</w:t>
            </w:r>
          </w:p>
          <w:p>
            <w:pPr>
              <w:adjustRightInd w:val="0"/>
              <w:snapToGrid w:val="0"/>
              <w:jc w:val="center"/>
              <w:rPr>
                <w:snapToGrid w:val="0"/>
                <w:kern w:val="21"/>
                <w:sz w:val="24"/>
                <w:szCs w:val="24"/>
              </w:rPr>
            </w:pPr>
            <w:r>
              <w:rPr>
                <w:snapToGrid w:val="0"/>
                <w:kern w:val="21"/>
                <w:sz w:val="24"/>
                <w:szCs w:val="24"/>
              </w:rPr>
              <w:t>（</w:t>
            </w:r>
            <w:r>
              <w:rPr>
                <w:rFonts w:hint="eastAsia"/>
                <w:snapToGrid w:val="0"/>
                <w:kern w:val="21"/>
                <w:sz w:val="24"/>
                <w:szCs w:val="24"/>
                <w:lang w:val="en-US" w:eastAsia="zh-CN"/>
              </w:rPr>
              <w:t>7</w:t>
            </w:r>
            <w:r>
              <w:rPr>
                <w:rFonts w:hint="eastAsia"/>
                <w:snapToGrid w:val="0"/>
                <w:color w:val="000000" w:themeColor="text1"/>
                <w:kern w:val="21"/>
                <w:sz w:val="24"/>
                <w:szCs w:val="24"/>
                <w:lang w:val="en-US" w:eastAsia="zh-CN"/>
                <w14:textFill>
                  <w14:solidFill>
                    <w14:schemeClr w14:val="tx1"/>
                  </w14:solidFill>
                </w14:textFill>
              </w:rPr>
              <w:t>6.8</w:t>
            </w:r>
            <w:r>
              <w:rPr>
                <w:rFonts w:hint="eastAsia"/>
                <w:snapToGrid w:val="0"/>
                <w:kern w:val="21"/>
                <w:sz w:val="24"/>
                <w:szCs w:val="24"/>
              </w:rPr>
              <w:t>t</w:t>
            </w:r>
            <w:r>
              <w:rPr>
                <w:snapToGrid w:val="0"/>
                <w:kern w:val="21"/>
                <w:sz w:val="24"/>
                <w:szCs w:val="24"/>
              </w:rPr>
              <w:t>/a）</w:t>
            </w:r>
          </w:p>
        </w:tc>
        <w:tc>
          <w:tcPr>
            <w:tcW w:w="1515" w:type="dxa"/>
            <w:tcBorders>
              <w:tl2br w:val="nil"/>
              <w:tr2bl w:val="nil"/>
            </w:tcBorders>
            <w:vAlign w:val="center"/>
          </w:tcPr>
          <w:p>
            <w:pPr>
              <w:adjustRightInd w:val="0"/>
              <w:snapToGrid w:val="0"/>
              <w:jc w:val="center"/>
              <w:rPr>
                <w:snapToGrid w:val="0"/>
                <w:kern w:val="21"/>
                <w:sz w:val="24"/>
                <w:szCs w:val="24"/>
              </w:rPr>
            </w:pPr>
            <w:r>
              <w:rPr>
                <w:snapToGrid w:val="0"/>
                <w:kern w:val="21"/>
                <w:sz w:val="24"/>
                <w:szCs w:val="24"/>
              </w:rPr>
              <w:t>COD</w:t>
            </w:r>
          </w:p>
        </w:tc>
        <w:tc>
          <w:tcPr>
            <w:tcW w:w="2685" w:type="dxa"/>
            <w:tcBorders>
              <w:tl2br w:val="nil"/>
              <w:tr2bl w:val="nil"/>
            </w:tcBorders>
            <w:vAlign w:val="center"/>
          </w:tcPr>
          <w:p>
            <w:pPr>
              <w:adjustRightInd w:val="0"/>
              <w:snapToGrid w:val="0"/>
              <w:jc w:val="center"/>
              <w:rPr>
                <w:snapToGrid w:val="0"/>
                <w:color w:val="000000" w:themeColor="text1"/>
                <w:kern w:val="21"/>
                <w:sz w:val="24"/>
                <w:szCs w:val="24"/>
                <w14:textFill>
                  <w14:solidFill>
                    <w14:schemeClr w14:val="tx1"/>
                  </w14:solidFill>
                </w14:textFill>
              </w:rPr>
            </w:pPr>
            <w:r>
              <w:rPr>
                <w:snapToGrid w:val="0"/>
                <w:color w:val="000000" w:themeColor="text1"/>
                <w:kern w:val="21"/>
                <w:sz w:val="24"/>
                <w:szCs w:val="24"/>
                <w14:textFill>
                  <w14:solidFill>
                    <w14:schemeClr w14:val="tx1"/>
                  </w14:solidFill>
                </w14:textFill>
              </w:rPr>
              <w:t>300</w:t>
            </w:r>
            <w:r>
              <w:rPr>
                <w:rFonts w:hint="eastAsia"/>
                <w:snapToGrid w:val="0"/>
                <w:color w:val="000000" w:themeColor="text1"/>
                <w:kern w:val="21"/>
                <w:sz w:val="24"/>
                <w:szCs w:val="24"/>
                <w:lang w:val="en-US" w:eastAsia="zh-CN"/>
                <w14:textFill>
                  <w14:solidFill>
                    <w14:schemeClr w14:val="tx1"/>
                  </w14:solidFill>
                </w14:textFill>
              </w:rPr>
              <w:t xml:space="preserve"> </w:t>
            </w:r>
            <w:r>
              <w:rPr>
                <w:snapToGrid w:val="0"/>
                <w:color w:val="000000" w:themeColor="text1"/>
                <w:kern w:val="21"/>
                <w:sz w:val="24"/>
                <w:szCs w:val="24"/>
                <w14:textFill>
                  <w14:solidFill>
                    <w14:schemeClr w14:val="tx1"/>
                  </w14:solidFill>
                </w14:textFill>
              </w:rPr>
              <w:t>mg/L</w:t>
            </w:r>
            <w:r>
              <w:rPr>
                <w:rFonts w:hint="eastAsia"/>
                <w:snapToGrid w:val="0"/>
                <w:color w:val="000000" w:themeColor="text1"/>
                <w:kern w:val="2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0.0</w:t>
            </w:r>
            <w:r>
              <w:rPr>
                <w:rFonts w:hint="eastAsia"/>
                <w:color w:val="000000" w:themeColor="text1"/>
                <w:sz w:val="24"/>
                <w:szCs w:val="24"/>
                <w:lang w:val="en-US" w:eastAsia="zh-CN"/>
                <w14:textFill>
                  <w14:solidFill>
                    <w14:schemeClr w14:val="tx1"/>
                  </w14:solidFill>
                </w14:textFill>
              </w:rPr>
              <w:t xml:space="preserve">230 </w:t>
            </w:r>
            <w:r>
              <w:rPr>
                <w:rFonts w:hint="eastAsia"/>
                <w:color w:val="000000" w:themeColor="text1"/>
                <w:sz w:val="24"/>
                <w:szCs w:val="24"/>
                <w14:textFill>
                  <w14:solidFill>
                    <w14:schemeClr w14:val="tx1"/>
                  </w14:solidFill>
                </w14:textFill>
              </w:rPr>
              <w:t>t/a</w:t>
            </w:r>
          </w:p>
        </w:tc>
        <w:tc>
          <w:tcPr>
            <w:tcW w:w="2687" w:type="dxa"/>
            <w:tcBorders>
              <w:tl2br w:val="nil"/>
              <w:tr2bl w:val="nil"/>
            </w:tcBorders>
            <w:vAlign w:val="center"/>
          </w:tcPr>
          <w:p>
            <w:pPr>
              <w:adjustRightInd w:val="0"/>
              <w:snapToGrid w:val="0"/>
              <w:jc w:val="center"/>
              <w:rPr>
                <w:snapToGrid w:val="0"/>
                <w:color w:val="000000" w:themeColor="text1"/>
                <w:kern w:val="21"/>
                <w:sz w:val="24"/>
                <w:szCs w:val="24"/>
                <w14:textFill>
                  <w14:solidFill>
                    <w14:schemeClr w14:val="tx1"/>
                  </w14:solidFill>
                </w14:textFill>
              </w:rPr>
            </w:pPr>
            <w:r>
              <w:rPr>
                <w:snapToGrid w:val="0"/>
                <w:color w:val="000000" w:themeColor="text1"/>
                <w:kern w:val="0"/>
                <w:sz w:val="24"/>
                <w:szCs w:val="24"/>
                <w14:textFill>
                  <w14:solidFill>
                    <w14:schemeClr w14:val="tx1"/>
                  </w14:solidFill>
                </w14:textFill>
              </w:rPr>
              <w:t>2</w:t>
            </w:r>
            <w:r>
              <w:rPr>
                <w:rFonts w:hint="eastAsia"/>
                <w:snapToGrid w:val="0"/>
                <w:color w:val="000000" w:themeColor="text1"/>
                <w:kern w:val="0"/>
                <w:sz w:val="24"/>
                <w:szCs w:val="24"/>
                <w14:textFill>
                  <w14:solidFill>
                    <w14:schemeClr w14:val="tx1"/>
                  </w14:solidFill>
                </w14:textFill>
              </w:rPr>
              <w:t>55</w:t>
            </w:r>
            <w:r>
              <w:rPr>
                <w:snapToGrid w:val="0"/>
                <w:color w:val="000000" w:themeColor="text1"/>
                <w:kern w:val="0"/>
                <w:sz w:val="24"/>
                <w:szCs w:val="24"/>
                <w14:textFill>
                  <w14:solidFill>
                    <w14:schemeClr w14:val="tx1"/>
                  </w14:solidFill>
                </w14:textFill>
              </w:rPr>
              <w:t>mg/L</w:t>
            </w:r>
            <w:r>
              <w:rPr>
                <w:rFonts w:hint="eastAsia"/>
                <w:snapToGrid w:val="0"/>
                <w:color w:val="000000" w:themeColor="text1"/>
                <w:kern w:val="0"/>
                <w:sz w:val="24"/>
                <w:szCs w:val="24"/>
                <w14:textFill>
                  <w14:solidFill>
                    <w14:schemeClr w14:val="tx1"/>
                  </w14:solidFill>
                </w14:textFill>
              </w:rPr>
              <w:t xml:space="preserve"> 、 0.01</w:t>
            </w:r>
            <w:r>
              <w:rPr>
                <w:rFonts w:hint="eastAsia"/>
                <w:snapToGrid w:val="0"/>
                <w:color w:val="000000" w:themeColor="text1"/>
                <w:kern w:val="0"/>
                <w:sz w:val="24"/>
                <w:szCs w:val="24"/>
                <w:lang w:val="en-US" w:eastAsia="zh-CN"/>
                <w14:textFill>
                  <w14:solidFill>
                    <w14:schemeClr w14:val="tx1"/>
                  </w14:solidFill>
                </w14:textFill>
              </w:rPr>
              <w:t xml:space="preserve">96 </w:t>
            </w:r>
            <w:r>
              <w:rPr>
                <w:rFonts w:hint="eastAsia"/>
                <w:color w:val="000000" w:themeColor="text1"/>
                <w:sz w:val="24"/>
                <w:szCs w:val="24"/>
                <w14:textFill>
                  <w14:solidFill>
                    <w14:schemeClr w14:val="tx1"/>
                  </w14:solidFill>
                </w14:textFill>
              </w:rPr>
              <w:t>t/a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23" w:type="dxa"/>
            <w:vMerge w:val="continue"/>
            <w:tcBorders>
              <w:tl2br w:val="nil"/>
              <w:tr2bl w:val="nil"/>
            </w:tcBorders>
            <w:textDirection w:val="tbRlV"/>
            <w:vAlign w:val="center"/>
          </w:tcPr>
          <w:p>
            <w:pPr>
              <w:adjustRightInd w:val="0"/>
              <w:snapToGrid w:val="0"/>
              <w:jc w:val="center"/>
              <w:rPr>
                <w:snapToGrid w:val="0"/>
                <w:kern w:val="21"/>
                <w:sz w:val="24"/>
                <w:szCs w:val="24"/>
              </w:rPr>
            </w:pPr>
          </w:p>
        </w:tc>
        <w:tc>
          <w:tcPr>
            <w:tcW w:w="1270" w:type="dxa"/>
            <w:vMerge w:val="continue"/>
            <w:tcBorders>
              <w:tl2br w:val="nil"/>
              <w:tr2bl w:val="nil"/>
            </w:tcBorders>
            <w:vAlign w:val="center"/>
          </w:tcPr>
          <w:p>
            <w:pPr>
              <w:pStyle w:val="88"/>
              <w:widowControl w:val="0"/>
              <w:adjustRightInd w:val="0"/>
              <w:spacing w:line="240" w:lineRule="auto"/>
              <w:rPr>
                <w:rFonts w:eastAsia="宋体"/>
                <w:snapToGrid w:val="0"/>
                <w:kern w:val="21"/>
                <w:sz w:val="24"/>
                <w:szCs w:val="24"/>
              </w:rPr>
            </w:pPr>
          </w:p>
        </w:tc>
        <w:tc>
          <w:tcPr>
            <w:tcW w:w="1515" w:type="dxa"/>
            <w:tcBorders>
              <w:tl2br w:val="nil"/>
              <w:tr2bl w:val="nil"/>
            </w:tcBorders>
            <w:vAlign w:val="center"/>
          </w:tcPr>
          <w:p>
            <w:pPr>
              <w:adjustRightInd w:val="0"/>
              <w:snapToGrid w:val="0"/>
              <w:jc w:val="center"/>
              <w:rPr>
                <w:snapToGrid w:val="0"/>
                <w:kern w:val="21"/>
                <w:sz w:val="24"/>
                <w:szCs w:val="24"/>
              </w:rPr>
            </w:pPr>
            <w:r>
              <w:rPr>
                <w:snapToGrid w:val="0"/>
                <w:kern w:val="21"/>
                <w:sz w:val="24"/>
                <w:szCs w:val="24"/>
              </w:rPr>
              <w:t>SS</w:t>
            </w:r>
          </w:p>
        </w:tc>
        <w:tc>
          <w:tcPr>
            <w:tcW w:w="2685" w:type="dxa"/>
            <w:tcBorders>
              <w:tl2br w:val="nil"/>
              <w:tr2bl w:val="nil"/>
            </w:tcBorders>
            <w:vAlign w:val="center"/>
          </w:tcPr>
          <w:p>
            <w:pPr>
              <w:adjustRightInd w:val="0"/>
              <w:snapToGrid w:val="0"/>
              <w:jc w:val="center"/>
              <w:rPr>
                <w:snapToGrid w:val="0"/>
                <w:color w:val="000000" w:themeColor="text1"/>
                <w:kern w:val="21"/>
                <w:sz w:val="24"/>
                <w:szCs w:val="24"/>
                <w14:textFill>
                  <w14:solidFill>
                    <w14:schemeClr w14:val="tx1"/>
                  </w14:solidFill>
                </w14:textFill>
              </w:rPr>
            </w:pPr>
            <w:r>
              <w:rPr>
                <w:rFonts w:hint="eastAsia"/>
                <w:snapToGrid w:val="0"/>
                <w:color w:val="000000" w:themeColor="text1"/>
                <w:kern w:val="21"/>
                <w:sz w:val="24"/>
                <w:szCs w:val="24"/>
                <w14:textFill>
                  <w14:solidFill>
                    <w14:schemeClr w14:val="tx1"/>
                  </w14:solidFill>
                </w14:textFill>
              </w:rPr>
              <w:t>220</w:t>
            </w:r>
            <w:r>
              <w:rPr>
                <w:rFonts w:hint="eastAsia"/>
                <w:snapToGrid w:val="0"/>
                <w:color w:val="000000" w:themeColor="text1"/>
                <w:kern w:val="21"/>
                <w:sz w:val="24"/>
                <w:szCs w:val="24"/>
                <w:lang w:val="en-US" w:eastAsia="zh-CN"/>
                <w14:textFill>
                  <w14:solidFill>
                    <w14:schemeClr w14:val="tx1"/>
                  </w14:solidFill>
                </w14:textFill>
              </w:rPr>
              <w:t xml:space="preserve"> </w:t>
            </w:r>
            <w:r>
              <w:rPr>
                <w:snapToGrid w:val="0"/>
                <w:color w:val="000000" w:themeColor="text1"/>
                <w:kern w:val="21"/>
                <w:sz w:val="24"/>
                <w:szCs w:val="24"/>
                <w14:textFill>
                  <w14:solidFill>
                    <w14:schemeClr w14:val="tx1"/>
                  </w14:solidFill>
                </w14:textFill>
              </w:rPr>
              <w:t>mg/L</w:t>
            </w:r>
            <w:r>
              <w:rPr>
                <w:rFonts w:hint="eastAsia"/>
                <w:snapToGrid w:val="0"/>
                <w:color w:val="000000" w:themeColor="text1"/>
                <w:kern w:val="2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0.01</w:t>
            </w:r>
            <w:r>
              <w:rPr>
                <w:rFonts w:hint="eastAsia"/>
                <w:color w:val="000000" w:themeColor="text1"/>
                <w:sz w:val="24"/>
                <w:szCs w:val="24"/>
                <w:lang w:val="en-US" w:eastAsia="zh-CN"/>
                <w14:textFill>
                  <w14:solidFill>
                    <w14:schemeClr w14:val="tx1"/>
                  </w14:solidFill>
                </w14:textFill>
              </w:rPr>
              <w:t xml:space="preserve">70 </w:t>
            </w:r>
            <w:r>
              <w:rPr>
                <w:rFonts w:hint="eastAsia"/>
                <w:color w:val="000000" w:themeColor="text1"/>
                <w:sz w:val="24"/>
                <w:szCs w:val="24"/>
                <w14:textFill>
                  <w14:solidFill>
                    <w14:schemeClr w14:val="tx1"/>
                  </w14:solidFill>
                </w14:textFill>
              </w:rPr>
              <w:t>t/a</w:t>
            </w:r>
          </w:p>
        </w:tc>
        <w:tc>
          <w:tcPr>
            <w:tcW w:w="2687" w:type="dxa"/>
            <w:tcBorders>
              <w:tl2br w:val="nil"/>
              <w:tr2bl w:val="nil"/>
            </w:tcBorders>
            <w:vAlign w:val="center"/>
          </w:tcPr>
          <w:p>
            <w:pPr>
              <w:adjustRightInd w:val="0"/>
              <w:snapToGrid w:val="0"/>
              <w:jc w:val="center"/>
              <w:rPr>
                <w:snapToGrid w:val="0"/>
                <w:color w:val="000000" w:themeColor="text1"/>
                <w:kern w:val="21"/>
                <w:sz w:val="24"/>
                <w:szCs w:val="24"/>
                <w14:textFill>
                  <w14:solidFill>
                    <w14:schemeClr w14:val="tx1"/>
                  </w14:solidFill>
                </w14:textFill>
              </w:rPr>
            </w:pPr>
            <w:r>
              <w:rPr>
                <w:snapToGrid w:val="0"/>
                <w:color w:val="000000" w:themeColor="text1"/>
                <w:kern w:val="0"/>
                <w:sz w:val="24"/>
                <w:szCs w:val="24"/>
                <w14:textFill>
                  <w14:solidFill>
                    <w14:schemeClr w14:val="tx1"/>
                  </w14:solidFill>
                </w14:textFill>
              </w:rPr>
              <w:t>154mg/L</w:t>
            </w:r>
            <w:r>
              <w:rPr>
                <w:rFonts w:hint="eastAsia"/>
                <w:snapToGrid w:val="0"/>
                <w:color w:val="000000" w:themeColor="text1"/>
                <w:kern w:val="0"/>
                <w:sz w:val="24"/>
                <w:szCs w:val="24"/>
                <w14:textFill>
                  <w14:solidFill>
                    <w14:schemeClr w14:val="tx1"/>
                  </w14:solidFill>
                </w14:textFill>
              </w:rPr>
              <w:t>、0.0</w:t>
            </w:r>
            <w:r>
              <w:rPr>
                <w:rFonts w:hint="eastAsia"/>
                <w:snapToGrid w:val="0"/>
                <w:color w:val="000000" w:themeColor="text1"/>
                <w:kern w:val="0"/>
                <w:sz w:val="24"/>
                <w:szCs w:val="24"/>
                <w:lang w:val="en-US" w:eastAsia="zh-CN"/>
                <w14:textFill>
                  <w14:solidFill>
                    <w14:schemeClr w14:val="tx1"/>
                  </w14:solidFill>
                </w14:textFill>
              </w:rPr>
              <w:t>118</w:t>
            </w:r>
            <w:r>
              <w:rPr>
                <w:rFonts w:hint="eastAsia"/>
                <w:color w:val="000000" w:themeColor="text1"/>
                <w:sz w:val="24"/>
                <w:szCs w:val="24"/>
                <w14:textFill>
                  <w14:solidFill>
                    <w14:schemeClr w14:val="tx1"/>
                  </w14:solidFill>
                </w14:textFill>
              </w:rPr>
              <w:t>t/a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23" w:type="dxa"/>
            <w:vMerge w:val="continue"/>
            <w:tcBorders>
              <w:tl2br w:val="nil"/>
              <w:tr2bl w:val="nil"/>
            </w:tcBorders>
            <w:textDirection w:val="tbRlV"/>
            <w:vAlign w:val="center"/>
          </w:tcPr>
          <w:p>
            <w:pPr>
              <w:adjustRightInd w:val="0"/>
              <w:snapToGrid w:val="0"/>
              <w:jc w:val="center"/>
              <w:rPr>
                <w:snapToGrid w:val="0"/>
                <w:kern w:val="21"/>
                <w:sz w:val="24"/>
                <w:szCs w:val="24"/>
              </w:rPr>
            </w:pPr>
          </w:p>
        </w:tc>
        <w:tc>
          <w:tcPr>
            <w:tcW w:w="1270" w:type="dxa"/>
            <w:vMerge w:val="continue"/>
            <w:tcBorders>
              <w:tl2br w:val="nil"/>
              <w:tr2bl w:val="nil"/>
            </w:tcBorders>
            <w:vAlign w:val="center"/>
          </w:tcPr>
          <w:p>
            <w:pPr>
              <w:pStyle w:val="88"/>
              <w:widowControl w:val="0"/>
              <w:adjustRightInd w:val="0"/>
              <w:spacing w:line="240" w:lineRule="auto"/>
              <w:rPr>
                <w:rFonts w:eastAsia="宋体"/>
                <w:snapToGrid w:val="0"/>
                <w:kern w:val="21"/>
                <w:sz w:val="24"/>
                <w:szCs w:val="24"/>
              </w:rPr>
            </w:pPr>
          </w:p>
        </w:tc>
        <w:tc>
          <w:tcPr>
            <w:tcW w:w="1515" w:type="dxa"/>
            <w:tcBorders>
              <w:tl2br w:val="nil"/>
              <w:tr2bl w:val="nil"/>
            </w:tcBorders>
            <w:vAlign w:val="center"/>
          </w:tcPr>
          <w:p>
            <w:pPr>
              <w:adjustRightInd w:val="0"/>
              <w:snapToGrid w:val="0"/>
              <w:jc w:val="center"/>
              <w:rPr>
                <w:snapToGrid w:val="0"/>
                <w:kern w:val="21"/>
                <w:sz w:val="24"/>
                <w:szCs w:val="24"/>
              </w:rPr>
            </w:pPr>
            <w:r>
              <w:rPr>
                <w:snapToGrid w:val="0"/>
                <w:kern w:val="21"/>
                <w:sz w:val="24"/>
                <w:szCs w:val="24"/>
              </w:rPr>
              <w:t>氨氮</w:t>
            </w:r>
          </w:p>
        </w:tc>
        <w:tc>
          <w:tcPr>
            <w:tcW w:w="2685" w:type="dxa"/>
            <w:tcBorders>
              <w:tl2br w:val="nil"/>
              <w:tr2bl w:val="nil"/>
            </w:tcBorders>
            <w:vAlign w:val="center"/>
          </w:tcPr>
          <w:p>
            <w:pPr>
              <w:adjustRightInd w:val="0"/>
              <w:snapToGrid w:val="0"/>
              <w:jc w:val="center"/>
              <w:rPr>
                <w:snapToGrid w:val="0"/>
                <w:color w:val="000000" w:themeColor="text1"/>
                <w:kern w:val="21"/>
                <w:sz w:val="24"/>
                <w:szCs w:val="24"/>
                <w14:textFill>
                  <w14:solidFill>
                    <w14:schemeClr w14:val="tx1"/>
                  </w14:solidFill>
                </w14:textFill>
              </w:rPr>
            </w:pPr>
            <w:r>
              <w:rPr>
                <w:rFonts w:hint="eastAsia"/>
                <w:color w:val="000000" w:themeColor="text1"/>
                <w:sz w:val="24"/>
                <w:szCs w:val="24"/>
                <w14:textFill>
                  <w14:solidFill>
                    <w14:schemeClr w14:val="tx1"/>
                  </w14:solidFill>
                </w14:textFill>
              </w:rPr>
              <w:t>25mg/L、0.001</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t/a</w:t>
            </w:r>
          </w:p>
        </w:tc>
        <w:tc>
          <w:tcPr>
            <w:tcW w:w="2687" w:type="dxa"/>
            <w:tcBorders>
              <w:tl2br w:val="nil"/>
              <w:tr2bl w:val="nil"/>
            </w:tcBorders>
            <w:vAlign w:val="center"/>
          </w:tcPr>
          <w:p>
            <w:pPr>
              <w:adjustRightInd w:val="0"/>
              <w:snapToGrid w:val="0"/>
              <w:jc w:val="center"/>
              <w:rPr>
                <w:snapToGrid w:val="0"/>
                <w:color w:val="000000" w:themeColor="text1"/>
                <w:kern w:val="21"/>
                <w:sz w:val="24"/>
                <w:szCs w:val="24"/>
                <w14:textFill>
                  <w14:solidFill>
                    <w14:schemeClr w14:val="tx1"/>
                  </w14:solidFill>
                </w14:textFill>
              </w:rPr>
            </w:pPr>
            <w:r>
              <w:rPr>
                <w:rFonts w:hint="eastAsia"/>
                <w:color w:val="000000" w:themeColor="text1"/>
                <w:sz w:val="24"/>
                <w:szCs w:val="24"/>
                <w14:textFill>
                  <w14:solidFill>
                    <w14:schemeClr w14:val="tx1"/>
                  </w14:solidFill>
                </w14:textFill>
              </w:rPr>
              <w:t>25mg/L、0.001</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t/a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23" w:type="dxa"/>
            <w:vMerge w:val="restart"/>
            <w:tcBorders>
              <w:tl2br w:val="nil"/>
              <w:tr2bl w:val="nil"/>
            </w:tcBorders>
            <w:vAlign w:val="center"/>
          </w:tcPr>
          <w:p>
            <w:pPr>
              <w:adjustRightInd w:val="0"/>
              <w:snapToGrid w:val="0"/>
              <w:jc w:val="center"/>
              <w:rPr>
                <w:snapToGrid w:val="0"/>
                <w:kern w:val="21"/>
                <w:sz w:val="24"/>
                <w:szCs w:val="24"/>
              </w:rPr>
            </w:pPr>
            <w:r>
              <w:rPr>
                <w:snapToGrid w:val="0"/>
                <w:kern w:val="21"/>
                <w:sz w:val="24"/>
                <w:szCs w:val="24"/>
              </w:rPr>
              <w:t>固</w:t>
            </w:r>
          </w:p>
          <w:p>
            <w:pPr>
              <w:adjustRightInd w:val="0"/>
              <w:snapToGrid w:val="0"/>
              <w:jc w:val="center"/>
              <w:rPr>
                <w:snapToGrid w:val="0"/>
                <w:kern w:val="21"/>
                <w:sz w:val="24"/>
                <w:szCs w:val="24"/>
              </w:rPr>
            </w:pPr>
            <w:r>
              <w:rPr>
                <w:snapToGrid w:val="0"/>
                <w:kern w:val="21"/>
                <w:sz w:val="24"/>
                <w:szCs w:val="24"/>
              </w:rPr>
              <w:t>体</w:t>
            </w:r>
          </w:p>
          <w:p>
            <w:pPr>
              <w:adjustRightInd w:val="0"/>
              <w:snapToGrid w:val="0"/>
              <w:jc w:val="center"/>
              <w:rPr>
                <w:snapToGrid w:val="0"/>
                <w:kern w:val="21"/>
                <w:sz w:val="24"/>
                <w:szCs w:val="24"/>
              </w:rPr>
            </w:pPr>
            <w:r>
              <w:rPr>
                <w:snapToGrid w:val="0"/>
                <w:kern w:val="21"/>
                <w:sz w:val="24"/>
                <w:szCs w:val="24"/>
              </w:rPr>
              <w:t>废</w:t>
            </w:r>
          </w:p>
          <w:p>
            <w:pPr>
              <w:adjustRightInd w:val="0"/>
              <w:snapToGrid w:val="0"/>
              <w:jc w:val="center"/>
              <w:rPr>
                <w:snapToGrid w:val="0"/>
                <w:kern w:val="21"/>
                <w:sz w:val="24"/>
                <w:szCs w:val="24"/>
              </w:rPr>
            </w:pPr>
            <w:r>
              <w:rPr>
                <w:snapToGrid w:val="0"/>
                <w:kern w:val="21"/>
                <w:sz w:val="24"/>
                <w:szCs w:val="24"/>
              </w:rPr>
              <w:t>物</w:t>
            </w:r>
          </w:p>
        </w:tc>
        <w:tc>
          <w:tcPr>
            <w:tcW w:w="1270" w:type="dxa"/>
            <w:tcBorders>
              <w:bottom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0"/>
                <w:sz w:val="24"/>
                <w:szCs w:val="24"/>
              </w:rPr>
              <w:t>检验</w:t>
            </w:r>
          </w:p>
        </w:tc>
        <w:tc>
          <w:tcPr>
            <w:tcW w:w="1515" w:type="dxa"/>
            <w:tcBorders>
              <w:bottom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不合格品</w:t>
            </w:r>
          </w:p>
        </w:tc>
        <w:tc>
          <w:tcPr>
            <w:tcW w:w="2685" w:type="dxa"/>
            <w:tcBorders>
              <w:bottom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color w:val="000000" w:themeColor="text1"/>
                <w:kern w:val="0"/>
                <w:sz w:val="24"/>
                <w:szCs w:val="24"/>
                <w14:textFill>
                  <w14:solidFill>
                    <w14:schemeClr w14:val="tx1"/>
                  </w14:solidFill>
                </w14:textFill>
              </w:rPr>
              <w:t>0.</w:t>
            </w:r>
            <w:r>
              <w:rPr>
                <w:rFonts w:hint="eastAsia"/>
                <w:snapToGrid w:val="0"/>
                <w:color w:val="000000" w:themeColor="text1"/>
                <w:kern w:val="0"/>
                <w:sz w:val="24"/>
                <w:szCs w:val="24"/>
                <w:lang w:val="en-US" w:eastAsia="zh-CN"/>
                <w14:textFill>
                  <w14:solidFill>
                    <w14:schemeClr w14:val="tx1"/>
                  </w14:solidFill>
                </w14:textFill>
              </w:rPr>
              <w:t>8</w:t>
            </w:r>
            <w:r>
              <w:rPr>
                <w:rFonts w:hint="eastAsia"/>
                <w:snapToGrid w:val="0"/>
                <w:color w:val="000000" w:themeColor="text1"/>
                <w:kern w:val="0"/>
                <w:sz w:val="24"/>
                <w:szCs w:val="24"/>
                <w14:textFill>
                  <w14:solidFill>
                    <w14:schemeClr w14:val="tx1"/>
                  </w14:solidFill>
                </w14:textFill>
              </w:rPr>
              <w:t>t/a</w:t>
            </w:r>
          </w:p>
        </w:tc>
        <w:tc>
          <w:tcPr>
            <w:tcW w:w="2687" w:type="dxa"/>
            <w:tcBorders>
              <w:bottom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集中收集后通过破碎机破碎，回用于生产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04" w:hRule="atLeast"/>
          <w:jc w:val="center"/>
        </w:trPr>
        <w:tc>
          <w:tcPr>
            <w:tcW w:w="923" w:type="dxa"/>
            <w:vMerge w:val="continue"/>
            <w:tcBorders>
              <w:tl2br w:val="nil"/>
              <w:tr2bl w:val="nil"/>
            </w:tcBorders>
            <w:vAlign w:val="center"/>
          </w:tcPr>
          <w:p>
            <w:pPr>
              <w:adjustRightInd w:val="0"/>
              <w:snapToGrid w:val="0"/>
              <w:jc w:val="center"/>
              <w:rPr>
                <w:snapToGrid w:val="0"/>
                <w:kern w:val="21"/>
                <w:sz w:val="24"/>
                <w:szCs w:val="24"/>
              </w:rPr>
            </w:pPr>
          </w:p>
        </w:tc>
        <w:tc>
          <w:tcPr>
            <w:tcW w:w="1270" w:type="dxa"/>
            <w:vMerge w:val="restart"/>
            <w:tcBorders>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UV光催化氧化设备</w:t>
            </w:r>
          </w:p>
        </w:tc>
        <w:tc>
          <w:tcPr>
            <w:tcW w:w="1515" w:type="dxa"/>
            <w:tcBorders>
              <w:bottom w:val="single" w:color="auto" w:sz="4" w:space="0"/>
              <w:tl2br w:val="nil"/>
              <w:tr2bl w:val="nil"/>
            </w:tcBorders>
            <w:vAlign w:val="center"/>
          </w:tcPr>
          <w:p>
            <w:pPr>
              <w:adjustRightInd w:val="0"/>
              <w:snapToGrid w:val="0"/>
              <w:jc w:val="center"/>
              <w:rPr>
                <w:snapToGrid w:val="0"/>
                <w:kern w:val="0"/>
                <w:sz w:val="24"/>
                <w:szCs w:val="24"/>
              </w:rPr>
            </w:pPr>
            <w:r>
              <w:rPr>
                <w:rFonts w:hint="eastAsia"/>
                <w:snapToGrid w:val="0"/>
                <w:kern w:val="21"/>
                <w:sz w:val="24"/>
                <w:szCs w:val="24"/>
              </w:rPr>
              <w:t>废灯管</w:t>
            </w:r>
          </w:p>
        </w:tc>
        <w:tc>
          <w:tcPr>
            <w:tcW w:w="2685" w:type="dxa"/>
            <w:tcBorders>
              <w:bottom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20根/a</w:t>
            </w:r>
          </w:p>
        </w:tc>
        <w:tc>
          <w:tcPr>
            <w:tcW w:w="2687" w:type="dxa"/>
            <w:tcBorders>
              <w:bottom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专门容器收集后由资质单位处理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228" w:hRule="atLeast"/>
          <w:jc w:val="center"/>
        </w:trPr>
        <w:tc>
          <w:tcPr>
            <w:tcW w:w="923" w:type="dxa"/>
            <w:vMerge w:val="continue"/>
            <w:tcBorders>
              <w:tl2br w:val="nil"/>
              <w:tr2bl w:val="nil"/>
            </w:tcBorders>
            <w:vAlign w:val="center"/>
          </w:tcPr>
          <w:p>
            <w:pPr>
              <w:adjustRightInd w:val="0"/>
              <w:snapToGrid w:val="0"/>
              <w:jc w:val="center"/>
              <w:rPr>
                <w:snapToGrid w:val="0"/>
                <w:kern w:val="21"/>
                <w:sz w:val="24"/>
                <w:szCs w:val="24"/>
              </w:rPr>
            </w:pPr>
          </w:p>
        </w:tc>
        <w:tc>
          <w:tcPr>
            <w:tcW w:w="1270" w:type="dxa"/>
            <w:vMerge w:val="continue"/>
            <w:tcBorders>
              <w:tl2br w:val="nil"/>
              <w:tr2bl w:val="nil"/>
            </w:tcBorders>
            <w:vAlign w:val="center"/>
          </w:tcPr>
          <w:p>
            <w:pPr>
              <w:adjustRightInd w:val="0"/>
              <w:snapToGrid w:val="0"/>
              <w:jc w:val="center"/>
              <w:rPr>
                <w:snapToGrid w:val="0"/>
                <w:kern w:val="21"/>
                <w:sz w:val="24"/>
                <w:szCs w:val="24"/>
              </w:rPr>
            </w:pPr>
          </w:p>
        </w:tc>
        <w:tc>
          <w:tcPr>
            <w:tcW w:w="1515" w:type="dxa"/>
            <w:tcBorders>
              <w:top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废催化板</w:t>
            </w:r>
          </w:p>
        </w:tc>
        <w:tc>
          <w:tcPr>
            <w:tcW w:w="2685" w:type="dxa"/>
            <w:tcBorders>
              <w:top w:val="single" w:color="auto" w:sz="4" w:space="0"/>
              <w:tl2br w:val="nil"/>
              <w:tr2bl w:val="nil"/>
            </w:tcBorders>
            <w:vAlign w:val="center"/>
          </w:tcPr>
          <w:p>
            <w:pPr>
              <w:adjustRightInd w:val="0"/>
              <w:snapToGrid w:val="0"/>
              <w:jc w:val="center"/>
              <w:rPr>
                <w:snapToGrid w:val="0"/>
                <w:kern w:val="21"/>
                <w:sz w:val="24"/>
                <w:szCs w:val="24"/>
              </w:rPr>
            </w:pPr>
            <w:r>
              <w:rPr>
                <w:rFonts w:hint="eastAsia"/>
                <w:sz w:val="24"/>
                <w:szCs w:val="24"/>
              </w:rPr>
              <w:t>2个</w:t>
            </w:r>
            <w:r>
              <w:rPr>
                <w:rFonts w:hint="eastAsia"/>
                <w:sz w:val="24"/>
                <w:szCs w:val="24"/>
                <w:lang w:val="zh-CN"/>
              </w:rPr>
              <w:t>/a</w:t>
            </w:r>
          </w:p>
        </w:tc>
        <w:tc>
          <w:tcPr>
            <w:tcW w:w="2687" w:type="dxa"/>
            <w:tcBorders>
              <w:top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专门容器收集，由厂家更换时回收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228" w:hRule="atLeast"/>
          <w:jc w:val="center"/>
        </w:trPr>
        <w:tc>
          <w:tcPr>
            <w:tcW w:w="923" w:type="dxa"/>
            <w:vMerge w:val="continue"/>
            <w:tcBorders>
              <w:tl2br w:val="nil"/>
              <w:tr2bl w:val="nil"/>
            </w:tcBorders>
            <w:vAlign w:val="center"/>
          </w:tcPr>
          <w:p>
            <w:pPr>
              <w:adjustRightInd w:val="0"/>
              <w:snapToGrid w:val="0"/>
              <w:jc w:val="center"/>
              <w:rPr>
                <w:snapToGrid w:val="0"/>
                <w:kern w:val="21"/>
                <w:sz w:val="24"/>
                <w:szCs w:val="24"/>
              </w:rPr>
            </w:pPr>
          </w:p>
        </w:tc>
        <w:tc>
          <w:tcPr>
            <w:tcW w:w="1270" w:type="dxa"/>
            <w:tcBorders>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活性炭吸附装置</w:t>
            </w:r>
          </w:p>
        </w:tc>
        <w:tc>
          <w:tcPr>
            <w:tcW w:w="1515" w:type="dxa"/>
            <w:tcBorders>
              <w:top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废活性炭</w:t>
            </w:r>
          </w:p>
        </w:tc>
        <w:tc>
          <w:tcPr>
            <w:tcW w:w="2685" w:type="dxa"/>
            <w:tcBorders>
              <w:top w:val="single" w:color="auto" w:sz="4" w:space="0"/>
              <w:tl2br w:val="nil"/>
              <w:tr2bl w:val="nil"/>
            </w:tcBorders>
            <w:vAlign w:val="center"/>
          </w:tcPr>
          <w:p>
            <w:pPr>
              <w:adjustRightInd w:val="0"/>
              <w:snapToGrid w:val="0"/>
              <w:jc w:val="center"/>
              <w:rPr>
                <w:sz w:val="24"/>
                <w:szCs w:val="24"/>
              </w:rPr>
            </w:pPr>
            <w:r>
              <w:rPr>
                <w:rFonts w:hint="eastAsia"/>
                <w:snapToGrid w:val="0"/>
                <w:color w:val="000000" w:themeColor="text1"/>
                <w:kern w:val="21"/>
                <w:sz w:val="24"/>
                <w:szCs w:val="24"/>
                <w14:textFill>
                  <w14:solidFill>
                    <w14:schemeClr w14:val="tx1"/>
                  </w14:solidFill>
                </w14:textFill>
              </w:rPr>
              <w:t>0.</w:t>
            </w:r>
            <w:r>
              <w:rPr>
                <w:rFonts w:hint="eastAsia"/>
                <w:snapToGrid w:val="0"/>
                <w:color w:val="000000" w:themeColor="text1"/>
                <w:kern w:val="21"/>
                <w:sz w:val="24"/>
                <w:szCs w:val="24"/>
                <w:lang w:val="en-US" w:eastAsia="zh-CN"/>
                <w14:textFill>
                  <w14:solidFill>
                    <w14:schemeClr w14:val="tx1"/>
                  </w14:solidFill>
                </w14:textFill>
              </w:rPr>
              <w:t>4</w:t>
            </w:r>
            <w:r>
              <w:rPr>
                <w:rFonts w:hint="eastAsia"/>
                <w:snapToGrid w:val="0"/>
                <w:color w:val="000000" w:themeColor="text1"/>
                <w:kern w:val="21"/>
                <w:sz w:val="24"/>
                <w:szCs w:val="24"/>
                <w14:textFill>
                  <w14:solidFill>
                    <w14:schemeClr w14:val="tx1"/>
                  </w14:solidFill>
                </w14:textFill>
              </w:rPr>
              <w:t>t/a</w:t>
            </w:r>
          </w:p>
        </w:tc>
        <w:tc>
          <w:tcPr>
            <w:tcW w:w="2687" w:type="dxa"/>
            <w:tcBorders>
              <w:top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专门容器收集，由厂家更换时回收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343" w:hRule="atLeast"/>
          <w:jc w:val="center"/>
        </w:trPr>
        <w:tc>
          <w:tcPr>
            <w:tcW w:w="923" w:type="dxa"/>
            <w:vMerge w:val="continue"/>
            <w:tcBorders>
              <w:tl2br w:val="nil"/>
              <w:tr2bl w:val="nil"/>
            </w:tcBorders>
            <w:vAlign w:val="center"/>
          </w:tcPr>
          <w:p>
            <w:pPr>
              <w:adjustRightInd w:val="0"/>
              <w:snapToGrid w:val="0"/>
              <w:jc w:val="center"/>
              <w:rPr>
                <w:snapToGrid w:val="0"/>
                <w:kern w:val="21"/>
                <w:sz w:val="24"/>
                <w:szCs w:val="24"/>
              </w:rPr>
            </w:pPr>
          </w:p>
        </w:tc>
        <w:tc>
          <w:tcPr>
            <w:tcW w:w="1270" w:type="dxa"/>
            <w:vMerge w:val="restart"/>
            <w:tcBorders>
              <w:top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设备检修</w:t>
            </w:r>
          </w:p>
        </w:tc>
        <w:tc>
          <w:tcPr>
            <w:tcW w:w="1515" w:type="dxa"/>
            <w:tcBorders>
              <w:top w:val="single" w:color="auto" w:sz="4" w:space="0"/>
              <w:bottom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废机油</w:t>
            </w:r>
          </w:p>
        </w:tc>
        <w:tc>
          <w:tcPr>
            <w:tcW w:w="2685" w:type="dxa"/>
            <w:tcBorders>
              <w:top w:val="single" w:color="auto" w:sz="4" w:space="0"/>
              <w:bottom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0.01t/a</w:t>
            </w:r>
          </w:p>
        </w:tc>
        <w:tc>
          <w:tcPr>
            <w:tcW w:w="2687" w:type="dxa"/>
            <w:tcBorders>
              <w:top w:val="single" w:color="auto" w:sz="4" w:space="0"/>
              <w:bottom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集中收集后由资质单位处理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289" w:hRule="atLeast"/>
          <w:jc w:val="center"/>
        </w:trPr>
        <w:tc>
          <w:tcPr>
            <w:tcW w:w="923" w:type="dxa"/>
            <w:vMerge w:val="continue"/>
            <w:tcBorders>
              <w:tl2br w:val="nil"/>
              <w:tr2bl w:val="nil"/>
            </w:tcBorders>
            <w:vAlign w:val="center"/>
          </w:tcPr>
          <w:p>
            <w:pPr>
              <w:adjustRightInd w:val="0"/>
              <w:snapToGrid w:val="0"/>
              <w:jc w:val="center"/>
              <w:rPr>
                <w:snapToGrid w:val="0"/>
                <w:kern w:val="21"/>
                <w:sz w:val="24"/>
                <w:szCs w:val="24"/>
              </w:rPr>
            </w:pPr>
          </w:p>
        </w:tc>
        <w:tc>
          <w:tcPr>
            <w:tcW w:w="1270" w:type="dxa"/>
            <w:vMerge w:val="continue"/>
            <w:tcBorders>
              <w:tl2br w:val="nil"/>
              <w:tr2bl w:val="nil"/>
            </w:tcBorders>
            <w:vAlign w:val="center"/>
          </w:tcPr>
          <w:p>
            <w:pPr>
              <w:adjustRightInd w:val="0"/>
              <w:snapToGrid w:val="0"/>
              <w:jc w:val="center"/>
              <w:rPr>
                <w:snapToGrid w:val="0"/>
                <w:kern w:val="21"/>
                <w:sz w:val="24"/>
                <w:szCs w:val="24"/>
              </w:rPr>
            </w:pPr>
          </w:p>
        </w:tc>
        <w:tc>
          <w:tcPr>
            <w:tcW w:w="1515" w:type="dxa"/>
            <w:tcBorders>
              <w:top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废液压油</w:t>
            </w:r>
          </w:p>
        </w:tc>
        <w:tc>
          <w:tcPr>
            <w:tcW w:w="2685" w:type="dxa"/>
            <w:tcBorders>
              <w:top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0.06t/a</w:t>
            </w:r>
          </w:p>
        </w:tc>
        <w:tc>
          <w:tcPr>
            <w:tcW w:w="2687" w:type="dxa"/>
            <w:tcBorders>
              <w:top w:val="single" w:color="auto" w:sz="4" w:space="0"/>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集中收集后由资质单位处理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23" w:type="dxa"/>
            <w:vMerge w:val="continue"/>
            <w:tcBorders>
              <w:tl2br w:val="nil"/>
              <w:tr2bl w:val="nil"/>
            </w:tcBorders>
            <w:vAlign w:val="center"/>
          </w:tcPr>
          <w:p>
            <w:pPr>
              <w:adjustRightInd w:val="0"/>
              <w:snapToGrid w:val="0"/>
              <w:jc w:val="center"/>
              <w:rPr>
                <w:snapToGrid w:val="0"/>
                <w:kern w:val="21"/>
                <w:sz w:val="24"/>
                <w:szCs w:val="24"/>
              </w:rPr>
            </w:pPr>
          </w:p>
        </w:tc>
        <w:tc>
          <w:tcPr>
            <w:tcW w:w="1270" w:type="dxa"/>
            <w:tcBorders>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职工生活</w:t>
            </w:r>
          </w:p>
        </w:tc>
        <w:tc>
          <w:tcPr>
            <w:tcW w:w="1515" w:type="dxa"/>
            <w:tcBorders>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生活垃圾</w:t>
            </w:r>
          </w:p>
        </w:tc>
        <w:tc>
          <w:tcPr>
            <w:tcW w:w="2685" w:type="dxa"/>
            <w:tcBorders>
              <w:tl2br w:val="nil"/>
              <w:tr2bl w:val="nil"/>
            </w:tcBorders>
            <w:vAlign w:val="center"/>
          </w:tcPr>
          <w:p>
            <w:pPr>
              <w:adjustRightInd w:val="0"/>
              <w:snapToGrid w:val="0"/>
              <w:jc w:val="center"/>
              <w:rPr>
                <w:snapToGrid w:val="0"/>
                <w:kern w:val="21"/>
                <w:sz w:val="24"/>
                <w:szCs w:val="24"/>
              </w:rPr>
            </w:pPr>
            <w:r>
              <w:rPr>
                <w:rFonts w:hint="eastAsia"/>
                <w:snapToGrid w:val="0"/>
                <w:color w:val="000000" w:themeColor="text1"/>
                <w:kern w:val="21"/>
                <w:sz w:val="24"/>
                <w:szCs w:val="24"/>
                <w:lang w:val="en-US" w:eastAsia="zh-CN"/>
                <w14:textFill>
                  <w14:solidFill>
                    <w14:schemeClr w14:val="tx1"/>
                  </w14:solidFill>
                </w14:textFill>
              </w:rPr>
              <w:t>5</w:t>
            </w:r>
            <w:r>
              <w:rPr>
                <w:rFonts w:hint="eastAsia"/>
                <w:snapToGrid w:val="0"/>
                <w:color w:val="000000" w:themeColor="text1"/>
                <w:kern w:val="21"/>
                <w:sz w:val="24"/>
                <w:szCs w:val="24"/>
                <w14:textFill>
                  <w14:solidFill>
                    <w14:schemeClr w14:val="tx1"/>
                  </w14:solidFill>
                </w14:textFill>
              </w:rPr>
              <w:t>t/a</w:t>
            </w:r>
          </w:p>
        </w:tc>
        <w:tc>
          <w:tcPr>
            <w:tcW w:w="2687" w:type="dxa"/>
            <w:tcBorders>
              <w:tl2br w:val="nil"/>
              <w:tr2bl w:val="nil"/>
            </w:tcBorders>
            <w:vAlign w:val="center"/>
          </w:tcPr>
          <w:p>
            <w:pPr>
              <w:adjustRightInd w:val="0"/>
              <w:snapToGrid w:val="0"/>
              <w:jc w:val="center"/>
              <w:rPr>
                <w:snapToGrid w:val="0"/>
                <w:kern w:val="21"/>
                <w:sz w:val="24"/>
                <w:szCs w:val="24"/>
              </w:rPr>
            </w:pPr>
            <w:r>
              <w:rPr>
                <w:rFonts w:hint="eastAsia"/>
                <w:snapToGrid w:val="0"/>
                <w:kern w:val="21"/>
                <w:sz w:val="24"/>
                <w:szCs w:val="24"/>
              </w:rPr>
              <w:t>厂区垃圾桶收集后，交由环卫部门处理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23" w:type="dxa"/>
            <w:tcBorders>
              <w:tl2br w:val="nil"/>
              <w:tr2bl w:val="nil"/>
            </w:tcBorders>
            <w:textDirection w:val="tbRlV"/>
            <w:vAlign w:val="center"/>
          </w:tcPr>
          <w:p>
            <w:pPr>
              <w:adjustRightInd w:val="0"/>
              <w:snapToGrid w:val="0"/>
              <w:jc w:val="center"/>
              <w:rPr>
                <w:snapToGrid w:val="0"/>
                <w:kern w:val="21"/>
                <w:sz w:val="24"/>
                <w:szCs w:val="24"/>
              </w:rPr>
            </w:pPr>
            <w:r>
              <w:rPr>
                <w:snapToGrid w:val="0"/>
                <w:kern w:val="21"/>
                <w:sz w:val="24"/>
                <w:szCs w:val="24"/>
              </w:rPr>
              <w:t>噪  声</w:t>
            </w:r>
          </w:p>
        </w:tc>
        <w:tc>
          <w:tcPr>
            <w:tcW w:w="8157" w:type="dxa"/>
            <w:gridSpan w:val="4"/>
            <w:tcBorders>
              <w:tl2br w:val="nil"/>
              <w:tr2bl w:val="nil"/>
            </w:tcBorders>
            <w:vAlign w:val="center"/>
          </w:tcPr>
          <w:p>
            <w:pPr>
              <w:spacing w:line="360" w:lineRule="auto"/>
              <w:ind w:firstLine="480" w:firstLineChars="200"/>
              <w:rPr>
                <w:snapToGrid w:val="0"/>
                <w:kern w:val="21"/>
                <w:sz w:val="24"/>
                <w:szCs w:val="24"/>
              </w:rPr>
            </w:pPr>
            <w:r>
              <w:rPr>
                <w:snapToGrid w:val="0"/>
                <w:kern w:val="21"/>
                <w:sz w:val="24"/>
                <w:szCs w:val="24"/>
              </w:rPr>
              <w:t>项目</w:t>
            </w:r>
            <w:r>
              <w:rPr>
                <w:rFonts w:hint="eastAsia"/>
                <w:snapToGrid w:val="0"/>
                <w:kern w:val="21"/>
                <w:sz w:val="24"/>
                <w:szCs w:val="24"/>
              </w:rPr>
              <w:t>各</w:t>
            </w:r>
            <w:r>
              <w:rPr>
                <w:snapToGrid w:val="0"/>
                <w:kern w:val="21"/>
                <w:sz w:val="24"/>
                <w:szCs w:val="24"/>
              </w:rPr>
              <w:t>噪声源强在</w:t>
            </w:r>
            <w:r>
              <w:rPr>
                <w:rFonts w:hint="eastAsia"/>
                <w:snapToGrid w:val="0"/>
                <w:kern w:val="21"/>
                <w:sz w:val="24"/>
                <w:szCs w:val="24"/>
              </w:rPr>
              <w:t>70~85</w:t>
            </w:r>
            <w:r>
              <w:rPr>
                <w:snapToGrid w:val="0"/>
                <w:kern w:val="21"/>
                <w:sz w:val="24"/>
                <w:szCs w:val="24"/>
              </w:rPr>
              <w:t>dB（A）</w:t>
            </w:r>
            <w:r>
              <w:rPr>
                <w:rFonts w:hint="eastAsia"/>
                <w:snapToGrid w:val="0"/>
                <w:kern w:val="21"/>
                <w:sz w:val="24"/>
                <w:szCs w:val="24"/>
              </w:rPr>
              <w:t>左右</w:t>
            </w:r>
            <w:r>
              <w:rPr>
                <w:snapToGrid w:val="0"/>
                <w:kern w:val="21"/>
                <w:sz w:val="24"/>
                <w:szCs w:val="24"/>
              </w:rPr>
              <w:t>，采取基础减震、厂房隔音</w:t>
            </w:r>
            <w:r>
              <w:rPr>
                <w:rFonts w:hint="eastAsia"/>
                <w:snapToGrid w:val="0"/>
                <w:kern w:val="21"/>
                <w:sz w:val="24"/>
                <w:szCs w:val="24"/>
              </w:rPr>
              <w:t>、距离衰减</w:t>
            </w:r>
            <w:r>
              <w:rPr>
                <w:snapToGrid w:val="0"/>
                <w:kern w:val="21"/>
                <w:sz w:val="24"/>
                <w:szCs w:val="24"/>
              </w:rPr>
              <w:t>等措施后，厂界噪声达到《工业企业厂界环境噪声排放标准》</w:t>
            </w:r>
            <w:r>
              <w:rPr>
                <w:rFonts w:hint="eastAsia"/>
                <w:snapToGrid w:val="0"/>
                <w:kern w:val="21"/>
                <w:sz w:val="24"/>
                <w:szCs w:val="24"/>
              </w:rPr>
              <w:t>（</w:t>
            </w:r>
            <w:r>
              <w:rPr>
                <w:snapToGrid w:val="0"/>
                <w:kern w:val="21"/>
                <w:sz w:val="24"/>
                <w:szCs w:val="24"/>
              </w:rPr>
              <w:t>GB12348-2008</w:t>
            </w:r>
            <w:r>
              <w:rPr>
                <w:rFonts w:hint="eastAsia"/>
                <w:snapToGrid w:val="0"/>
                <w:kern w:val="21"/>
                <w:sz w:val="24"/>
                <w:szCs w:val="24"/>
              </w:rPr>
              <w:t>）</w:t>
            </w:r>
            <w:r>
              <w:rPr>
                <w:snapToGrid w:val="0"/>
                <w:kern w:val="21"/>
                <w:sz w:val="24"/>
                <w:szCs w:val="24"/>
              </w:rPr>
              <w:t>中规定的</w:t>
            </w:r>
            <w:r>
              <w:rPr>
                <w:rFonts w:hint="eastAsia"/>
                <w:snapToGrid w:val="0"/>
                <w:kern w:val="21"/>
                <w:sz w:val="24"/>
                <w:szCs w:val="24"/>
              </w:rPr>
              <w:t>3类</w:t>
            </w:r>
            <w:r>
              <w:rPr>
                <w:snapToGrid w:val="0"/>
                <w:kern w:val="21"/>
                <w:sz w:val="24"/>
                <w:szCs w:val="24"/>
              </w:rPr>
              <w:t>标准限值要求，不会造成噪声扰民影响。</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080" w:type="dxa"/>
            <w:gridSpan w:val="5"/>
            <w:tcBorders>
              <w:tl2br w:val="nil"/>
              <w:tr2bl w:val="nil"/>
            </w:tcBorders>
            <w:vAlign w:val="center"/>
          </w:tcPr>
          <w:p>
            <w:pPr>
              <w:spacing w:line="360" w:lineRule="auto"/>
              <w:jc w:val="left"/>
              <w:rPr>
                <w:sz w:val="24"/>
                <w:szCs w:val="24"/>
              </w:rPr>
            </w:pPr>
            <w:r>
              <w:rPr>
                <w:sz w:val="24"/>
                <w:szCs w:val="24"/>
              </w:rPr>
              <w:t>主要生态影响：</w:t>
            </w:r>
          </w:p>
          <w:p>
            <w:pPr>
              <w:spacing w:line="360" w:lineRule="auto"/>
              <w:ind w:firstLine="480" w:firstLineChars="200"/>
              <w:jc w:val="left"/>
              <w:rPr>
                <w:sz w:val="24"/>
                <w:szCs w:val="24"/>
              </w:rPr>
            </w:pPr>
            <w:r>
              <w:rPr>
                <w:sz w:val="24"/>
                <w:szCs w:val="24"/>
              </w:rPr>
              <w:t>该项目周围无天然植被，无国家重点保护的野生动、植物品种，项目的建设不会对生态环境产生较大影响。</w:t>
            </w:r>
          </w:p>
          <w:p>
            <w:pPr>
              <w:pStyle w:val="38"/>
              <w:adjustRightInd w:val="0"/>
              <w:snapToGrid w:val="0"/>
              <w:spacing w:line="240" w:lineRule="auto"/>
              <w:ind w:firstLine="0" w:firstLineChars="0"/>
              <w:jc w:val="center"/>
              <w:rPr>
                <w:sz w:val="24"/>
                <w:szCs w:val="24"/>
              </w:rPr>
            </w:pPr>
          </w:p>
          <w:p>
            <w:pPr>
              <w:pStyle w:val="38"/>
              <w:adjustRightInd w:val="0"/>
              <w:snapToGrid w:val="0"/>
              <w:spacing w:line="240" w:lineRule="auto"/>
              <w:ind w:firstLine="0" w:firstLineChars="0"/>
              <w:jc w:val="center"/>
              <w:rPr>
                <w:sz w:val="24"/>
                <w:szCs w:val="24"/>
              </w:rPr>
            </w:pPr>
          </w:p>
          <w:p>
            <w:pPr>
              <w:pStyle w:val="38"/>
              <w:adjustRightInd w:val="0"/>
              <w:snapToGrid w:val="0"/>
              <w:spacing w:line="240" w:lineRule="auto"/>
              <w:ind w:firstLine="0" w:firstLineChars="0"/>
              <w:jc w:val="center"/>
              <w:rPr>
                <w:sz w:val="24"/>
                <w:szCs w:val="24"/>
              </w:rPr>
            </w:pPr>
          </w:p>
          <w:p>
            <w:pPr>
              <w:pStyle w:val="38"/>
              <w:adjustRightInd w:val="0"/>
              <w:snapToGrid w:val="0"/>
              <w:spacing w:line="240" w:lineRule="auto"/>
              <w:ind w:firstLine="0" w:firstLineChars="0"/>
              <w:jc w:val="center"/>
              <w:rPr>
                <w:sz w:val="24"/>
                <w:szCs w:val="24"/>
              </w:rPr>
            </w:pPr>
          </w:p>
          <w:p>
            <w:pPr>
              <w:pStyle w:val="38"/>
              <w:adjustRightInd w:val="0"/>
              <w:snapToGrid w:val="0"/>
              <w:spacing w:line="240" w:lineRule="auto"/>
              <w:ind w:firstLine="0" w:firstLineChars="0"/>
              <w:jc w:val="both"/>
              <w:rPr>
                <w:sz w:val="24"/>
                <w:szCs w:val="24"/>
              </w:rPr>
            </w:pPr>
          </w:p>
        </w:tc>
      </w:tr>
    </w:tbl>
    <w:p>
      <w:pPr>
        <w:adjustRightInd w:val="0"/>
        <w:snapToGrid w:val="0"/>
        <w:spacing w:line="360" w:lineRule="auto"/>
        <w:rPr>
          <w:rFonts w:ascii="宋体" w:hAnsi="宋体" w:cs="宋体"/>
          <w:b/>
          <w:sz w:val="24"/>
        </w:rPr>
        <w:sectPr>
          <w:pgSz w:w="11906" w:h="16838"/>
          <w:pgMar w:top="1440" w:right="1800" w:bottom="1440" w:left="1800" w:header="851" w:footer="992" w:gutter="0"/>
          <w:cols w:space="720" w:num="1"/>
          <w:docGrid w:type="lines" w:linePitch="312" w:charSpace="0"/>
        </w:sectPr>
      </w:pPr>
    </w:p>
    <w:p>
      <w:pPr>
        <w:adjustRightInd w:val="0"/>
        <w:snapToGrid w:val="0"/>
        <w:rPr>
          <w:rFonts w:ascii="宋体" w:hAnsi="宋体" w:cs="宋体"/>
          <w:b/>
          <w:sz w:val="28"/>
          <w:szCs w:val="28"/>
        </w:rPr>
      </w:pPr>
      <w:r>
        <w:rPr>
          <w:rFonts w:hint="eastAsia" w:ascii="宋体" w:hAnsi="宋体" w:cs="宋体"/>
          <w:b/>
          <w:sz w:val="28"/>
          <w:szCs w:val="28"/>
        </w:rPr>
        <w:t>环境影响分析</w:t>
      </w:r>
    </w:p>
    <w:tbl>
      <w:tblPr>
        <w:tblStyle w:val="23"/>
        <w:tblW w:w="9090" w:type="dxa"/>
        <w:jc w:val="center"/>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fixed"/>
        <w:tblCellMar>
          <w:top w:w="0" w:type="dxa"/>
          <w:left w:w="108" w:type="dxa"/>
          <w:bottom w:w="0" w:type="dxa"/>
          <w:right w:w="108" w:type="dxa"/>
        </w:tblCellMar>
      </w:tblPr>
      <w:tblGrid>
        <w:gridCol w:w="9090"/>
      </w:tblGrid>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1400" w:hRule="atLeast"/>
          <w:jc w:val="center"/>
        </w:trPr>
        <w:tc>
          <w:tcPr>
            <w:tcW w:w="9090" w:type="dxa"/>
          </w:tcPr>
          <w:p>
            <w:pPr>
              <w:spacing w:line="360" w:lineRule="auto"/>
              <w:rPr>
                <w:b/>
                <w:bCs/>
                <w:sz w:val="24"/>
              </w:rPr>
            </w:pPr>
            <w:r>
              <w:rPr>
                <w:b/>
                <w:bCs/>
                <w:sz w:val="24"/>
              </w:rPr>
              <w:t>施工期环境影响简要分析：</w:t>
            </w:r>
          </w:p>
          <w:p>
            <w:pPr>
              <w:spacing w:line="360" w:lineRule="auto"/>
              <w:ind w:firstLine="480" w:firstLineChars="200"/>
              <w:rPr>
                <w:sz w:val="24"/>
              </w:rPr>
            </w:pPr>
            <w:r>
              <w:rPr>
                <w:rFonts w:hint="eastAsia"/>
                <w:sz w:val="24"/>
              </w:rPr>
              <w:t>项目租赁已建成的厂房进行生产，施工期主要是设备的安装与调试，故本次不再对施工期环境影响进行评价。</w:t>
            </w:r>
          </w:p>
        </w:tc>
      </w:tr>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11344" w:hRule="atLeast"/>
          <w:jc w:val="center"/>
        </w:trPr>
        <w:tc>
          <w:tcPr>
            <w:tcW w:w="9090" w:type="dxa"/>
          </w:tcPr>
          <w:p>
            <w:pPr>
              <w:spacing w:line="360" w:lineRule="auto"/>
              <w:rPr>
                <w:rFonts w:ascii="宋体" w:hAnsi="宋体" w:cs="宋体"/>
                <w:sz w:val="24"/>
              </w:rPr>
            </w:pPr>
            <w:r>
              <w:rPr>
                <w:rFonts w:hint="eastAsia" w:ascii="宋体" w:hAnsi="宋体" w:cs="宋体"/>
                <w:b/>
                <w:bCs/>
                <w:sz w:val="24"/>
              </w:rPr>
              <w:t>营运期环境影响分析：</w:t>
            </w:r>
          </w:p>
          <w:p>
            <w:pPr>
              <w:spacing w:line="360" w:lineRule="auto"/>
              <w:rPr>
                <w:rFonts w:ascii="宋体" w:hAnsi="宋体" w:cs="宋体"/>
                <w:b/>
                <w:bCs/>
                <w:sz w:val="24"/>
              </w:rPr>
            </w:pPr>
            <w:r>
              <w:rPr>
                <w:rFonts w:hint="eastAsia" w:ascii="宋体" w:hAnsi="宋体" w:cs="宋体"/>
                <w:b/>
                <w:bCs/>
                <w:sz w:val="24"/>
              </w:rPr>
              <w:t>一、废气</w:t>
            </w:r>
            <w:r>
              <w:rPr>
                <w:rFonts w:hint="eastAsia"/>
                <w:b/>
                <w:bCs/>
                <w:sz w:val="24"/>
              </w:rPr>
              <w:t>环境影响分析</w:t>
            </w:r>
          </w:p>
          <w:p>
            <w:pPr>
              <w:widowControl/>
              <w:spacing w:line="360" w:lineRule="auto"/>
              <w:rPr>
                <w:sz w:val="24"/>
              </w:rPr>
            </w:pPr>
            <w:r>
              <w:rPr>
                <w:rFonts w:hint="eastAsia"/>
                <w:sz w:val="24"/>
              </w:rPr>
              <w:t>1、注塑</w:t>
            </w:r>
            <w:r>
              <w:rPr>
                <w:rFonts w:hint="eastAsia" w:ascii="宋体" w:hAnsi="宋体" w:cs="宋体"/>
                <w:sz w:val="24"/>
              </w:rPr>
              <w:t>、</w:t>
            </w:r>
            <w:r>
              <w:rPr>
                <w:rFonts w:hint="eastAsia"/>
                <w:sz w:val="24"/>
                <w:lang w:val="en-US" w:eastAsia="zh-CN"/>
              </w:rPr>
              <w:t>塑化挤出</w:t>
            </w:r>
            <w:r>
              <w:rPr>
                <w:rFonts w:hint="eastAsia"/>
                <w:sz w:val="24"/>
              </w:rPr>
              <w:t>废气</w:t>
            </w:r>
          </w:p>
          <w:p>
            <w:pPr>
              <w:rPr>
                <w:sz w:val="24"/>
              </w:rPr>
            </w:pPr>
            <w:r>
              <w:rPr>
                <w:kern w:val="21"/>
                <w:sz w:val="24"/>
              </w:rPr>
              <w:t>本项目</w:t>
            </w:r>
            <w:r>
              <w:rPr>
                <w:rFonts w:hint="eastAsia"/>
                <w:kern w:val="21"/>
                <w:sz w:val="24"/>
              </w:rPr>
              <w:t>使用</w:t>
            </w:r>
            <w:r>
              <w:rPr>
                <w:rFonts w:hint="eastAsia" w:asciiTheme="minorEastAsia" w:hAnsiTheme="minorEastAsia" w:eastAsiaTheme="minorEastAsia" w:cstheme="minorEastAsia"/>
                <w:bCs/>
                <w:sz w:val="24"/>
                <w:szCs w:val="24"/>
              </w:rPr>
              <w:t>聚丙烯</w:t>
            </w:r>
            <w:r>
              <w:rPr>
                <w:rFonts w:hint="eastAsia" w:asciiTheme="minorEastAsia" w:hAnsiTheme="minorEastAsia" w:eastAsiaTheme="minorEastAsia" w:cstheme="minorEastAsia"/>
                <w:bCs/>
                <w:sz w:val="24"/>
                <w:szCs w:val="24"/>
                <w:lang w:eastAsia="zh-CN"/>
              </w:rPr>
              <w:t>（</w:t>
            </w:r>
            <w:r>
              <w:rPr>
                <w:rFonts w:hint="eastAsia"/>
                <w:kern w:val="21"/>
                <w:sz w:val="24"/>
                <w:lang w:val="en-US" w:eastAsia="zh-CN"/>
              </w:rPr>
              <w:t>PP</w:t>
            </w:r>
            <w:r>
              <w:rPr>
                <w:rFonts w:hint="eastAsia" w:asciiTheme="minorEastAsia" w:hAnsiTheme="minorEastAsia" w:eastAsiaTheme="minorEastAsia" w:cstheme="minorEastAsia"/>
                <w:bCs/>
                <w:sz w:val="24"/>
                <w:szCs w:val="24"/>
                <w:lang w:eastAsia="zh-CN"/>
              </w:rPr>
              <w:t>）</w:t>
            </w:r>
            <w:r>
              <w:rPr>
                <w:rFonts w:hint="eastAsia"/>
                <w:kern w:val="21"/>
                <w:sz w:val="24"/>
                <w:lang w:val="en-US" w:eastAsia="zh-CN"/>
              </w:rPr>
              <w:t>、</w:t>
            </w:r>
            <w:r>
              <w:rPr>
                <w:rFonts w:hint="eastAsia" w:asciiTheme="minorEastAsia" w:hAnsiTheme="minorEastAsia" w:eastAsiaTheme="minorEastAsia" w:cstheme="minorEastAsia"/>
                <w:bCs/>
                <w:sz w:val="24"/>
                <w:szCs w:val="24"/>
              </w:rPr>
              <w:t>聚乙烯</w:t>
            </w:r>
            <w:r>
              <w:rPr>
                <w:rFonts w:hint="eastAsia" w:asciiTheme="minorEastAsia" w:hAnsiTheme="minorEastAsia" w:eastAsiaTheme="minorEastAsia" w:cstheme="minorEastAsia"/>
                <w:bCs/>
                <w:sz w:val="24"/>
                <w:szCs w:val="24"/>
                <w:lang w:eastAsia="zh-CN"/>
              </w:rPr>
              <w:t>（</w:t>
            </w:r>
            <w:r>
              <w:rPr>
                <w:rFonts w:hint="eastAsia"/>
                <w:kern w:val="21"/>
                <w:sz w:val="24"/>
                <w:lang w:val="en-US" w:eastAsia="zh-CN"/>
              </w:rPr>
              <w:t>PE</w:t>
            </w:r>
            <w:r>
              <w:rPr>
                <w:rFonts w:hint="eastAsia" w:asciiTheme="minorEastAsia" w:hAnsiTheme="minorEastAsia" w:eastAsiaTheme="minorEastAsia" w:cstheme="minorEastAsia"/>
                <w:bCs/>
                <w:sz w:val="24"/>
                <w:szCs w:val="24"/>
                <w:lang w:eastAsia="zh-CN"/>
              </w:rPr>
              <w:t>）</w:t>
            </w:r>
            <w:r>
              <w:rPr>
                <w:rFonts w:hint="eastAsia"/>
                <w:kern w:val="21"/>
                <w:sz w:val="24"/>
                <w:lang w:val="en-US" w:eastAsia="zh-CN"/>
              </w:rPr>
              <w:t>材料</w:t>
            </w:r>
            <w:r>
              <w:rPr>
                <w:rFonts w:hint="eastAsia"/>
                <w:kern w:val="21"/>
                <w:sz w:val="24"/>
              </w:rPr>
              <w:t>，</w:t>
            </w:r>
            <w:r>
              <w:rPr>
                <w:rFonts w:hint="eastAsia"/>
                <w:sz w:val="24"/>
              </w:rPr>
              <w:t>一般</w:t>
            </w:r>
            <w:r>
              <w:rPr>
                <w:rFonts w:hint="eastAsia" w:asciiTheme="minorEastAsia" w:hAnsiTheme="minorEastAsia" w:eastAsiaTheme="minorEastAsia" w:cstheme="minorEastAsia"/>
                <w:bCs/>
                <w:sz w:val="24"/>
                <w:szCs w:val="24"/>
              </w:rPr>
              <w:t>聚丙烯</w:t>
            </w:r>
            <w:r>
              <w:rPr>
                <w:rFonts w:hint="eastAsia" w:asciiTheme="minorEastAsia" w:hAnsiTheme="minorEastAsia" w:eastAsiaTheme="minorEastAsia" w:cstheme="minorEastAsia"/>
                <w:bCs/>
                <w:sz w:val="24"/>
                <w:szCs w:val="24"/>
                <w:lang w:eastAsia="zh-CN"/>
              </w:rPr>
              <w:t>（</w:t>
            </w:r>
            <w:r>
              <w:rPr>
                <w:rFonts w:hint="eastAsia"/>
                <w:kern w:val="21"/>
                <w:sz w:val="24"/>
                <w:lang w:val="en-US" w:eastAsia="zh-CN"/>
              </w:rPr>
              <w:t>PP</w:t>
            </w:r>
            <w:r>
              <w:rPr>
                <w:rFonts w:hint="eastAsia" w:asciiTheme="minorEastAsia" w:hAnsiTheme="minorEastAsia" w:eastAsiaTheme="minorEastAsia" w:cstheme="minorEastAsia"/>
                <w:bCs/>
                <w:sz w:val="24"/>
                <w:szCs w:val="24"/>
                <w:lang w:eastAsia="zh-CN"/>
              </w:rPr>
              <w:t>）</w:t>
            </w:r>
            <w:r>
              <w:rPr>
                <w:rFonts w:hint="eastAsia"/>
                <w:kern w:val="21"/>
                <w:sz w:val="24"/>
                <w:lang w:val="en-US" w:eastAsia="zh-CN"/>
              </w:rPr>
              <w:t>、</w:t>
            </w:r>
            <w:r>
              <w:rPr>
                <w:rFonts w:hint="eastAsia" w:asciiTheme="minorEastAsia" w:hAnsiTheme="minorEastAsia" w:eastAsiaTheme="minorEastAsia" w:cstheme="minorEastAsia"/>
                <w:bCs/>
                <w:sz w:val="24"/>
                <w:szCs w:val="24"/>
              </w:rPr>
              <w:t>聚乙烯</w:t>
            </w:r>
            <w:r>
              <w:rPr>
                <w:rFonts w:hint="eastAsia" w:asciiTheme="minorEastAsia" w:hAnsiTheme="minorEastAsia" w:eastAsiaTheme="minorEastAsia" w:cstheme="minorEastAsia"/>
                <w:bCs/>
                <w:sz w:val="24"/>
                <w:szCs w:val="24"/>
                <w:lang w:eastAsia="zh-CN"/>
              </w:rPr>
              <w:t>（</w:t>
            </w:r>
            <w:r>
              <w:rPr>
                <w:rFonts w:hint="eastAsia"/>
                <w:kern w:val="21"/>
                <w:sz w:val="24"/>
                <w:lang w:val="en-US" w:eastAsia="zh-CN"/>
              </w:rPr>
              <w:t>PE</w:t>
            </w:r>
            <w:r>
              <w:rPr>
                <w:rFonts w:hint="eastAsia" w:asciiTheme="minorEastAsia" w:hAnsiTheme="minorEastAsia" w:eastAsiaTheme="minorEastAsia" w:cstheme="minorEastAsia"/>
                <w:bCs/>
                <w:sz w:val="24"/>
                <w:szCs w:val="24"/>
                <w:lang w:eastAsia="zh-CN"/>
              </w:rPr>
              <w:t>）</w:t>
            </w:r>
            <w:r>
              <w:rPr>
                <w:rFonts w:hint="eastAsia"/>
                <w:sz w:val="24"/>
                <w:lang w:val="en-US" w:eastAsia="zh-CN"/>
              </w:rPr>
              <w:t>材料</w:t>
            </w:r>
            <w:r>
              <w:rPr>
                <w:rFonts w:hint="eastAsia"/>
                <w:sz w:val="24"/>
              </w:rPr>
              <w:t>的热分解温度在250</w:t>
            </w:r>
            <w:r>
              <w:rPr>
                <w:rFonts w:hint="eastAsia" w:ascii="宋体" w:hAnsi="宋体" w:cs="宋体"/>
                <w:sz w:val="24"/>
              </w:rPr>
              <w:t>℃以上</w:t>
            </w:r>
            <w:r>
              <w:rPr>
                <w:rFonts w:hint="eastAsia"/>
                <w:sz w:val="24"/>
              </w:rPr>
              <w:t>，本项目注塑</w:t>
            </w:r>
            <w:r>
              <w:rPr>
                <w:rFonts w:hint="eastAsia" w:ascii="宋体" w:hAnsi="宋体" w:cs="宋体"/>
                <w:sz w:val="24"/>
              </w:rPr>
              <w:t>、</w:t>
            </w:r>
            <w:r>
              <w:rPr>
                <w:rFonts w:hint="eastAsia"/>
                <w:sz w:val="24"/>
                <w:lang w:val="en-US" w:eastAsia="zh-CN"/>
              </w:rPr>
              <w:t>塑化挤出</w:t>
            </w:r>
            <w:r>
              <w:rPr>
                <w:rFonts w:hint="eastAsia"/>
                <w:sz w:val="24"/>
              </w:rPr>
              <w:t>过程温度在130~170℃之间，没有达到</w:t>
            </w:r>
            <w:r>
              <w:rPr>
                <w:rFonts w:hint="eastAsia"/>
                <w:sz w:val="24"/>
                <w:lang w:val="en-US" w:eastAsia="zh-CN"/>
              </w:rPr>
              <w:t>PP、PE材料</w:t>
            </w:r>
            <w:r>
              <w:rPr>
                <w:rFonts w:hint="eastAsia"/>
                <w:sz w:val="24"/>
              </w:rPr>
              <w:t>的分解温度，</w:t>
            </w:r>
            <w:r>
              <w:rPr>
                <w:rFonts w:hint="eastAsia"/>
                <w:sz w:val="24"/>
                <w:lang w:eastAsia="zh-CN"/>
              </w:rPr>
              <w:t>主</w:t>
            </w:r>
            <w:r>
              <w:rPr>
                <w:rFonts w:hint="eastAsia"/>
                <w:sz w:val="24"/>
              </w:rPr>
              <w:t>要污染物为</w:t>
            </w:r>
            <w:r>
              <w:rPr>
                <w:rFonts w:hint="eastAsia"/>
                <w:sz w:val="24"/>
                <w:lang w:eastAsia="zh-CN"/>
              </w:rPr>
              <w:t>挥发出来的少量</w:t>
            </w:r>
            <w:r>
              <w:rPr>
                <w:rFonts w:hint="eastAsia"/>
                <w:sz w:val="24"/>
              </w:rPr>
              <w:t>苯乙烯、丁二烯</w:t>
            </w:r>
            <w:r>
              <w:rPr>
                <w:rFonts w:hint="eastAsia"/>
                <w:sz w:val="24"/>
                <w:lang w:eastAsia="zh-CN"/>
              </w:rPr>
              <w:t>等，由于苯乙烯、丁二烯等产生量较少难以定量，因此本次评价按非甲烷总烃计</w:t>
            </w:r>
            <w:r>
              <w:rPr>
                <w:rFonts w:hint="eastAsia" w:ascii="宋体" w:hAnsi="宋体" w:cs="宋体"/>
                <w:kern w:val="21"/>
                <w:sz w:val="24"/>
              </w:rPr>
              <w:t>。</w:t>
            </w:r>
            <w:r>
              <w:rPr>
                <w:rFonts w:hint="eastAsia"/>
                <w:sz w:val="24"/>
              </w:rPr>
              <w:t>目前，有机废气的净化方法有直接燃烧法、活性炭吸附法、催化燃烧法、吸收法、冷凝法、</w:t>
            </w:r>
            <w:r>
              <w:rPr>
                <w:sz w:val="24"/>
              </w:rPr>
              <w:t>UV</w:t>
            </w:r>
            <w:r>
              <w:rPr>
                <w:rFonts w:hint="eastAsia"/>
                <w:sz w:val="24"/>
              </w:rPr>
              <w:t>光解催化氧化法、低温等离子体等，各种方法的主要优缺点见表</w:t>
            </w:r>
            <w:r>
              <w:rPr>
                <w:rFonts w:hint="eastAsia"/>
                <w:sz w:val="24"/>
                <w:lang w:val="en-US" w:eastAsia="zh-CN"/>
              </w:rPr>
              <w:t>20</w:t>
            </w:r>
            <w:r>
              <w:rPr>
                <w:rFonts w:hint="eastAsia"/>
                <w:sz w:val="24"/>
              </w:rPr>
              <w:t>。</w:t>
            </w:r>
          </w:p>
          <w:p>
            <w:pPr>
              <w:ind w:firstLine="480" w:firstLineChars="200"/>
              <w:jc w:val="center"/>
              <w:rPr>
                <w:rFonts w:eastAsia="黑体"/>
                <w:sz w:val="24"/>
              </w:rPr>
            </w:pPr>
            <w:r>
              <w:rPr>
                <w:rFonts w:eastAsia="黑体"/>
                <w:sz w:val="24"/>
              </w:rPr>
              <w:t>表</w:t>
            </w:r>
            <w:r>
              <w:rPr>
                <w:rFonts w:hint="eastAsia" w:eastAsia="黑体"/>
                <w:sz w:val="24"/>
                <w:lang w:val="en-US" w:eastAsia="zh-CN"/>
              </w:rPr>
              <w:t>20</w:t>
            </w:r>
            <w:r>
              <w:rPr>
                <w:rFonts w:eastAsia="黑体"/>
                <w:sz w:val="24"/>
              </w:rPr>
              <w:t xml:space="preserve">  有机废气净化方法比较一览表</w:t>
            </w:r>
          </w:p>
          <w:tbl>
            <w:tblPr>
              <w:tblStyle w:val="24"/>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115"/>
              <w:gridCol w:w="2205"/>
              <w:gridCol w:w="1800"/>
              <w:gridCol w:w="15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5" w:type="dxa"/>
                  <w:tcBorders>
                    <w:tl2br w:val="nil"/>
                    <w:tr2bl w:val="nil"/>
                  </w:tcBorders>
                  <w:vAlign w:val="center"/>
                </w:tcPr>
                <w:p>
                  <w:pPr>
                    <w:spacing w:line="240" w:lineRule="exact"/>
                    <w:jc w:val="center"/>
                  </w:pPr>
                  <w:r>
                    <w:rPr>
                      <w:bCs/>
                      <w:kern w:val="21"/>
                      <w:szCs w:val="21"/>
                    </w:rPr>
                    <w:t>方法</w:t>
                  </w:r>
                </w:p>
              </w:tc>
              <w:tc>
                <w:tcPr>
                  <w:tcW w:w="2115" w:type="dxa"/>
                  <w:tcBorders>
                    <w:tl2br w:val="nil"/>
                    <w:tr2bl w:val="nil"/>
                  </w:tcBorders>
                  <w:vAlign w:val="center"/>
                </w:tcPr>
                <w:p>
                  <w:pPr>
                    <w:spacing w:line="240" w:lineRule="exact"/>
                    <w:jc w:val="center"/>
                  </w:pPr>
                  <w:r>
                    <w:rPr>
                      <w:bCs/>
                      <w:kern w:val="21"/>
                      <w:szCs w:val="21"/>
                    </w:rPr>
                    <w:t>原理</w:t>
                  </w:r>
                </w:p>
              </w:tc>
              <w:tc>
                <w:tcPr>
                  <w:tcW w:w="2205" w:type="dxa"/>
                  <w:tcBorders>
                    <w:tl2br w:val="nil"/>
                    <w:tr2bl w:val="nil"/>
                  </w:tcBorders>
                  <w:vAlign w:val="center"/>
                </w:tcPr>
                <w:p>
                  <w:pPr>
                    <w:spacing w:line="240" w:lineRule="exact"/>
                    <w:jc w:val="center"/>
                  </w:pPr>
                  <w:r>
                    <w:rPr>
                      <w:bCs/>
                      <w:kern w:val="21"/>
                      <w:szCs w:val="21"/>
                    </w:rPr>
                    <w:t>优点</w:t>
                  </w:r>
                </w:p>
              </w:tc>
              <w:tc>
                <w:tcPr>
                  <w:tcW w:w="1800" w:type="dxa"/>
                  <w:tcBorders>
                    <w:tl2br w:val="nil"/>
                    <w:tr2bl w:val="nil"/>
                  </w:tcBorders>
                  <w:vAlign w:val="center"/>
                </w:tcPr>
                <w:p>
                  <w:pPr>
                    <w:spacing w:line="240" w:lineRule="exact"/>
                    <w:jc w:val="center"/>
                  </w:pPr>
                  <w:r>
                    <w:rPr>
                      <w:bCs/>
                      <w:kern w:val="21"/>
                      <w:szCs w:val="21"/>
                    </w:rPr>
                    <w:t>缺点</w:t>
                  </w:r>
                </w:p>
              </w:tc>
              <w:tc>
                <w:tcPr>
                  <w:tcW w:w="1529" w:type="dxa"/>
                  <w:tcBorders>
                    <w:tl2br w:val="nil"/>
                    <w:tr2bl w:val="nil"/>
                  </w:tcBorders>
                  <w:vAlign w:val="center"/>
                </w:tcPr>
                <w:p>
                  <w:pPr>
                    <w:spacing w:line="240" w:lineRule="exact"/>
                    <w:jc w:val="center"/>
                  </w:pPr>
                  <w:r>
                    <w:rPr>
                      <w:bCs/>
                      <w:kern w:val="21"/>
                      <w:szCs w:val="21"/>
                    </w:rPr>
                    <w:t>适用范围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l2br w:val="nil"/>
                    <w:tr2bl w:val="nil"/>
                  </w:tcBorders>
                  <w:vAlign w:val="center"/>
                </w:tcPr>
                <w:p>
                  <w:pPr>
                    <w:spacing w:line="240" w:lineRule="exact"/>
                    <w:jc w:val="center"/>
                  </w:pPr>
                  <w:r>
                    <w:rPr>
                      <w:bCs/>
                      <w:kern w:val="21"/>
                      <w:szCs w:val="21"/>
                    </w:rPr>
                    <w:t>吸附法</w:t>
                  </w:r>
                </w:p>
              </w:tc>
              <w:tc>
                <w:tcPr>
                  <w:tcW w:w="2115" w:type="dxa"/>
                  <w:tcBorders>
                    <w:tl2br w:val="nil"/>
                    <w:tr2bl w:val="nil"/>
                  </w:tcBorders>
                  <w:vAlign w:val="center"/>
                </w:tcPr>
                <w:p>
                  <w:pPr>
                    <w:spacing w:line="240" w:lineRule="exact"/>
                    <w:jc w:val="center"/>
                  </w:pPr>
                  <w:r>
                    <w:rPr>
                      <w:bCs/>
                      <w:kern w:val="21"/>
                      <w:szCs w:val="21"/>
                    </w:rPr>
                    <w:t>废气分子扩散到固体吸附剂表面，有害成分被吸附而达到净化</w:t>
                  </w:r>
                </w:p>
              </w:tc>
              <w:tc>
                <w:tcPr>
                  <w:tcW w:w="2205" w:type="dxa"/>
                  <w:tcBorders>
                    <w:tl2br w:val="nil"/>
                    <w:tr2bl w:val="nil"/>
                  </w:tcBorders>
                  <w:vAlign w:val="center"/>
                </w:tcPr>
                <w:p>
                  <w:pPr>
                    <w:spacing w:line="240" w:lineRule="exact"/>
                    <w:jc w:val="center"/>
                  </w:pPr>
                  <w:r>
                    <w:rPr>
                      <w:bCs/>
                      <w:kern w:val="21"/>
                      <w:szCs w:val="21"/>
                    </w:rPr>
                    <w:t>可处理含有低浓度的碳氢化合物和低温废气；溶剂可回收，进行有效利用；处理程度可控制</w:t>
                  </w:r>
                </w:p>
              </w:tc>
              <w:tc>
                <w:tcPr>
                  <w:tcW w:w="1800" w:type="dxa"/>
                  <w:tcBorders>
                    <w:tl2br w:val="nil"/>
                    <w:tr2bl w:val="nil"/>
                  </w:tcBorders>
                  <w:vAlign w:val="center"/>
                </w:tcPr>
                <w:p>
                  <w:pPr>
                    <w:spacing w:line="240" w:lineRule="exact"/>
                    <w:jc w:val="center"/>
                  </w:pPr>
                  <w:r>
                    <w:rPr>
                      <w:bCs/>
                      <w:kern w:val="21"/>
                      <w:szCs w:val="21"/>
                    </w:rPr>
                    <w:t>吸附剂再生和补充费用高；在处理喷漆废气时要预先除漆雾</w:t>
                  </w:r>
                </w:p>
              </w:tc>
              <w:tc>
                <w:tcPr>
                  <w:tcW w:w="1529" w:type="dxa"/>
                  <w:tcBorders>
                    <w:tl2br w:val="nil"/>
                    <w:tr2bl w:val="nil"/>
                  </w:tcBorders>
                  <w:vAlign w:val="center"/>
                </w:tcPr>
                <w:p>
                  <w:pPr>
                    <w:spacing w:line="240" w:lineRule="exact"/>
                    <w:jc w:val="center"/>
                  </w:pPr>
                  <w:r>
                    <w:rPr>
                      <w:bCs/>
                      <w:kern w:val="21"/>
                      <w:szCs w:val="21"/>
                    </w:rPr>
                    <w:t>适用常温、低浓度、废气量较小的废气治理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l2br w:val="nil"/>
                    <w:tr2bl w:val="nil"/>
                  </w:tcBorders>
                  <w:vAlign w:val="center"/>
                </w:tcPr>
                <w:p>
                  <w:pPr>
                    <w:spacing w:line="240" w:lineRule="exact"/>
                    <w:jc w:val="center"/>
                  </w:pPr>
                  <w:r>
                    <w:rPr>
                      <w:bCs/>
                      <w:kern w:val="21"/>
                      <w:szCs w:val="21"/>
                    </w:rPr>
                    <w:t>直接燃烧法</w:t>
                  </w:r>
                </w:p>
              </w:tc>
              <w:tc>
                <w:tcPr>
                  <w:tcW w:w="2115" w:type="dxa"/>
                  <w:tcBorders>
                    <w:tl2br w:val="nil"/>
                    <w:tr2bl w:val="nil"/>
                  </w:tcBorders>
                  <w:vAlign w:val="center"/>
                </w:tcPr>
                <w:p>
                  <w:pPr>
                    <w:spacing w:line="240" w:lineRule="exact"/>
                    <w:jc w:val="center"/>
                  </w:pPr>
                  <w:r>
                    <w:rPr>
                      <w:bCs/>
                      <w:kern w:val="21"/>
                      <w:szCs w:val="21"/>
                    </w:rPr>
                    <w:t>废气与燃烧室火焰直接接触，有害物燃烧成CO</w:t>
                  </w:r>
                  <w:r>
                    <w:rPr>
                      <w:bCs/>
                      <w:kern w:val="21"/>
                      <w:szCs w:val="21"/>
                      <w:vertAlign w:val="subscript"/>
                    </w:rPr>
                    <w:t>2</w:t>
                  </w:r>
                  <w:r>
                    <w:rPr>
                      <w:bCs/>
                      <w:kern w:val="21"/>
                      <w:szCs w:val="21"/>
                    </w:rPr>
                    <w:t>和H</w:t>
                  </w:r>
                  <w:r>
                    <w:rPr>
                      <w:bCs/>
                      <w:kern w:val="21"/>
                      <w:szCs w:val="21"/>
                      <w:vertAlign w:val="subscript"/>
                    </w:rPr>
                    <w:t>2</w:t>
                  </w:r>
                  <w:r>
                    <w:rPr>
                      <w:bCs/>
                      <w:kern w:val="21"/>
                      <w:szCs w:val="21"/>
                    </w:rPr>
                    <w:t>O，使废气净化</w:t>
                  </w:r>
                </w:p>
              </w:tc>
              <w:tc>
                <w:tcPr>
                  <w:tcW w:w="2205" w:type="dxa"/>
                  <w:tcBorders>
                    <w:tl2br w:val="nil"/>
                    <w:tr2bl w:val="nil"/>
                  </w:tcBorders>
                  <w:vAlign w:val="center"/>
                </w:tcPr>
                <w:p>
                  <w:pPr>
                    <w:spacing w:line="240" w:lineRule="exact"/>
                    <w:jc w:val="center"/>
                  </w:pPr>
                  <w:r>
                    <w:rPr>
                      <w:bCs/>
                      <w:kern w:val="21"/>
                      <w:szCs w:val="21"/>
                    </w:rPr>
                    <w:t>燃烧效率高，管理容易，维护简单；装置占地面积小；不稳定因素少，可靠性高</w:t>
                  </w:r>
                </w:p>
              </w:tc>
              <w:tc>
                <w:tcPr>
                  <w:tcW w:w="1800" w:type="dxa"/>
                  <w:tcBorders>
                    <w:tl2br w:val="nil"/>
                    <w:tr2bl w:val="nil"/>
                  </w:tcBorders>
                  <w:vAlign w:val="center"/>
                </w:tcPr>
                <w:p>
                  <w:pPr>
                    <w:spacing w:line="240" w:lineRule="exact"/>
                    <w:jc w:val="center"/>
                  </w:pPr>
                  <w:r>
                    <w:rPr>
                      <w:bCs/>
                      <w:kern w:val="21"/>
                      <w:szCs w:val="21"/>
                    </w:rPr>
                    <w:t>处理温度高，燃料费用高，设备造价高，处理低浓度、风量大的废气不经济</w:t>
                  </w:r>
                </w:p>
              </w:tc>
              <w:tc>
                <w:tcPr>
                  <w:tcW w:w="1529" w:type="dxa"/>
                  <w:tcBorders>
                    <w:tl2br w:val="nil"/>
                    <w:tr2bl w:val="nil"/>
                  </w:tcBorders>
                  <w:vAlign w:val="center"/>
                </w:tcPr>
                <w:p>
                  <w:pPr>
                    <w:spacing w:line="240" w:lineRule="exact"/>
                    <w:jc w:val="center"/>
                  </w:pPr>
                  <w:r>
                    <w:rPr>
                      <w:bCs/>
                      <w:kern w:val="21"/>
                      <w:szCs w:val="21"/>
                    </w:rPr>
                    <w:t>使用于有机溶剂含量高、湿度高的废气治理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l2br w:val="nil"/>
                    <w:tr2bl w:val="nil"/>
                  </w:tcBorders>
                  <w:vAlign w:val="center"/>
                </w:tcPr>
                <w:p>
                  <w:pPr>
                    <w:spacing w:line="240" w:lineRule="exact"/>
                    <w:jc w:val="center"/>
                  </w:pPr>
                  <w:r>
                    <w:rPr>
                      <w:bCs/>
                      <w:kern w:val="21"/>
                      <w:szCs w:val="21"/>
                    </w:rPr>
                    <w:t>冷凝法</w:t>
                  </w:r>
                </w:p>
              </w:tc>
              <w:tc>
                <w:tcPr>
                  <w:tcW w:w="2115" w:type="dxa"/>
                  <w:tcBorders>
                    <w:tl2br w:val="nil"/>
                    <w:tr2bl w:val="nil"/>
                  </w:tcBorders>
                  <w:vAlign w:val="center"/>
                </w:tcPr>
                <w:p>
                  <w:pPr>
                    <w:spacing w:line="240" w:lineRule="exact"/>
                    <w:jc w:val="center"/>
                  </w:pPr>
                  <w:r>
                    <w:rPr>
                      <w:bCs/>
                      <w:kern w:val="21"/>
                      <w:szCs w:val="21"/>
                    </w:rPr>
                    <w:t>降低有害气体的温度，使某些成分冷凝成液体</w:t>
                  </w:r>
                </w:p>
              </w:tc>
              <w:tc>
                <w:tcPr>
                  <w:tcW w:w="2205" w:type="dxa"/>
                  <w:tcBorders>
                    <w:tl2br w:val="nil"/>
                    <w:tr2bl w:val="nil"/>
                  </w:tcBorders>
                  <w:vAlign w:val="center"/>
                </w:tcPr>
                <w:p>
                  <w:pPr>
                    <w:spacing w:line="240" w:lineRule="exact"/>
                    <w:jc w:val="center"/>
                  </w:pPr>
                  <w:r>
                    <w:rPr>
                      <w:bCs/>
                      <w:kern w:val="21"/>
                      <w:szCs w:val="21"/>
                    </w:rPr>
                    <w:t>设备、操作条件简单，回收物质纯度高</w:t>
                  </w:r>
                </w:p>
              </w:tc>
              <w:tc>
                <w:tcPr>
                  <w:tcW w:w="1800" w:type="dxa"/>
                  <w:tcBorders>
                    <w:tl2br w:val="nil"/>
                    <w:tr2bl w:val="nil"/>
                  </w:tcBorders>
                  <w:vAlign w:val="center"/>
                </w:tcPr>
                <w:p>
                  <w:pPr>
                    <w:spacing w:line="240" w:lineRule="exact"/>
                    <w:jc w:val="center"/>
                  </w:pPr>
                  <w:r>
                    <w:rPr>
                      <w:bCs/>
                      <w:kern w:val="21"/>
                      <w:szCs w:val="21"/>
                    </w:rPr>
                    <w:t>净化效率低，不能达到标准要求</w:t>
                  </w:r>
                </w:p>
              </w:tc>
              <w:tc>
                <w:tcPr>
                  <w:tcW w:w="1529" w:type="dxa"/>
                  <w:tcBorders>
                    <w:tl2br w:val="nil"/>
                    <w:tr2bl w:val="nil"/>
                  </w:tcBorders>
                  <w:vAlign w:val="center"/>
                </w:tcPr>
                <w:p>
                  <w:pPr>
                    <w:spacing w:line="240" w:lineRule="exact"/>
                    <w:jc w:val="center"/>
                  </w:pPr>
                  <w:r>
                    <w:rPr>
                      <w:bCs/>
                      <w:kern w:val="21"/>
                      <w:szCs w:val="21"/>
                    </w:rPr>
                    <w:t>适用于组分单一的高浓度有机废气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l2br w:val="nil"/>
                    <w:tr2bl w:val="nil"/>
                  </w:tcBorders>
                  <w:vAlign w:val="center"/>
                </w:tcPr>
                <w:p>
                  <w:pPr>
                    <w:spacing w:line="240" w:lineRule="exact"/>
                    <w:jc w:val="center"/>
                  </w:pPr>
                  <w:r>
                    <w:rPr>
                      <w:bCs/>
                      <w:kern w:val="21"/>
                      <w:szCs w:val="21"/>
                    </w:rPr>
                    <w:t>吸收法</w:t>
                  </w:r>
                </w:p>
              </w:tc>
              <w:tc>
                <w:tcPr>
                  <w:tcW w:w="2115" w:type="dxa"/>
                  <w:tcBorders>
                    <w:tl2br w:val="nil"/>
                    <w:tr2bl w:val="nil"/>
                  </w:tcBorders>
                  <w:vAlign w:val="center"/>
                </w:tcPr>
                <w:p>
                  <w:pPr>
                    <w:spacing w:line="240" w:lineRule="exact"/>
                    <w:jc w:val="center"/>
                  </w:pPr>
                  <w:r>
                    <w:rPr>
                      <w:bCs/>
                      <w:kern w:val="21"/>
                      <w:szCs w:val="21"/>
                    </w:rPr>
                    <w:t>液体作为吸收剂，使废气中有害气体被吸收剂吸收而达到净化</w:t>
                  </w:r>
                </w:p>
              </w:tc>
              <w:tc>
                <w:tcPr>
                  <w:tcW w:w="2205" w:type="dxa"/>
                  <w:tcBorders>
                    <w:tl2br w:val="nil"/>
                    <w:tr2bl w:val="nil"/>
                  </w:tcBorders>
                  <w:vAlign w:val="center"/>
                </w:tcPr>
                <w:p>
                  <w:pPr>
                    <w:spacing w:line="240" w:lineRule="exact"/>
                    <w:jc w:val="center"/>
                  </w:pPr>
                  <w:r>
                    <w:rPr>
                      <w:bCs/>
                      <w:kern w:val="21"/>
                      <w:szCs w:val="21"/>
                    </w:rPr>
                    <w:t>设备费用低，运转费用少；无爆炸、火灾等危险，安全性高</w:t>
                  </w:r>
                </w:p>
              </w:tc>
              <w:tc>
                <w:tcPr>
                  <w:tcW w:w="1800" w:type="dxa"/>
                  <w:tcBorders>
                    <w:tl2br w:val="nil"/>
                    <w:tr2bl w:val="nil"/>
                  </w:tcBorders>
                  <w:vAlign w:val="center"/>
                </w:tcPr>
                <w:p>
                  <w:pPr>
                    <w:spacing w:line="240" w:lineRule="exact"/>
                    <w:jc w:val="center"/>
                  </w:pPr>
                  <w:r>
                    <w:rPr>
                      <w:bCs/>
                      <w:kern w:val="21"/>
                      <w:szCs w:val="21"/>
                    </w:rPr>
                    <w:t>需要对产生废水进行二次处理，对涂料品种有限制</w:t>
                  </w:r>
                </w:p>
              </w:tc>
              <w:tc>
                <w:tcPr>
                  <w:tcW w:w="1529" w:type="dxa"/>
                  <w:tcBorders>
                    <w:tl2br w:val="nil"/>
                    <w:tr2bl w:val="nil"/>
                  </w:tcBorders>
                  <w:vAlign w:val="center"/>
                </w:tcPr>
                <w:p>
                  <w:pPr>
                    <w:spacing w:line="240" w:lineRule="exact"/>
                    <w:jc w:val="center"/>
                  </w:pPr>
                  <w:r>
                    <w:rPr>
                      <w:bCs/>
                      <w:kern w:val="21"/>
                      <w:szCs w:val="21"/>
                    </w:rPr>
                    <w:t>适用于高、低浓度非甲烷总烃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l2br w:val="nil"/>
                    <w:tr2bl w:val="nil"/>
                  </w:tcBorders>
                  <w:vAlign w:val="center"/>
                </w:tcPr>
                <w:p>
                  <w:pPr>
                    <w:spacing w:line="240" w:lineRule="exact"/>
                    <w:jc w:val="center"/>
                  </w:pPr>
                  <w:r>
                    <w:rPr>
                      <w:bCs/>
                      <w:kern w:val="21"/>
                      <w:szCs w:val="21"/>
                    </w:rPr>
                    <w:t>催化燃烧法</w:t>
                  </w:r>
                </w:p>
              </w:tc>
              <w:tc>
                <w:tcPr>
                  <w:tcW w:w="2115" w:type="dxa"/>
                  <w:tcBorders>
                    <w:tl2br w:val="nil"/>
                    <w:tr2bl w:val="nil"/>
                  </w:tcBorders>
                  <w:vAlign w:val="center"/>
                </w:tcPr>
                <w:p>
                  <w:pPr>
                    <w:spacing w:line="240" w:lineRule="exact"/>
                    <w:jc w:val="center"/>
                  </w:pPr>
                  <w:r>
                    <w:rPr>
                      <w:bCs/>
                      <w:kern w:val="21"/>
                      <w:szCs w:val="21"/>
                    </w:rPr>
                    <w:t>在催化剂作用下，使有机废气在引燃点温度以下燃烧生成CO</w:t>
                  </w:r>
                  <w:r>
                    <w:rPr>
                      <w:bCs/>
                      <w:kern w:val="21"/>
                      <w:szCs w:val="21"/>
                      <w:vertAlign w:val="subscript"/>
                    </w:rPr>
                    <w:t>2</w:t>
                  </w:r>
                  <w:r>
                    <w:rPr>
                      <w:bCs/>
                      <w:kern w:val="21"/>
                      <w:szCs w:val="21"/>
                    </w:rPr>
                    <w:t>和H</w:t>
                  </w:r>
                  <w:r>
                    <w:rPr>
                      <w:bCs/>
                      <w:kern w:val="21"/>
                      <w:szCs w:val="21"/>
                      <w:vertAlign w:val="subscript"/>
                    </w:rPr>
                    <w:t>2</w:t>
                  </w:r>
                  <w:r>
                    <w:rPr>
                      <w:bCs/>
                      <w:kern w:val="21"/>
                      <w:szCs w:val="21"/>
                    </w:rPr>
                    <w:t>O而被净化</w:t>
                  </w:r>
                </w:p>
              </w:tc>
              <w:tc>
                <w:tcPr>
                  <w:tcW w:w="2205" w:type="dxa"/>
                  <w:tcBorders>
                    <w:tl2br w:val="nil"/>
                    <w:tr2bl w:val="nil"/>
                  </w:tcBorders>
                  <w:vAlign w:val="center"/>
                </w:tcPr>
                <w:p>
                  <w:pPr>
                    <w:spacing w:line="240" w:lineRule="exact"/>
                    <w:jc w:val="center"/>
                  </w:pPr>
                  <w:r>
                    <w:rPr>
                      <w:bCs/>
                      <w:kern w:val="21"/>
                      <w:szCs w:val="21"/>
                    </w:rPr>
                    <w:t>与直接燃烧法相比，能在低温下氧化分解，燃料费可剩1/2；装置占地面积小；NO</w:t>
                  </w:r>
                  <w:r>
                    <w:rPr>
                      <w:bCs/>
                      <w:kern w:val="21"/>
                      <w:szCs w:val="21"/>
                      <w:vertAlign w:val="subscript"/>
                    </w:rPr>
                    <w:t>X</w:t>
                  </w:r>
                  <w:r>
                    <w:rPr>
                      <w:bCs/>
                      <w:kern w:val="21"/>
                      <w:szCs w:val="21"/>
                    </w:rPr>
                    <w:t>生成少</w:t>
                  </w:r>
                </w:p>
              </w:tc>
              <w:tc>
                <w:tcPr>
                  <w:tcW w:w="1800" w:type="dxa"/>
                  <w:tcBorders>
                    <w:tl2br w:val="nil"/>
                    <w:tr2bl w:val="nil"/>
                  </w:tcBorders>
                  <w:vAlign w:val="center"/>
                </w:tcPr>
                <w:p>
                  <w:pPr>
                    <w:spacing w:line="240" w:lineRule="exact"/>
                    <w:jc w:val="center"/>
                  </w:pPr>
                  <w:r>
                    <w:rPr>
                      <w:bCs/>
                      <w:kern w:val="21"/>
                      <w:szCs w:val="21"/>
                    </w:rPr>
                    <w:t>催化剂价格高，需考虑催化剂中毒和催化剂寿命；必须进行前处理除去尘埃、漆雾等；催化剂和设备价格高</w:t>
                  </w:r>
                </w:p>
              </w:tc>
              <w:tc>
                <w:tcPr>
                  <w:tcW w:w="1529" w:type="dxa"/>
                  <w:tcBorders>
                    <w:tl2br w:val="nil"/>
                    <w:tr2bl w:val="nil"/>
                  </w:tcBorders>
                  <w:vAlign w:val="center"/>
                </w:tcPr>
                <w:p>
                  <w:pPr>
                    <w:spacing w:line="240" w:lineRule="exact"/>
                    <w:jc w:val="center"/>
                  </w:pPr>
                  <w:r>
                    <w:rPr>
                      <w:bCs/>
                      <w:kern w:val="21"/>
                      <w:szCs w:val="21"/>
                    </w:rPr>
                    <w:t>适用于废气温度高、流量小、有机溶剂浓度高、含杂质少的场合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l2br w:val="nil"/>
                    <w:tr2bl w:val="nil"/>
                  </w:tcBorders>
                  <w:vAlign w:val="center"/>
                </w:tcPr>
                <w:p>
                  <w:pPr>
                    <w:spacing w:line="240" w:lineRule="exact"/>
                    <w:jc w:val="center"/>
                  </w:pPr>
                  <w:r>
                    <w:rPr>
                      <w:bCs/>
                      <w:kern w:val="21"/>
                      <w:szCs w:val="21"/>
                    </w:rPr>
                    <w:t>低温等离子体</w:t>
                  </w:r>
                </w:p>
              </w:tc>
              <w:tc>
                <w:tcPr>
                  <w:tcW w:w="2115" w:type="dxa"/>
                  <w:tcBorders>
                    <w:tl2br w:val="nil"/>
                    <w:tr2bl w:val="nil"/>
                  </w:tcBorders>
                  <w:vAlign w:val="center"/>
                </w:tcPr>
                <w:p>
                  <w:pPr>
                    <w:spacing w:line="240" w:lineRule="exact"/>
                    <w:jc w:val="center"/>
                  </w:pPr>
                  <w:r>
                    <w:rPr>
                      <w:bCs/>
                      <w:kern w:val="21"/>
                      <w:szCs w:val="21"/>
                    </w:rPr>
                    <w:t>放电过程中，电子从电场中获得能量，使污染物分子被激发或发生电离形成活性基团，活性基团之间发生反应，最终转化为CO</w:t>
                  </w:r>
                  <w:r>
                    <w:rPr>
                      <w:bCs/>
                      <w:kern w:val="21"/>
                      <w:szCs w:val="21"/>
                      <w:vertAlign w:val="subscript"/>
                    </w:rPr>
                    <w:t>2</w:t>
                  </w:r>
                  <w:r>
                    <w:rPr>
                      <w:bCs/>
                      <w:kern w:val="21"/>
                      <w:szCs w:val="21"/>
                    </w:rPr>
                    <w:t>和H</w:t>
                  </w:r>
                  <w:r>
                    <w:rPr>
                      <w:bCs/>
                      <w:kern w:val="21"/>
                      <w:szCs w:val="21"/>
                      <w:vertAlign w:val="subscript"/>
                    </w:rPr>
                    <w:t>2</w:t>
                  </w:r>
                  <w:r>
                    <w:rPr>
                      <w:bCs/>
                      <w:kern w:val="21"/>
                      <w:szCs w:val="21"/>
                    </w:rPr>
                    <w:t>O等物质而达到净化</w:t>
                  </w:r>
                </w:p>
              </w:tc>
              <w:tc>
                <w:tcPr>
                  <w:tcW w:w="2205" w:type="dxa"/>
                  <w:tcBorders>
                    <w:tl2br w:val="nil"/>
                    <w:tr2bl w:val="nil"/>
                  </w:tcBorders>
                  <w:vAlign w:val="center"/>
                </w:tcPr>
                <w:p>
                  <w:pPr>
                    <w:spacing w:line="240" w:lineRule="exact"/>
                    <w:jc w:val="center"/>
                  </w:pPr>
                  <w:r>
                    <w:rPr>
                      <w:bCs/>
                      <w:kern w:val="21"/>
                      <w:szCs w:val="21"/>
                    </w:rPr>
                    <w:t>电子能量高，几乎可以和所有的有机气体发生作用；反应快，不受气速限制，只需用电，操作简单，占地小，运行成本低廉</w:t>
                  </w:r>
                </w:p>
              </w:tc>
              <w:tc>
                <w:tcPr>
                  <w:tcW w:w="1800" w:type="dxa"/>
                  <w:tcBorders>
                    <w:tl2br w:val="nil"/>
                    <w:tr2bl w:val="nil"/>
                  </w:tcBorders>
                  <w:vAlign w:val="center"/>
                </w:tcPr>
                <w:p>
                  <w:pPr>
                    <w:spacing w:line="240" w:lineRule="exact"/>
                    <w:jc w:val="center"/>
                  </w:pPr>
                  <w:r>
                    <w:rPr>
                      <w:bCs/>
                      <w:kern w:val="21"/>
                      <w:szCs w:val="21"/>
                    </w:rPr>
                    <w:t>净化效率较燃烧法低</w:t>
                  </w:r>
                </w:p>
              </w:tc>
              <w:tc>
                <w:tcPr>
                  <w:tcW w:w="1529" w:type="dxa"/>
                  <w:tcBorders>
                    <w:tl2br w:val="nil"/>
                    <w:tr2bl w:val="nil"/>
                  </w:tcBorders>
                  <w:vAlign w:val="center"/>
                </w:tcPr>
                <w:p>
                  <w:pPr>
                    <w:spacing w:line="240" w:lineRule="exact"/>
                    <w:jc w:val="center"/>
                  </w:pPr>
                  <w:r>
                    <w:rPr>
                      <w:bCs/>
                      <w:kern w:val="21"/>
                      <w:szCs w:val="21"/>
                    </w:rPr>
                    <w:t>适用于低浓度(＜300mg/m</w:t>
                  </w:r>
                  <w:r>
                    <w:rPr>
                      <w:bCs/>
                      <w:kern w:val="21"/>
                      <w:szCs w:val="21"/>
                      <w:vertAlign w:val="superscript"/>
                    </w:rPr>
                    <w:t>3</w:t>
                  </w:r>
                  <w:r>
                    <w:rPr>
                      <w:bCs/>
                      <w:kern w:val="21"/>
                      <w:szCs w:val="21"/>
                    </w:rPr>
                    <w:t>)有机废气的治理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l2br w:val="nil"/>
                    <w:tr2bl w:val="nil"/>
                  </w:tcBorders>
                  <w:vAlign w:val="center"/>
                </w:tcPr>
                <w:p>
                  <w:pPr>
                    <w:spacing w:line="240" w:lineRule="exact"/>
                    <w:jc w:val="center"/>
                  </w:pPr>
                  <w:r>
                    <w:rPr>
                      <w:bCs/>
                      <w:kern w:val="21"/>
                      <w:szCs w:val="21"/>
                    </w:rPr>
                    <w:t>UV光催化氧化法</w:t>
                  </w:r>
                </w:p>
              </w:tc>
              <w:tc>
                <w:tcPr>
                  <w:tcW w:w="2115" w:type="dxa"/>
                  <w:tcBorders>
                    <w:tl2br w:val="nil"/>
                    <w:tr2bl w:val="nil"/>
                  </w:tcBorders>
                  <w:vAlign w:val="center"/>
                </w:tcPr>
                <w:p>
                  <w:pPr>
                    <w:spacing w:line="240" w:lineRule="exact"/>
                    <w:jc w:val="center"/>
                  </w:pPr>
                  <w:r>
                    <w:rPr>
                      <w:bCs/>
                      <w:kern w:val="21"/>
                      <w:szCs w:val="21"/>
                    </w:rPr>
                    <w:t>利用高能高臭氧UV紫外线光束分解空气中的氧分子产生游离氧，游离氧与氧分子结合产生臭氧。UV＋O</w:t>
                  </w:r>
                  <w:r>
                    <w:rPr>
                      <w:bCs/>
                      <w:kern w:val="21"/>
                      <w:szCs w:val="21"/>
                      <w:vertAlign w:val="subscript"/>
                    </w:rPr>
                    <w:t>2</w:t>
                  </w:r>
                  <w:r>
                    <w:rPr>
                      <w:bCs/>
                      <w:kern w:val="21"/>
                      <w:szCs w:val="21"/>
                    </w:rPr>
                    <w:t>→O</w:t>
                  </w:r>
                  <w:r>
                    <w:rPr>
                      <w:bCs/>
                      <w:kern w:val="21"/>
                      <w:szCs w:val="21"/>
                      <w:vertAlign w:val="superscript"/>
                    </w:rPr>
                    <w:t>-</w:t>
                  </w:r>
                  <w:r>
                    <w:rPr>
                      <w:bCs/>
                      <w:kern w:val="21"/>
                      <w:szCs w:val="21"/>
                    </w:rPr>
                    <w:t>+O*(活性氧)O+O</w:t>
                  </w:r>
                  <w:r>
                    <w:rPr>
                      <w:bCs/>
                      <w:kern w:val="21"/>
                      <w:szCs w:val="21"/>
                      <w:vertAlign w:val="subscript"/>
                    </w:rPr>
                    <w:t>2</w:t>
                  </w:r>
                  <w:r>
                    <w:rPr>
                      <w:bCs/>
                      <w:kern w:val="21"/>
                      <w:szCs w:val="21"/>
                    </w:rPr>
                    <w:t>→O</w:t>
                  </w:r>
                  <w:r>
                    <w:rPr>
                      <w:bCs/>
                      <w:kern w:val="21"/>
                      <w:szCs w:val="21"/>
                      <w:vertAlign w:val="subscript"/>
                    </w:rPr>
                    <w:t>3</w:t>
                  </w:r>
                  <w:r>
                    <w:rPr>
                      <w:bCs/>
                      <w:kern w:val="21"/>
                      <w:szCs w:val="21"/>
                    </w:rPr>
                    <w:t>(臭氧)，臭氧将有机物废气氧化成CO</w:t>
                  </w:r>
                  <w:r>
                    <w:rPr>
                      <w:bCs/>
                      <w:kern w:val="21"/>
                      <w:szCs w:val="21"/>
                      <w:vertAlign w:val="subscript"/>
                    </w:rPr>
                    <w:t>2</w:t>
                  </w:r>
                  <w:r>
                    <w:rPr>
                      <w:bCs/>
                      <w:kern w:val="21"/>
                      <w:szCs w:val="21"/>
                    </w:rPr>
                    <w:t>和H</w:t>
                  </w:r>
                  <w:r>
                    <w:rPr>
                      <w:bCs/>
                      <w:kern w:val="21"/>
                      <w:szCs w:val="21"/>
                      <w:vertAlign w:val="subscript"/>
                    </w:rPr>
                    <w:t>2</w:t>
                  </w:r>
                  <w:r>
                    <w:rPr>
                      <w:bCs/>
                      <w:kern w:val="21"/>
                      <w:szCs w:val="21"/>
                    </w:rPr>
                    <w:t>O。</w:t>
                  </w:r>
                </w:p>
              </w:tc>
              <w:tc>
                <w:tcPr>
                  <w:tcW w:w="2205" w:type="dxa"/>
                  <w:tcBorders>
                    <w:tl2br w:val="nil"/>
                    <w:tr2bl w:val="nil"/>
                  </w:tcBorders>
                  <w:vAlign w:val="center"/>
                </w:tcPr>
                <w:p>
                  <w:pPr>
                    <w:jc w:val="center"/>
                  </w:pPr>
                  <w:r>
                    <w:rPr>
                      <w:rFonts w:hint="eastAsia"/>
                      <w:kern w:val="21"/>
                      <w:szCs w:val="21"/>
                    </w:rPr>
                    <w:t>处理效率高，占地小，投资运行费用较低，适应性强、高效除恶臭、运行成本低、有机废气无需预处理等</w:t>
                  </w:r>
                </w:p>
              </w:tc>
              <w:tc>
                <w:tcPr>
                  <w:tcW w:w="1800" w:type="dxa"/>
                  <w:tcBorders>
                    <w:tl2br w:val="nil"/>
                    <w:tr2bl w:val="nil"/>
                  </w:tcBorders>
                  <w:vAlign w:val="center"/>
                </w:tcPr>
                <w:p>
                  <w:pPr>
                    <w:jc w:val="center"/>
                  </w:pPr>
                  <w:r>
                    <w:rPr>
                      <w:rFonts w:hint="eastAsia"/>
                      <w:kern w:val="21"/>
                      <w:szCs w:val="21"/>
                    </w:rPr>
                    <w:t>需要定期保养与维护</w:t>
                  </w:r>
                </w:p>
              </w:tc>
              <w:tc>
                <w:tcPr>
                  <w:tcW w:w="1529" w:type="dxa"/>
                  <w:tcBorders>
                    <w:tl2br w:val="nil"/>
                    <w:tr2bl w:val="nil"/>
                  </w:tcBorders>
                  <w:vAlign w:val="center"/>
                </w:tcPr>
                <w:p>
                  <w:pPr>
                    <w:jc w:val="center"/>
                  </w:pPr>
                  <w:r>
                    <w:rPr>
                      <w:rFonts w:hint="eastAsia"/>
                      <w:kern w:val="21"/>
                      <w:szCs w:val="21"/>
                    </w:rPr>
                    <w:t>适用于大部分有机废气，适用于中低浓度、中小风量的废气治理</w:t>
                  </w:r>
                </w:p>
              </w:tc>
            </w:tr>
          </w:tbl>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b w:val="0"/>
                <w:bCs w:val="0"/>
                <w:kern w:val="21"/>
              </w:rPr>
              <w:t>本项目非甲烷总烃产污系数采用</w:t>
            </w:r>
            <w:r>
              <w:rPr>
                <w:rFonts w:hint="eastAsia"/>
                <w:b w:val="0"/>
                <w:bCs w:val="0"/>
                <w:sz w:val="24"/>
                <w:szCs w:val="24"/>
                <w:lang w:eastAsia="zh-CN"/>
              </w:rPr>
              <w:t>《</w:t>
            </w:r>
            <w:r>
              <w:rPr>
                <w:rFonts w:hint="eastAsia"/>
                <w:b w:val="0"/>
                <w:bCs w:val="0"/>
                <w:sz w:val="24"/>
                <w:szCs w:val="24"/>
              </w:rPr>
              <w:t>合成树脂工业污染源排放标准</w:t>
            </w:r>
            <w:r>
              <w:rPr>
                <w:rFonts w:hint="eastAsia"/>
                <w:b w:val="0"/>
                <w:bCs w:val="0"/>
                <w:sz w:val="24"/>
                <w:szCs w:val="24"/>
                <w:lang w:eastAsia="zh-CN"/>
              </w:rPr>
              <w:t>》（</w:t>
            </w:r>
            <w:r>
              <w:rPr>
                <w:rFonts w:hint="eastAsia"/>
                <w:b w:val="0"/>
                <w:bCs w:val="0"/>
                <w:sz w:val="24"/>
                <w:szCs w:val="24"/>
                <w:lang w:val="en-US" w:eastAsia="zh-CN"/>
              </w:rPr>
              <w:t>GB31572-2015）中</w:t>
            </w:r>
            <w:r>
              <w:rPr>
                <w:rFonts w:hint="eastAsia"/>
                <w:b w:val="0"/>
                <w:bCs w:val="0"/>
                <w:kern w:val="21"/>
                <w:lang w:eastAsia="zh-CN"/>
              </w:rPr>
              <w:t>单位产品非甲烷总烃排放量</w:t>
            </w:r>
            <w:r>
              <w:rPr>
                <w:rFonts w:hint="eastAsia"/>
                <w:b w:val="0"/>
                <w:bCs w:val="0"/>
                <w:kern w:val="21"/>
              </w:rPr>
              <w:t>0.3kg/t</w:t>
            </w:r>
            <w:r>
              <w:rPr>
                <w:rFonts w:hint="eastAsia"/>
                <w:b w:val="0"/>
                <w:bCs w:val="0"/>
                <w:kern w:val="21"/>
                <w:lang w:eastAsia="zh-CN"/>
              </w:rPr>
              <w:t>产品</w:t>
            </w:r>
            <w:r>
              <w:rPr>
                <w:rFonts w:hint="eastAsia"/>
                <w:b w:val="0"/>
                <w:bCs w:val="0"/>
                <w:kern w:val="21"/>
              </w:rPr>
              <w:t>，</w:t>
            </w:r>
            <w:r>
              <w:rPr>
                <w:b w:val="0"/>
                <w:bCs w:val="0"/>
                <w:kern w:val="21"/>
              </w:rPr>
              <w:t>本项目</w:t>
            </w:r>
            <w:r>
              <w:rPr>
                <w:rFonts w:hint="eastAsia"/>
                <w:b w:val="0"/>
                <w:bCs w:val="0"/>
                <w:kern w:val="21"/>
              </w:rPr>
              <w:t>原料用量为</w:t>
            </w:r>
            <w:r>
              <w:rPr>
                <w:rFonts w:hint="eastAsia"/>
                <w:b w:val="0"/>
                <w:bCs w:val="0"/>
                <w:kern w:val="21"/>
                <w:lang w:val="en-US" w:eastAsia="zh-CN"/>
              </w:rPr>
              <w:t>8</w:t>
            </w:r>
            <w:r>
              <w:rPr>
                <w:rFonts w:hint="eastAsia"/>
                <w:b w:val="0"/>
                <w:bCs w:val="0"/>
                <w:kern w:val="21"/>
              </w:rPr>
              <w:t>0t，</w:t>
            </w:r>
            <w:r>
              <w:rPr>
                <w:rFonts w:hint="eastAsia"/>
                <w:b w:val="0"/>
                <w:bCs w:val="0"/>
                <w:kern w:val="21"/>
                <w:lang w:eastAsia="zh-CN"/>
              </w:rPr>
              <w:t>废品破碎后回用于生产，</w:t>
            </w:r>
            <w:r>
              <w:rPr>
                <w:rFonts w:hint="eastAsia"/>
                <w:b w:val="0"/>
                <w:bCs w:val="0"/>
                <w:kern w:val="21"/>
              </w:rPr>
              <w:t>则</w:t>
            </w:r>
            <w:r>
              <w:rPr>
                <w:rFonts w:hint="eastAsia"/>
                <w:b w:val="0"/>
                <w:bCs w:val="0"/>
                <w:kern w:val="21"/>
                <w:lang w:eastAsia="zh-CN"/>
              </w:rPr>
              <w:t>产品产量约为</w:t>
            </w:r>
            <w:r>
              <w:rPr>
                <w:rFonts w:hint="eastAsia"/>
                <w:b w:val="0"/>
                <w:bCs w:val="0"/>
                <w:kern w:val="21"/>
                <w:lang w:val="en-US" w:eastAsia="zh-CN"/>
              </w:rPr>
              <w:t>80t，</w:t>
            </w:r>
            <w:r>
              <w:rPr>
                <w:rFonts w:hint="eastAsia"/>
                <w:b w:val="0"/>
                <w:bCs w:val="0"/>
                <w:kern w:val="21"/>
              </w:rPr>
              <w:t>产生的</w:t>
            </w:r>
            <w:r>
              <w:rPr>
                <w:b w:val="0"/>
                <w:bCs w:val="0"/>
                <w:kern w:val="21"/>
              </w:rPr>
              <w:t>非甲烷总烃量为0.</w:t>
            </w:r>
            <w:r>
              <w:rPr>
                <w:rFonts w:hint="eastAsia"/>
                <w:b w:val="0"/>
                <w:bCs w:val="0"/>
                <w:kern w:val="21"/>
              </w:rPr>
              <w:t>0</w:t>
            </w:r>
            <w:r>
              <w:rPr>
                <w:rFonts w:hint="eastAsia"/>
                <w:b w:val="0"/>
                <w:bCs w:val="0"/>
                <w:kern w:val="21"/>
                <w:lang w:val="en-US" w:eastAsia="zh-CN"/>
              </w:rPr>
              <w:t>24</w:t>
            </w:r>
            <w:r>
              <w:rPr>
                <w:b w:val="0"/>
                <w:bCs w:val="0"/>
                <w:kern w:val="21"/>
              </w:rPr>
              <w:t>t/a，本项目</w:t>
            </w:r>
            <w:r>
              <w:rPr>
                <w:rFonts w:hint="eastAsia"/>
                <w:b w:val="0"/>
                <w:bCs w:val="0"/>
                <w:kern w:val="21"/>
              </w:rPr>
              <w:t>共有</w:t>
            </w:r>
            <w:r>
              <w:rPr>
                <w:rFonts w:hint="eastAsia"/>
                <w:b w:val="0"/>
                <w:bCs w:val="0"/>
                <w:kern w:val="21"/>
                <w:lang w:val="en-US" w:eastAsia="zh-CN"/>
              </w:rPr>
              <w:t>2</w:t>
            </w:r>
            <w:r>
              <w:rPr>
                <w:rFonts w:hint="eastAsia"/>
                <w:b w:val="0"/>
                <w:bCs w:val="0"/>
                <w:kern w:val="21"/>
              </w:rPr>
              <w:t>台注塑机，</w:t>
            </w:r>
            <w:r>
              <w:rPr>
                <w:rFonts w:hint="eastAsia"/>
                <w:b w:val="0"/>
                <w:bCs w:val="0"/>
                <w:kern w:val="21"/>
                <w:lang w:val="en-US" w:eastAsia="zh-CN"/>
              </w:rPr>
              <w:t>5</w:t>
            </w:r>
            <w:r>
              <w:rPr>
                <w:rFonts w:hint="eastAsia"/>
                <w:b w:val="0"/>
                <w:bCs w:val="0"/>
                <w:kern w:val="21"/>
              </w:rPr>
              <w:t>台</w:t>
            </w:r>
            <w:r>
              <w:rPr>
                <w:rFonts w:hint="eastAsia"/>
                <w:b w:val="0"/>
                <w:bCs w:val="0"/>
                <w:kern w:val="21"/>
                <w:lang w:val="en-US" w:eastAsia="zh-CN"/>
              </w:rPr>
              <w:t>塑化挤出</w:t>
            </w:r>
            <w:r>
              <w:rPr>
                <w:rFonts w:hint="eastAsia"/>
                <w:b w:val="0"/>
                <w:bCs w:val="0"/>
                <w:kern w:val="21"/>
              </w:rPr>
              <w:t>机，且在同一车间，环评提出分别在机器上方设置集气罩（1.5m×2m）收集，</w:t>
            </w:r>
            <w:r>
              <w:rPr>
                <w:b w:val="0"/>
                <w:bCs w:val="0"/>
                <w:kern w:val="21"/>
              </w:rPr>
              <w:t>风机风量为</w:t>
            </w:r>
            <w:r>
              <w:rPr>
                <w:rFonts w:hint="eastAsia"/>
                <w:b w:val="0"/>
                <w:bCs w:val="0"/>
                <w:kern w:val="21"/>
              </w:rPr>
              <w:t>50</w:t>
            </w:r>
            <w:r>
              <w:rPr>
                <w:b w:val="0"/>
                <w:bCs w:val="0"/>
                <w:kern w:val="21"/>
              </w:rPr>
              <w:t>00m</w:t>
            </w:r>
            <w:r>
              <w:rPr>
                <w:b w:val="0"/>
                <w:bCs w:val="0"/>
                <w:kern w:val="21"/>
                <w:vertAlign w:val="superscript"/>
              </w:rPr>
              <w:t>3</w:t>
            </w:r>
            <w:r>
              <w:rPr>
                <w:b w:val="0"/>
                <w:bCs w:val="0"/>
                <w:kern w:val="21"/>
              </w:rPr>
              <w:t>/h，</w:t>
            </w:r>
            <w:r>
              <w:rPr>
                <w:b w:val="0"/>
                <w:bCs w:val="0"/>
                <w:kern w:val="21"/>
                <w:lang w:val="pt-BR"/>
              </w:rPr>
              <w:t>集气罩收集效率按照90%计算，年工作时间为</w:t>
            </w:r>
            <w:r>
              <w:rPr>
                <w:rFonts w:hint="eastAsia"/>
                <w:b w:val="0"/>
                <w:bCs w:val="0"/>
                <w:kern w:val="21"/>
                <w:lang w:val="en-US" w:eastAsia="zh-CN"/>
              </w:rPr>
              <w:t>3000</w:t>
            </w:r>
            <w:r>
              <w:rPr>
                <w:b w:val="0"/>
                <w:bCs w:val="0"/>
                <w:kern w:val="21"/>
                <w:lang w:val="pt-BR"/>
              </w:rPr>
              <w:t>h，项目有组织非甲烷总烃废气产生速率为</w:t>
            </w:r>
            <w:r>
              <w:rPr>
                <w:rFonts w:hint="eastAsia"/>
                <w:b w:val="0"/>
                <w:bCs w:val="0"/>
                <w:color w:val="000000" w:themeColor="text1"/>
                <w:kern w:val="21"/>
                <w14:textFill>
                  <w14:solidFill>
                    <w14:schemeClr w14:val="tx1"/>
                  </w14:solidFill>
                </w14:textFill>
              </w:rPr>
              <w:t>0.0</w:t>
            </w:r>
            <w:r>
              <w:rPr>
                <w:rFonts w:hint="eastAsia"/>
                <w:b w:val="0"/>
                <w:bCs w:val="0"/>
                <w:color w:val="000000" w:themeColor="text1"/>
                <w:kern w:val="21"/>
                <w:lang w:val="en-US" w:eastAsia="zh-CN"/>
                <w14:textFill>
                  <w14:solidFill>
                    <w14:schemeClr w14:val="tx1"/>
                  </w14:solidFill>
                </w14:textFill>
              </w:rPr>
              <w:t>08</w:t>
            </w:r>
            <w:r>
              <w:rPr>
                <w:b w:val="0"/>
                <w:bCs w:val="0"/>
                <w:color w:val="000000" w:themeColor="text1"/>
                <w:kern w:val="21"/>
                <w:lang w:val="pt-BR"/>
                <w14:textFill>
                  <w14:solidFill>
                    <w14:schemeClr w14:val="tx1"/>
                  </w14:solidFill>
                </w14:textFill>
              </w:rPr>
              <w:t>kg/h</w:t>
            </w:r>
            <w:r>
              <w:rPr>
                <w:b w:val="0"/>
                <w:bCs w:val="0"/>
                <w:kern w:val="21"/>
                <w:lang w:val="pt-BR"/>
              </w:rPr>
              <w:t>，产生浓度为</w:t>
            </w:r>
            <w:r>
              <w:rPr>
                <w:rFonts w:hint="eastAsia"/>
                <w:b w:val="0"/>
                <w:bCs w:val="0"/>
                <w:snapToGrid w:val="0"/>
                <w:color w:val="000000" w:themeColor="text1"/>
                <w:kern w:val="21"/>
                <w:lang w:val="en-US" w:eastAsia="zh-CN"/>
                <w14:textFill>
                  <w14:solidFill>
                    <w14:schemeClr w14:val="tx1"/>
                  </w14:solidFill>
                </w14:textFill>
              </w:rPr>
              <w:t>1.6</w:t>
            </w:r>
            <w:r>
              <w:rPr>
                <w:b w:val="0"/>
                <w:bCs w:val="0"/>
                <w:color w:val="000000" w:themeColor="text1"/>
                <w:kern w:val="21"/>
                <w:lang w:val="pt-BR"/>
                <w14:textFill>
                  <w14:solidFill>
                    <w14:schemeClr w14:val="tx1"/>
                  </w14:solidFill>
                </w14:textFill>
              </w:rPr>
              <w:t>mg/m</w:t>
            </w:r>
            <w:r>
              <w:rPr>
                <w:b w:val="0"/>
                <w:bCs w:val="0"/>
                <w:color w:val="000000" w:themeColor="text1"/>
                <w:kern w:val="21"/>
                <w:vertAlign w:val="superscript"/>
                <w:lang w:val="pt-BR"/>
                <w14:textFill>
                  <w14:solidFill>
                    <w14:schemeClr w14:val="tx1"/>
                  </w14:solidFill>
                </w14:textFill>
              </w:rPr>
              <w:t>3</w:t>
            </w:r>
            <w:r>
              <w:rPr>
                <w:rFonts w:hint="eastAsia"/>
                <w:b w:val="0"/>
                <w:bCs w:val="0"/>
                <w:color w:val="000000" w:themeColor="text1"/>
                <w:kern w:val="21"/>
                <w:szCs w:val="24"/>
                <w14:textFill>
                  <w14:solidFill>
                    <w14:schemeClr w14:val="tx1"/>
                  </w14:solidFill>
                </w14:textFill>
              </w:rPr>
              <w:t>。</w:t>
            </w:r>
            <w:r>
              <w:rPr>
                <w:rFonts w:hint="eastAsia"/>
                <w:b w:val="0"/>
                <w:bCs w:val="0"/>
                <w:color w:val="000000" w:themeColor="text1"/>
                <w:kern w:val="21"/>
                <w:szCs w:val="24"/>
                <w14:textFill>
                  <w14:solidFill>
                    <w14:schemeClr w14:val="tx1"/>
                  </w14:solidFill>
                </w14:textFill>
              </w:rPr>
              <w:br w:type="textWrapping"/>
            </w:r>
            <w:r>
              <w:rPr>
                <w:rFonts w:hint="eastAsia"/>
                <w:b w:val="0"/>
                <w:bCs w:val="0"/>
                <w:kern w:val="21"/>
                <w:szCs w:val="24"/>
              </w:rPr>
              <w:t xml:space="preserve">    本项目产生的非甲烷总烃</w:t>
            </w:r>
            <w:r>
              <w:rPr>
                <w:rFonts w:hint="eastAsia"/>
                <w:b w:val="0"/>
                <w:bCs w:val="0"/>
                <w:kern w:val="21"/>
                <w:szCs w:val="24"/>
                <w:lang w:val="pt-BR"/>
              </w:rPr>
              <w:t>属于</w:t>
            </w:r>
            <w:r>
              <w:rPr>
                <w:rFonts w:hint="eastAsia"/>
                <w:b w:val="0"/>
                <w:bCs w:val="0"/>
                <w:kern w:val="21"/>
                <w:szCs w:val="24"/>
              </w:rPr>
              <w:t>低浓度有机废气，外排废气温度在25℃左右，且排放风量属于中等风量，结合表</w:t>
            </w:r>
            <w:r>
              <w:rPr>
                <w:rFonts w:hint="eastAsia"/>
                <w:b w:val="0"/>
                <w:bCs w:val="0"/>
                <w:kern w:val="21"/>
                <w:szCs w:val="24"/>
                <w:lang w:val="en-US" w:eastAsia="zh-CN"/>
              </w:rPr>
              <w:t>20</w:t>
            </w:r>
            <w:r>
              <w:rPr>
                <w:rFonts w:hint="eastAsia"/>
                <w:b w:val="0"/>
                <w:bCs w:val="0"/>
                <w:kern w:val="21"/>
                <w:szCs w:val="24"/>
              </w:rPr>
              <w:t>，</w:t>
            </w:r>
            <w:r>
              <w:rPr>
                <w:b w:val="0"/>
                <w:bCs w:val="0"/>
                <w:szCs w:val="24"/>
              </w:rPr>
              <w:t>确定本项目</w:t>
            </w:r>
            <w:r>
              <w:rPr>
                <w:rFonts w:hint="eastAsia"/>
                <w:b w:val="0"/>
                <w:bCs w:val="0"/>
                <w:szCs w:val="24"/>
              </w:rPr>
              <w:t>产生的废气经一套UV光催化氧化设备</w:t>
            </w:r>
            <w:r>
              <w:rPr>
                <w:b w:val="0"/>
                <w:bCs w:val="0"/>
                <w:szCs w:val="24"/>
              </w:rPr>
              <w:t>+活性炭</w:t>
            </w:r>
            <w:r>
              <w:rPr>
                <w:rFonts w:hint="eastAsia"/>
                <w:b w:val="0"/>
                <w:bCs w:val="0"/>
                <w:szCs w:val="24"/>
              </w:rPr>
              <w:t>吸附装置</w:t>
            </w:r>
            <w:r>
              <w:rPr>
                <w:b w:val="0"/>
                <w:bCs w:val="0"/>
                <w:szCs w:val="24"/>
              </w:rPr>
              <w:t>联合处理工艺进行处理，UV光催化氧化</w:t>
            </w:r>
            <w:r>
              <w:rPr>
                <w:rFonts w:hint="eastAsia"/>
                <w:b w:val="0"/>
                <w:bCs w:val="0"/>
                <w:szCs w:val="24"/>
              </w:rPr>
              <w:t>共包含20根灯管，风机风量为5000m</w:t>
            </w:r>
            <w:r>
              <w:rPr>
                <w:rFonts w:hint="eastAsia"/>
                <w:b w:val="0"/>
                <w:bCs w:val="0"/>
                <w:szCs w:val="24"/>
                <w:vertAlign w:val="superscript"/>
              </w:rPr>
              <w:t>3</w:t>
            </w:r>
            <w:r>
              <w:rPr>
                <w:rFonts w:hint="eastAsia"/>
                <w:b w:val="0"/>
                <w:bCs w:val="0"/>
                <w:szCs w:val="24"/>
              </w:rPr>
              <w:t>/h，废气停留时间约为2s，</w:t>
            </w:r>
            <w:r>
              <w:rPr>
                <w:b w:val="0"/>
                <w:bCs w:val="0"/>
                <w:szCs w:val="24"/>
              </w:rPr>
              <w:t>活性炭</w:t>
            </w:r>
            <w:r>
              <w:rPr>
                <w:rFonts w:hint="eastAsia"/>
                <w:b w:val="0"/>
                <w:bCs w:val="0"/>
                <w:szCs w:val="24"/>
              </w:rPr>
              <w:t>吸附装置每次填充0.1t活性炭，</w:t>
            </w:r>
            <w:r>
              <w:rPr>
                <w:rFonts w:hint="eastAsia"/>
                <w:b w:val="0"/>
                <w:bCs w:val="0"/>
                <w:szCs w:val="24"/>
                <w:lang w:val="en-US" w:eastAsia="zh-CN"/>
              </w:rPr>
              <w:t>三个月</w:t>
            </w:r>
            <w:r>
              <w:rPr>
                <w:rFonts w:hint="eastAsia"/>
                <w:b w:val="0"/>
                <w:bCs w:val="0"/>
                <w:szCs w:val="24"/>
              </w:rPr>
              <w:t>更换一次。本项目非甲烷总烃产生浓度为</w:t>
            </w:r>
            <w:r>
              <w:rPr>
                <w:rFonts w:hint="eastAsia"/>
                <w:b w:val="0"/>
                <w:bCs w:val="0"/>
                <w:snapToGrid w:val="0"/>
                <w:color w:val="000000" w:themeColor="text1"/>
                <w:kern w:val="21"/>
                <w:lang w:val="en-US" w:eastAsia="zh-CN"/>
                <w14:textFill>
                  <w14:solidFill>
                    <w14:schemeClr w14:val="tx1"/>
                  </w14:solidFill>
                </w14:textFill>
              </w:rPr>
              <w:t>1.6</w:t>
            </w:r>
            <w:r>
              <w:rPr>
                <w:b w:val="0"/>
                <w:bCs w:val="0"/>
                <w:color w:val="000000" w:themeColor="text1"/>
                <w:kern w:val="21"/>
                <w:lang w:val="pt-BR"/>
                <w14:textFill>
                  <w14:solidFill>
                    <w14:schemeClr w14:val="tx1"/>
                  </w14:solidFill>
                </w14:textFill>
              </w:rPr>
              <w:t>mg/m</w:t>
            </w:r>
            <w:r>
              <w:rPr>
                <w:b w:val="0"/>
                <w:bCs w:val="0"/>
                <w:color w:val="000000" w:themeColor="text1"/>
                <w:kern w:val="21"/>
                <w:vertAlign w:val="superscript"/>
                <w:lang w:val="pt-BR"/>
                <w14:textFill>
                  <w14:solidFill>
                    <w14:schemeClr w14:val="tx1"/>
                  </w14:solidFill>
                </w14:textFill>
              </w:rPr>
              <w:t>3</w:t>
            </w:r>
            <w:r>
              <w:rPr>
                <w:rFonts w:hint="eastAsia"/>
                <w:b w:val="0"/>
                <w:bCs w:val="0"/>
                <w:kern w:val="21"/>
                <w:szCs w:val="24"/>
              </w:rPr>
              <w:t>，处理效率按</w:t>
            </w:r>
            <w:r>
              <w:rPr>
                <w:rFonts w:hint="eastAsia"/>
                <w:b w:val="0"/>
                <w:bCs w:val="0"/>
                <w:kern w:val="21"/>
                <w:szCs w:val="24"/>
                <w:lang w:val="en-US" w:eastAsia="zh-CN"/>
              </w:rPr>
              <w:t>8</w:t>
            </w:r>
            <w:r>
              <w:rPr>
                <w:rFonts w:hint="eastAsia"/>
                <w:b w:val="0"/>
                <w:bCs w:val="0"/>
                <w:kern w:val="21"/>
                <w:szCs w:val="24"/>
              </w:rPr>
              <w:t>0%计，则排放浓度为</w:t>
            </w:r>
            <w:r>
              <w:rPr>
                <w:rFonts w:hint="eastAsia"/>
                <w:b w:val="0"/>
                <w:bCs w:val="0"/>
                <w:color w:val="000000" w:themeColor="text1"/>
                <w:kern w:val="21"/>
                <w:szCs w:val="24"/>
                <w:lang w:val="en-US" w:eastAsia="zh-CN"/>
                <w14:textFill>
                  <w14:solidFill>
                    <w14:schemeClr w14:val="tx1"/>
                  </w14:solidFill>
                </w14:textFill>
              </w:rPr>
              <w:t>0.32</w:t>
            </w:r>
            <w:r>
              <w:rPr>
                <w:b w:val="0"/>
                <w:bCs w:val="0"/>
                <w:color w:val="000000" w:themeColor="text1"/>
                <w:kern w:val="21"/>
                <w:lang w:val="pt-BR"/>
                <w14:textFill>
                  <w14:solidFill>
                    <w14:schemeClr w14:val="tx1"/>
                  </w14:solidFill>
                </w14:textFill>
              </w:rPr>
              <w:t>mg/m</w:t>
            </w:r>
            <w:r>
              <w:rPr>
                <w:b w:val="0"/>
                <w:bCs w:val="0"/>
                <w:color w:val="000000" w:themeColor="text1"/>
                <w:kern w:val="21"/>
                <w:vertAlign w:val="superscript"/>
                <w:lang w:val="pt-BR"/>
                <w14:textFill>
                  <w14:solidFill>
                    <w14:schemeClr w14:val="tx1"/>
                  </w14:solidFill>
                </w14:textFill>
              </w:rPr>
              <w:t>3</w:t>
            </w:r>
            <w:r>
              <w:rPr>
                <w:rFonts w:hint="eastAsia"/>
                <w:b w:val="0"/>
                <w:bCs w:val="0"/>
                <w:color w:val="000000" w:themeColor="text1"/>
                <w:kern w:val="21"/>
                <w:szCs w:val="24"/>
                <w14:textFill>
                  <w14:solidFill>
                    <w14:schemeClr w14:val="tx1"/>
                  </w14:solidFill>
                </w14:textFill>
              </w:rPr>
              <w:t>，</w:t>
            </w:r>
            <w:r>
              <w:rPr>
                <w:rFonts w:hint="eastAsia"/>
                <w:b w:val="0"/>
                <w:bCs w:val="0"/>
                <w:kern w:val="21"/>
                <w:szCs w:val="24"/>
              </w:rPr>
              <w:t>满足</w:t>
            </w:r>
            <w:r>
              <w:rPr>
                <w:b w:val="0"/>
                <w:bCs w:val="0"/>
                <w:snapToGrid w:val="0"/>
              </w:rPr>
              <w:t>《关于全省开展工业企业挥发性有机物专项治理工作中排放建议值的通知》（豫环攻坚办〔2017〕162号）中，</w:t>
            </w:r>
            <w:r>
              <w:rPr>
                <w:rFonts w:hint="eastAsia"/>
                <w:b w:val="0"/>
                <w:bCs w:val="0"/>
                <w:szCs w:val="21"/>
                <w:lang w:eastAsia="zh-CN"/>
              </w:rPr>
              <w:t>其他行业</w:t>
            </w:r>
            <w:r>
              <w:rPr>
                <w:rFonts w:hint="eastAsia"/>
                <w:b w:val="0"/>
                <w:bCs w:val="0"/>
                <w:color w:val="000000"/>
                <w:spacing w:val="2"/>
                <w:szCs w:val="21"/>
              </w:rPr>
              <w:t>非甲烷总烃</w:t>
            </w:r>
            <w:r>
              <w:rPr>
                <w:b w:val="0"/>
                <w:bCs w:val="0"/>
                <w:szCs w:val="21"/>
              </w:rPr>
              <w:t>去除效率70%</w:t>
            </w:r>
            <w:r>
              <w:rPr>
                <w:b w:val="0"/>
                <w:bCs w:val="0"/>
                <w:snapToGrid w:val="0"/>
              </w:rPr>
              <w:t>限值要求</w:t>
            </w:r>
            <w:r>
              <w:rPr>
                <w:rFonts w:hint="eastAsia"/>
                <w:b w:val="0"/>
                <w:bCs w:val="0"/>
                <w:snapToGrid w:val="0"/>
              </w:rPr>
              <w:t>，</w:t>
            </w:r>
            <w:r>
              <w:rPr>
                <w:rFonts w:hint="eastAsia"/>
                <w:b w:val="0"/>
                <w:bCs w:val="0"/>
                <w:snapToGrid w:val="0"/>
                <w:lang w:eastAsia="zh-CN"/>
              </w:rPr>
              <w:t>也满足</w:t>
            </w:r>
            <w:r>
              <w:rPr>
                <w:rFonts w:hint="eastAsia"/>
                <w:b w:val="0"/>
                <w:bCs w:val="0"/>
                <w:szCs w:val="21"/>
                <w:lang w:eastAsia="zh-CN"/>
              </w:rPr>
              <w:t>《</w:t>
            </w:r>
            <w:r>
              <w:rPr>
                <w:rFonts w:hint="eastAsia"/>
                <w:b w:val="0"/>
                <w:bCs w:val="0"/>
                <w:szCs w:val="21"/>
              </w:rPr>
              <w:t>合成树脂工业污染源排放标准</w:t>
            </w:r>
            <w:r>
              <w:rPr>
                <w:rFonts w:hint="eastAsia"/>
                <w:b w:val="0"/>
                <w:bCs w:val="0"/>
                <w:szCs w:val="21"/>
                <w:lang w:eastAsia="zh-CN"/>
              </w:rPr>
              <w:t>》（</w:t>
            </w:r>
            <w:r>
              <w:rPr>
                <w:rFonts w:hint="eastAsia"/>
                <w:b w:val="0"/>
                <w:bCs w:val="0"/>
                <w:szCs w:val="21"/>
                <w:lang w:val="en-US" w:eastAsia="zh-CN"/>
              </w:rPr>
              <w:t>GB31572-2015）</w:t>
            </w:r>
            <w:r>
              <w:rPr>
                <w:b w:val="0"/>
                <w:bCs w:val="0"/>
                <w:snapToGrid w:val="0"/>
              </w:rPr>
              <w:t>非甲烷总烃</w:t>
            </w:r>
            <w:r>
              <w:rPr>
                <w:rFonts w:hint="eastAsia"/>
                <w:b w:val="0"/>
                <w:bCs w:val="0"/>
                <w:snapToGrid w:val="0"/>
                <w:lang w:val="en-US" w:eastAsia="zh-CN"/>
              </w:rPr>
              <w:t>6</w:t>
            </w:r>
            <w:r>
              <w:rPr>
                <w:b w:val="0"/>
                <w:bCs w:val="0"/>
                <w:snapToGrid w:val="0"/>
              </w:rPr>
              <w:t>0mg/m</w:t>
            </w:r>
            <w:r>
              <w:rPr>
                <w:b w:val="0"/>
                <w:bCs w:val="0"/>
                <w:snapToGrid w:val="0"/>
                <w:vertAlign w:val="superscript"/>
              </w:rPr>
              <w:t>3</w:t>
            </w:r>
            <w:r>
              <w:rPr>
                <w:rFonts w:hint="eastAsia"/>
                <w:b w:val="0"/>
                <w:bCs w:val="0"/>
                <w:snapToGrid w:val="0"/>
                <w:vertAlign w:val="baseline"/>
                <w:lang w:eastAsia="zh-CN"/>
              </w:rPr>
              <w:t>中</w:t>
            </w:r>
            <w:r>
              <w:rPr>
                <w:b w:val="0"/>
                <w:bCs w:val="0"/>
                <w:snapToGrid w:val="0"/>
              </w:rPr>
              <w:t>限值要求</w:t>
            </w:r>
            <w:r>
              <w:rPr>
                <w:rFonts w:hint="eastAsia"/>
                <w:b w:val="0"/>
                <w:bCs w:val="0"/>
                <w:snapToGrid w:val="0"/>
              </w:rPr>
              <w:t>，</w:t>
            </w:r>
            <w:r>
              <w:rPr>
                <w:b w:val="0"/>
                <w:bCs w:val="0"/>
                <w:szCs w:val="24"/>
              </w:rPr>
              <w:t>处理后经过</w:t>
            </w:r>
            <w:r>
              <w:rPr>
                <w:rFonts w:hint="eastAsia"/>
                <w:b w:val="0"/>
                <w:bCs w:val="0"/>
                <w:szCs w:val="24"/>
              </w:rPr>
              <w:t>15</w:t>
            </w:r>
            <w:r>
              <w:rPr>
                <w:b w:val="0"/>
                <w:bCs w:val="0"/>
                <w:szCs w:val="24"/>
              </w:rPr>
              <w:t>m排气筒排放</w:t>
            </w:r>
            <w:r>
              <w:rPr>
                <w:rFonts w:hint="eastAsia"/>
                <w:b w:val="0"/>
                <w:bCs w:val="0"/>
                <w:szCs w:val="24"/>
                <w:lang w:eastAsia="zh-CN"/>
              </w:rPr>
              <w:t>（</w:t>
            </w:r>
            <w:r>
              <w:rPr>
                <w:rFonts w:hint="eastAsia"/>
                <w:b w:val="0"/>
                <w:bCs w:val="0"/>
                <w:szCs w:val="24"/>
                <w:lang w:val="en-US" w:eastAsia="zh-CN"/>
              </w:rPr>
              <w:t>P1排放口</w:t>
            </w:r>
            <w:r>
              <w:rPr>
                <w:rFonts w:hint="eastAsia"/>
                <w:b w:val="0"/>
                <w:bCs w:val="0"/>
                <w:szCs w:val="24"/>
                <w:lang w:eastAsia="zh-CN"/>
              </w:rPr>
              <w:t>）</w:t>
            </w:r>
            <w:r>
              <w:rPr>
                <w:b w:val="0"/>
                <w:bCs w:val="0"/>
                <w:szCs w:val="24"/>
              </w:rPr>
              <w:t>。</w:t>
            </w:r>
          </w:p>
          <w:p>
            <w:pPr>
              <w:pStyle w:val="9"/>
              <w:spacing w:line="360" w:lineRule="auto"/>
              <w:ind w:firstLine="480" w:firstLineChars="200"/>
              <w:rPr>
                <w:b w:val="0"/>
                <w:bCs w:val="0"/>
                <w:szCs w:val="24"/>
              </w:rPr>
            </w:pPr>
            <w:r>
              <w:rPr>
                <w:rFonts w:hint="eastAsia"/>
                <w:b w:val="0"/>
                <w:bCs w:val="0"/>
                <w:szCs w:val="24"/>
              </w:rPr>
              <w:t>UV光催化氧化设备是通过紫外光照射在纳米TiO</w:t>
            </w:r>
            <w:r>
              <w:rPr>
                <w:rFonts w:hint="eastAsia"/>
                <w:b w:val="0"/>
                <w:bCs w:val="0"/>
                <w:szCs w:val="24"/>
                <w:vertAlign w:val="subscript"/>
              </w:rPr>
              <w:t>2</w:t>
            </w:r>
            <w:r>
              <w:rPr>
                <w:rFonts w:hint="eastAsia"/>
                <w:b w:val="0"/>
                <w:bCs w:val="0"/>
                <w:szCs w:val="24"/>
              </w:rPr>
              <w:t>催化剂上，纳米TiO</w:t>
            </w:r>
            <w:r>
              <w:rPr>
                <w:rFonts w:hint="eastAsia"/>
                <w:b w:val="0"/>
                <w:bCs w:val="0"/>
                <w:szCs w:val="24"/>
                <w:vertAlign w:val="subscript"/>
              </w:rPr>
              <w:t>2</w:t>
            </w:r>
            <w:r>
              <w:rPr>
                <w:rFonts w:hint="eastAsia"/>
                <w:b w:val="0"/>
                <w:bCs w:val="0"/>
                <w:szCs w:val="24"/>
              </w:rPr>
              <w:t>催化剂吸收光能产生电子跃进和空穴跃进，经过进一步的结合产生电子-空穴对，与废气表面吸附的水分（H</w:t>
            </w:r>
            <w:r>
              <w:rPr>
                <w:rFonts w:hint="eastAsia"/>
                <w:b w:val="0"/>
                <w:bCs w:val="0"/>
                <w:szCs w:val="24"/>
                <w:vertAlign w:val="subscript"/>
              </w:rPr>
              <w:t>2</w:t>
            </w:r>
            <w:r>
              <w:rPr>
                <w:rFonts w:hint="eastAsia"/>
                <w:b w:val="0"/>
                <w:bCs w:val="0"/>
                <w:szCs w:val="24"/>
              </w:rPr>
              <w:t>O）和氧气（O</w:t>
            </w:r>
            <w:r>
              <w:rPr>
                <w:rFonts w:hint="eastAsia"/>
                <w:b w:val="0"/>
                <w:bCs w:val="0"/>
                <w:szCs w:val="24"/>
                <w:vertAlign w:val="subscript"/>
              </w:rPr>
              <w:t>2</w:t>
            </w:r>
            <w:r>
              <w:rPr>
                <w:rFonts w:hint="eastAsia"/>
                <w:b w:val="0"/>
                <w:bCs w:val="0"/>
                <w:szCs w:val="24"/>
              </w:rPr>
              <w:t>）反应生成氧化性很活波的自由基和超氧离子自由基。能够把各种有机废气如烃类、醛类、酚类、醇类、硫醇 类、苯类、氨类、氮氧化物、硫化物以及其它VOC类有机物及无机物在光催化氧化的作用下还原成二氧化碳（CO</w:t>
            </w:r>
            <w:r>
              <w:rPr>
                <w:rFonts w:hint="eastAsia"/>
                <w:b w:val="0"/>
                <w:bCs w:val="0"/>
                <w:szCs w:val="24"/>
                <w:vertAlign w:val="subscript"/>
              </w:rPr>
              <w:t>2</w:t>
            </w:r>
            <w:r>
              <w:rPr>
                <w:rFonts w:hint="eastAsia"/>
                <w:b w:val="0"/>
                <w:bCs w:val="0"/>
                <w:szCs w:val="24"/>
              </w:rPr>
              <w:t>）、水（H</w:t>
            </w:r>
            <w:r>
              <w:rPr>
                <w:rFonts w:hint="eastAsia"/>
                <w:b w:val="0"/>
                <w:bCs w:val="0"/>
                <w:szCs w:val="24"/>
                <w:vertAlign w:val="subscript"/>
              </w:rPr>
              <w:t>2</w:t>
            </w:r>
            <w:r>
              <w:rPr>
                <w:rFonts w:hint="eastAsia"/>
                <w:b w:val="0"/>
                <w:bCs w:val="0"/>
                <w:szCs w:val="24"/>
              </w:rPr>
              <w:t>O）以及其它无毒无害物质，经过净化之后的废气分子被活化降解，臭味也同时消失了，起到了废气净化的作用，同时对管道内滋生的细菌病毒都可以有效的去除，由于在光催化氧化反应过程中无任何添加剂，所以不会产生二次污染，UV光催化氧化设备适用于大部分有机废气，适用于中低浓度、中小风量的废气治理。</w:t>
            </w:r>
          </w:p>
          <w:p>
            <w:pPr>
              <w:pStyle w:val="9"/>
              <w:spacing w:line="360" w:lineRule="auto"/>
              <w:ind w:firstLine="480" w:firstLineChars="200"/>
              <w:rPr>
                <w:b w:val="0"/>
                <w:bCs w:val="0"/>
                <w:szCs w:val="24"/>
              </w:rPr>
            </w:pPr>
            <w:r>
              <w:rPr>
                <w:rFonts w:hint="eastAsia"/>
                <w:b w:val="0"/>
                <w:bCs w:val="0"/>
                <w:szCs w:val="24"/>
              </w:rPr>
              <w:t>活性炭吸附装置是当由风机提供动力，有机废气在负压条件下进入吸附箱中的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活性炭吸附箱是一种干式废气处理设备，由箱体和填装在箱体内的吸附单元组成，适用于常温、低浓度、废气量较小的废气治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eastAsiaTheme="minorEastAsia"/>
                <w:b w:val="0"/>
                <w:bCs w:val="0"/>
                <w:color w:val="000000" w:themeColor="text1"/>
                <w:sz w:val="24"/>
                <w:szCs w:val="24"/>
                <w14:textFill>
                  <w14:solidFill>
                    <w14:schemeClr w14:val="tx1"/>
                  </w14:solidFill>
                </w14:textFill>
              </w:rPr>
            </w:pPr>
            <w:r>
              <w:rPr>
                <w:rFonts w:hint="eastAsia"/>
                <w:b w:val="0"/>
                <w:bCs w:val="0"/>
                <w:sz w:val="24"/>
              </w:rPr>
              <w:t>综上所述，本项目选择UV光催化氧化设备</w:t>
            </w:r>
            <w:r>
              <w:rPr>
                <w:b w:val="0"/>
                <w:bCs w:val="0"/>
                <w:sz w:val="24"/>
              </w:rPr>
              <w:t>+活性炭</w:t>
            </w:r>
            <w:r>
              <w:rPr>
                <w:rFonts w:hint="eastAsia"/>
                <w:b w:val="0"/>
                <w:bCs w:val="0"/>
                <w:sz w:val="24"/>
              </w:rPr>
              <w:t>吸附装置</w:t>
            </w:r>
            <w:r>
              <w:rPr>
                <w:b w:val="0"/>
                <w:bCs w:val="0"/>
                <w:sz w:val="24"/>
              </w:rPr>
              <w:t>联合处理工艺处理</w:t>
            </w:r>
            <w:r>
              <w:rPr>
                <w:rFonts w:hint="eastAsia"/>
                <w:b w:val="0"/>
                <w:bCs w:val="0"/>
                <w:color w:val="000000" w:themeColor="text1"/>
                <w:sz w:val="24"/>
                <w14:textFill>
                  <w14:solidFill>
                    <w14:schemeClr w14:val="tx1"/>
                  </w14:solidFill>
                </w14:textFill>
              </w:rPr>
              <w:t>非甲烷总烃</w:t>
            </w:r>
            <w:r>
              <w:rPr>
                <w:rFonts w:hint="eastAsia"/>
                <w:b w:val="0"/>
                <w:bCs w:val="0"/>
                <w:color w:val="000000" w:themeColor="text1"/>
                <w:sz w:val="24"/>
                <w:lang w:eastAsia="zh-CN"/>
                <w14:textFill>
                  <w14:solidFill>
                    <w14:schemeClr w14:val="tx1"/>
                  </w14:solidFill>
                </w14:textFill>
              </w:rPr>
              <w:t>后，</w:t>
            </w:r>
            <w:r>
              <w:rPr>
                <w:rFonts w:hint="eastAsia"/>
                <w:b w:val="0"/>
                <w:bCs w:val="0"/>
                <w:color w:val="000000" w:themeColor="text1"/>
                <w:sz w:val="24"/>
                <w:szCs w:val="24"/>
                <w:lang w:eastAsia="zh-CN"/>
                <w14:textFill>
                  <w14:solidFill>
                    <w14:schemeClr w14:val="tx1"/>
                  </w14:solidFill>
                </w14:textFill>
              </w:rPr>
              <w:t>符合《大气污染物综合排放标准》（</w:t>
            </w:r>
            <w:r>
              <w:rPr>
                <w:rFonts w:hint="eastAsia"/>
                <w:b w:val="0"/>
                <w:bCs w:val="0"/>
                <w:color w:val="000000" w:themeColor="text1"/>
                <w:sz w:val="24"/>
                <w:szCs w:val="24"/>
                <w:lang w:val="en-US" w:eastAsia="zh-CN"/>
                <w14:textFill>
                  <w14:solidFill>
                    <w14:schemeClr w14:val="tx1"/>
                  </w14:solidFill>
                </w14:textFill>
              </w:rPr>
              <w:t>GB16297-1996</w:t>
            </w:r>
            <w:r>
              <w:rPr>
                <w:rFonts w:hint="eastAsia"/>
                <w:b w:val="0"/>
                <w:bCs w:val="0"/>
                <w:color w:val="000000" w:themeColor="text1"/>
                <w:sz w:val="24"/>
                <w:szCs w:val="24"/>
                <w:lang w:eastAsia="zh-CN"/>
                <w14:textFill>
                  <w14:solidFill>
                    <w14:schemeClr w14:val="tx1"/>
                  </w14:solidFill>
                </w14:textFill>
              </w:rPr>
              <w:t>）表</w:t>
            </w:r>
            <w:r>
              <w:rPr>
                <w:rFonts w:hint="eastAsia"/>
                <w:b w:val="0"/>
                <w:bCs w:val="0"/>
                <w:color w:val="000000" w:themeColor="text1"/>
                <w:sz w:val="24"/>
                <w:szCs w:val="24"/>
                <w:lang w:val="en-US" w:eastAsia="zh-CN"/>
                <w14:textFill>
                  <w14:solidFill>
                    <w14:schemeClr w14:val="tx1"/>
                  </w14:solidFill>
                </w14:textFill>
              </w:rPr>
              <w:t>2二级标准</w:t>
            </w:r>
            <w:r>
              <w:rPr>
                <w:b w:val="0"/>
                <w:bCs w:val="0"/>
                <w:sz w:val="24"/>
                <w:szCs w:val="24"/>
              </w:rPr>
              <w:t>最高允许排放速率10kg/h（15m高排气筒）</w:t>
            </w:r>
            <w:r>
              <w:rPr>
                <w:rFonts w:hint="eastAsia"/>
                <w:b w:val="0"/>
                <w:bCs w:val="0"/>
                <w:sz w:val="24"/>
                <w:szCs w:val="24"/>
                <w:lang w:eastAsia="zh-CN"/>
              </w:rPr>
              <w:t>标准</w:t>
            </w:r>
            <w:r>
              <w:rPr>
                <w:rFonts w:hint="eastAsia"/>
                <w:b w:val="0"/>
                <w:bCs w:val="0"/>
                <w:color w:val="000000" w:themeColor="text1"/>
                <w:sz w:val="24"/>
                <w:szCs w:val="24"/>
                <w:lang w:val="en-US" w:eastAsia="zh-CN"/>
                <w14:textFill>
                  <w14:solidFill>
                    <w14:schemeClr w14:val="tx1"/>
                  </w14:solidFill>
                </w14:textFill>
              </w:rPr>
              <w:t>、《河南省环境污染防治攻坚战略领导小组办公室文件》豫环攻坚办[2017]162号 其他行业非甲烷总烃去除效率70</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标准、《合成树脂工业污染源排放标准》（GB31572-2015）非甲烷总烃（有组织）最高允许排放浓度60mg/m</w:t>
            </w:r>
            <w:r>
              <w:rPr>
                <w:rFonts w:hint="eastAsia"/>
                <w:b w:val="0"/>
                <w:bCs w:val="0"/>
                <w:color w:val="000000" w:themeColor="text1"/>
                <w:sz w:val="24"/>
                <w:szCs w:val="24"/>
                <w:vertAlign w:val="superscript"/>
                <w:lang w:val="en-US" w:eastAsia="zh-CN"/>
                <w14:textFill>
                  <w14:solidFill>
                    <w14:schemeClr w14:val="tx1"/>
                  </w14:solidFill>
                </w14:textFill>
              </w:rPr>
              <w:t>3</w:t>
            </w:r>
            <w:r>
              <w:rPr>
                <w:rFonts w:hint="eastAsia"/>
                <w:b w:val="0"/>
                <w:bCs w:val="0"/>
                <w:color w:val="000000" w:themeColor="text1"/>
                <w:sz w:val="24"/>
                <w:szCs w:val="24"/>
                <w:vertAlign w:val="baseline"/>
                <w:lang w:val="en-US" w:eastAsia="zh-CN"/>
                <w14:textFill>
                  <w14:solidFill>
                    <w14:schemeClr w14:val="tx1"/>
                  </w14:solidFill>
                </w14:textFill>
              </w:rPr>
              <w:t>标准，</w:t>
            </w:r>
            <w:r>
              <w:rPr>
                <w:rFonts w:hint="eastAsia"/>
                <w:b w:val="0"/>
                <w:bCs w:val="0"/>
                <w:color w:val="000000" w:themeColor="text1"/>
                <w:sz w:val="24"/>
                <w:szCs w:val="24"/>
                <w:lang w:val="en-US" w:eastAsia="zh-CN"/>
                <w14:textFill>
                  <w14:solidFill>
                    <w14:schemeClr w14:val="tx1"/>
                  </w14:solidFill>
                </w14:textFill>
              </w:rPr>
              <w:t>无组织</w:t>
            </w:r>
            <w:r>
              <w:rPr>
                <w:rFonts w:hint="eastAsia"/>
                <w:b w:val="0"/>
                <w:bCs w:val="0"/>
                <w:sz w:val="24"/>
                <w:szCs w:val="24"/>
              </w:rPr>
              <w:t>非甲烷总烃</w:t>
            </w:r>
            <w:r>
              <w:rPr>
                <w:rFonts w:hint="eastAsia"/>
                <w:b w:val="0"/>
                <w:bCs w:val="0"/>
                <w:sz w:val="24"/>
                <w:szCs w:val="24"/>
                <w:lang w:eastAsia="zh-CN"/>
              </w:rPr>
              <w:t>排放符合</w:t>
            </w:r>
            <w:r>
              <w:rPr>
                <w:sz w:val="24"/>
                <w:szCs w:val="24"/>
              </w:rPr>
              <w:t>《河南省环境污染防治攻坚战领导小组办公室文件》豫环攻坚办[2017]162号 其他企业非甲烷总烃（无组织）工业企业边界挥发性有机物排放建议值其他企业</w:t>
            </w:r>
            <w:r>
              <w:rPr>
                <w:rFonts w:hint="eastAsia"/>
                <w:sz w:val="24"/>
                <w:szCs w:val="24"/>
              </w:rPr>
              <w:t>2.0</w:t>
            </w:r>
            <w:r>
              <w:rPr>
                <w:sz w:val="24"/>
                <w:szCs w:val="24"/>
              </w:rPr>
              <w:t>mg/m³</w:t>
            </w:r>
            <w:r>
              <w:rPr>
                <w:rFonts w:hint="eastAsia"/>
                <w:sz w:val="24"/>
                <w:szCs w:val="24"/>
                <w:lang w:eastAsia="zh-CN"/>
              </w:rPr>
              <w:t>要求，</w:t>
            </w:r>
            <w:r>
              <w:rPr>
                <w:rFonts w:hint="eastAsia"/>
                <w:b w:val="0"/>
                <w:bCs w:val="0"/>
                <w:sz w:val="24"/>
                <w:szCs w:val="24"/>
                <w:lang w:eastAsia="zh-CN"/>
              </w:rPr>
              <w:t>同时也符合《挥发性有机物无组织排放控制标准》（</w:t>
            </w:r>
            <w:r>
              <w:rPr>
                <w:rFonts w:hint="eastAsia"/>
                <w:b w:val="0"/>
                <w:bCs w:val="0"/>
                <w:sz w:val="24"/>
                <w:szCs w:val="24"/>
                <w:lang w:val="en-US" w:eastAsia="zh-CN"/>
              </w:rPr>
              <w:t>GB37822-2019</w:t>
            </w:r>
            <w:r>
              <w:rPr>
                <w:rFonts w:hint="eastAsia"/>
                <w:b w:val="0"/>
                <w:bCs w:val="0"/>
                <w:sz w:val="24"/>
                <w:szCs w:val="24"/>
                <w:lang w:eastAsia="zh-CN"/>
              </w:rPr>
              <w:t>）附录</w:t>
            </w:r>
            <w:r>
              <w:rPr>
                <w:rFonts w:hint="eastAsia"/>
                <w:b w:val="0"/>
                <w:bCs w:val="0"/>
                <w:sz w:val="24"/>
                <w:szCs w:val="24"/>
                <w:lang w:val="en-US" w:eastAsia="zh-CN"/>
              </w:rPr>
              <w:t>A排放限值要求30mg/m</w:t>
            </w:r>
            <w:r>
              <w:rPr>
                <w:rFonts w:hint="eastAsia"/>
                <w:b w:val="0"/>
                <w:bCs w:val="0"/>
                <w:sz w:val="24"/>
                <w:szCs w:val="24"/>
                <w:vertAlign w:val="superscript"/>
                <w:lang w:val="en-US" w:eastAsia="zh-CN"/>
              </w:rPr>
              <w:t>3</w:t>
            </w:r>
            <w:r>
              <w:rPr>
                <w:rFonts w:hint="eastAsia"/>
                <w:b w:val="0"/>
                <w:bCs w:val="0"/>
                <w:sz w:val="24"/>
                <w:szCs w:val="24"/>
                <w:vertAlign w:val="baseline"/>
                <w:lang w:val="en-US" w:eastAsia="zh-CN"/>
              </w:rPr>
              <w:t>，</w:t>
            </w:r>
            <w:r>
              <w:rPr>
                <w:rFonts w:hint="eastAsia"/>
                <w:b w:val="0"/>
                <w:bCs w:val="0"/>
                <w:color w:val="000000" w:themeColor="text1"/>
                <w:sz w:val="24"/>
                <w:szCs w:val="24"/>
                <w:vertAlign w:val="baseline"/>
                <w:lang w:val="en-US" w:eastAsia="zh-CN"/>
                <w14:textFill>
                  <w14:solidFill>
                    <w14:schemeClr w14:val="tx1"/>
                  </w14:solidFill>
                </w14:textFill>
              </w:rPr>
              <w:t>故</w:t>
            </w:r>
            <w:r>
              <w:rPr>
                <w:rFonts w:hint="eastAsia"/>
                <w:b w:val="0"/>
                <w:bCs w:val="0"/>
                <w:color w:val="000000" w:themeColor="text1"/>
                <w:sz w:val="24"/>
                <w:szCs w:val="24"/>
                <w14:textFill>
                  <w14:solidFill>
                    <w14:schemeClr w14:val="tx1"/>
                  </w14:solidFill>
                </w14:textFill>
              </w:rPr>
              <w:t>可行</w:t>
            </w:r>
            <w:r>
              <w:rPr>
                <w:rFonts w:hint="eastAsia"/>
                <w:b w:val="0"/>
                <w:bCs w:val="0"/>
                <w:color w:val="000000" w:themeColor="text1"/>
                <w:sz w:val="24"/>
                <w:szCs w:val="24"/>
                <w:lang w:eastAsia="zh-CN"/>
                <w14:textFill>
                  <w14:solidFill>
                    <w14:schemeClr w14:val="tx1"/>
                  </w14:solidFill>
                </w14:textFill>
              </w:rPr>
              <w:t>。</w:t>
            </w:r>
          </w:p>
          <w:p>
            <w:pPr>
              <w:numPr>
                <w:ilvl w:val="0"/>
                <w:numId w:val="0"/>
              </w:numPr>
              <w:spacing w:line="360" w:lineRule="auto"/>
              <w:rPr>
                <w:color w:val="auto"/>
                <w:sz w:val="24"/>
              </w:rPr>
            </w:pP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破碎废气</w:t>
            </w:r>
            <w:r>
              <w:rPr>
                <w:rFonts w:hint="eastAsia"/>
                <w:color w:val="000000" w:themeColor="text1"/>
                <w:sz w:val="24"/>
                <w14:textFill>
                  <w14:solidFill>
                    <w14:schemeClr w14:val="tx1"/>
                  </w14:solidFill>
                </w14:textFill>
              </w:rPr>
              <w:br w:type="textWrapping"/>
            </w:r>
            <w:r>
              <w:rPr>
                <w:rFonts w:hint="eastAsia"/>
                <w:color w:val="000000" w:themeColor="text1"/>
                <w:sz w:val="24"/>
                <w14:textFill>
                  <w14:solidFill>
                    <w14:schemeClr w14:val="tx1"/>
                  </w14:solidFill>
                </w14:textFill>
              </w:rPr>
              <w:t xml:space="preserve">    </w:t>
            </w:r>
            <w:r>
              <w:rPr>
                <w:rFonts w:hint="eastAsia"/>
                <w:color w:val="auto"/>
                <w:sz w:val="24"/>
              </w:rPr>
              <w:t>本项目不合格品经破碎机破碎后回用于生产，在破碎过程中会产生较小颗粒物，产生量按不合格品的1%计，</w:t>
            </w:r>
            <w:r>
              <w:rPr>
                <w:rFonts w:hint="eastAsia"/>
                <w:color w:val="auto"/>
                <w:sz w:val="24"/>
                <w:lang w:val="en-US" w:eastAsia="zh-CN"/>
              </w:rPr>
              <w:t>则不合格品为0.8t/a，颗粒物产生量按不合格品的</w:t>
            </w:r>
            <w:r>
              <w:rPr>
                <w:rFonts w:hint="default" w:ascii="Times New Roman" w:hAnsi="Times New Roman" w:cs="Times New Roman"/>
                <w:color w:val="auto"/>
                <w:sz w:val="24"/>
                <w:lang w:val="en-US" w:eastAsia="zh-CN"/>
              </w:rPr>
              <w:t>1</w:t>
            </w:r>
            <w:r>
              <w:rPr>
                <w:rFonts w:hint="eastAsia" w:cs="Times New Roman"/>
                <w:color w:val="auto"/>
                <w:sz w:val="24"/>
                <w:lang w:val="en-US" w:eastAsia="zh-CN"/>
              </w:rPr>
              <w:t>0</w:t>
            </w:r>
            <w:r>
              <w:rPr>
                <w:rFonts w:hint="default" w:ascii="Times New Roman" w:hAnsi="Times New Roman" w:eastAsia="宋体" w:cs="Times New Roman"/>
                <w:color w:val="auto"/>
                <w:sz w:val="24"/>
                <w:lang w:val="en-US" w:eastAsia="zh-CN"/>
              </w:rPr>
              <w:t>％</w:t>
            </w:r>
            <w:r>
              <w:rPr>
                <w:rFonts w:hint="eastAsia"/>
                <w:color w:val="auto"/>
                <w:sz w:val="24"/>
                <w:lang w:val="en-US" w:eastAsia="zh-CN"/>
              </w:rPr>
              <w:t>计，</w:t>
            </w:r>
            <w:r>
              <w:rPr>
                <w:rFonts w:hint="eastAsia"/>
                <w:color w:val="auto"/>
                <w:sz w:val="24"/>
              </w:rPr>
              <w:t>则项目破碎颗粒物产生量为0.0</w:t>
            </w:r>
            <w:r>
              <w:rPr>
                <w:rFonts w:hint="eastAsia"/>
                <w:color w:val="auto"/>
                <w:sz w:val="24"/>
                <w:lang w:val="en-US" w:eastAsia="zh-CN"/>
              </w:rPr>
              <w:t>8</w:t>
            </w:r>
            <w:r>
              <w:rPr>
                <w:rFonts w:hint="eastAsia"/>
                <w:color w:val="auto"/>
                <w:sz w:val="24"/>
              </w:rPr>
              <w:t>t/a，通过集气罩（1m×1m）收集，</w:t>
            </w:r>
            <w:r>
              <w:rPr>
                <w:color w:val="auto"/>
                <w:kern w:val="21"/>
                <w:sz w:val="24"/>
              </w:rPr>
              <w:t>风机风量为</w:t>
            </w:r>
            <w:r>
              <w:rPr>
                <w:rFonts w:hint="eastAsia"/>
                <w:color w:val="auto"/>
                <w:kern w:val="21"/>
                <w:sz w:val="24"/>
              </w:rPr>
              <w:t>50</w:t>
            </w:r>
            <w:r>
              <w:rPr>
                <w:color w:val="auto"/>
                <w:kern w:val="21"/>
                <w:sz w:val="24"/>
              </w:rPr>
              <w:t>00m</w:t>
            </w:r>
            <w:r>
              <w:rPr>
                <w:color w:val="auto"/>
                <w:kern w:val="21"/>
                <w:sz w:val="24"/>
                <w:vertAlign w:val="superscript"/>
              </w:rPr>
              <w:t>3</w:t>
            </w:r>
            <w:r>
              <w:rPr>
                <w:color w:val="auto"/>
                <w:kern w:val="21"/>
                <w:sz w:val="24"/>
              </w:rPr>
              <w:t>/h，</w:t>
            </w:r>
            <w:r>
              <w:rPr>
                <w:color w:val="auto"/>
                <w:kern w:val="21"/>
                <w:sz w:val="24"/>
                <w:lang w:val="pt-BR"/>
              </w:rPr>
              <w:t>集气罩收集效率按照90%计算，年工作时间为</w:t>
            </w:r>
            <w:r>
              <w:rPr>
                <w:rFonts w:hint="eastAsia"/>
                <w:color w:val="auto"/>
                <w:kern w:val="21"/>
                <w:sz w:val="24"/>
                <w:lang w:val="en-US" w:eastAsia="zh-CN"/>
              </w:rPr>
              <w:t>150</w:t>
            </w:r>
            <w:r>
              <w:rPr>
                <w:color w:val="auto"/>
                <w:kern w:val="21"/>
                <w:sz w:val="24"/>
                <w:lang w:val="pt-BR"/>
              </w:rPr>
              <w:t>h，项目有组织</w:t>
            </w:r>
            <w:r>
              <w:rPr>
                <w:rFonts w:hint="eastAsia"/>
                <w:color w:val="auto"/>
                <w:kern w:val="21"/>
                <w:sz w:val="24"/>
                <w:lang w:val="pt-BR"/>
              </w:rPr>
              <w:t>颗粒物</w:t>
            </w:r>
            <w:r>
              <w:rPr>
                <w:color w:val="auto"/>
                <w:kern w:val="21"/>
                <w:sz w:val="24"/>
                <w:lang w:val="pt-BR"/>
              </w:rPr>
              <w:t>产生速率为</w:t>
            </w:r>
            <w:r>
              <w:rPr>
                <w:rFonts w:hint="eastAsia"/>
                <w:color w:val="auto"/>
                <w:kern w:val="21"/>
                <w:sz w:val="24"/>
              </w:rPr>
              <w:t>0.</w:t>
            </w:r>
            <w:r>
              <w:rPr>
                <w:rFonts w:hint="eastAsia"/>
                <w:color w:val="auto"/>
                <w:kern w:val="21"/>
                <w:sz w:val="24"/>
                <w:lang w:val="en-US" w:eastAsia="zh-CN"/>
              </w:rPr>
              <w:t>48</w:t>
            </w:r>
            <w:r>
              <w:rPr>
                <w:color w:val="auto"/>
                <w:kern w:val="21"/>
                <w:sz w:val="24"/>
                <w:lang w:val="pt-BR"/>
              </w:rPr>
              <w:t>kg/h，产生浓度为</w:t>
            </w:r>
            <w:r>
              <w:rPr>
                <w:rFonts w:hint="eastAsia"/>
                <w:color w:val="auto"/>
                <w:kern w:val="21"/>
                <w:sz w:val="24"/>
                <w:lang w:val="en-US" w:eastAsia="zh-CN"/>
              </w:rPr>
              <w:t>96</w:t>
            </w:r>
            <w:r>
              <w:rPr>
                <w:color w:val="auto"/>
                <w:kern w:val="21"/>
                <w:sz w:val="24"/>
                <w:lang w:val="pt-BR"/>
              </w:rPr>
              <w:t>mg/m</w:t>
            </w:r>
            <w:r>
              <w:rPr>
                <w:color w:val="auto"/>
                <w:kern w:val="21"/>
                <w:sz w:val="24"/>
                <w:vertAlign w:val="superscript"/>
                <w:lang w:val="pt-BR"/>
              </w:rPr>
              <w:t>3</w:t>
            </w:r>
            <w:r>
              <w:rPr>
                <w:rFonts w:hint="eastAsia"/>
                <w:color w:val="auto"/>
                <w:kern w:val="21"/>
                <w:sz w:val="24"/>
              </w:rPr>
              <w:t>，收集后经袋式除尘器处理后，经15米高排气筒排放</w:t>
            </w:r>
            <w:r>
              <w:rPr>
                <w:rFonts w:hint="eastAsia"/>
                <w:color w:val="auto"/>
                <w:kern w:val="21"/>
                <w:sz w:val="24"/>
                <w:lang w:eastAsia="zh-CN"/>
              </w:rPr>
              <w:t>（</w:t>
            </w:r>
            <w:r>
              <w:rPr>
                <w:rFonts w:hint="eastAsia"/>
                <w:color w:val="auto"/>
                <w:kern w:val="21"/>
                <w:sz w:val="24"/>
                <w:lang w:val="en-US" w:eastAsia="zh-CN"/>
              </w:rPr>
              <w:t>P2排放口</w:t>
            </w:r>
            <w:r>
              <w:rPr>
                <w:rFonts w:hint="eastAsia"/>
                <w:color w:val="auto"/>
                <w:kern w:val="21"/>
                <w:sz w:val="24"/>
                <w:lang w:eastAsia="zh-CN"/>
              </w:rPr>
              <w:t>）</w:t>
            </w:r>
            <w:r>
              <w:rPr>
                <w:rFonts w:hint="eastAsia"/>
                <w:color w:val="auto"/>
                <w:kern w:val="21"/>
                <w:sz w:val="24"/>
              </w:rPr>
              <w:t>。</w:t>
            </w:r>
          </w:p>
          <w:p>
            <w:pPr>
              <w:spacing w:line="360" w:lineRule="auto"/>
              <w:rPr>
                <w:color w:val="auto"/>
                <w:sz w:val="24"/>
              </w:rPr>
            </w:pPr>
            <w:r>
              <w:rPr>
                <w:rFonts w:hint="eastAsia"/>
                <w:color w:val="auto"/>
                <w:sz w:val="24"/>
              </w:rPr>
              <w:t>3、大气环境影响分析</w:t>
            </w:r>
          </w:p>
          <w:p>
            <w:pPr>
              <w:spacing w:line="360" w:lineRule="auto"/>
              <w:ind w:firstLine="480" w:firstLineChars="200"/>
              <w:rPr>
                <w:rFonts w:eastAsia="黑体"/>
                <w:sz w:val="24"/>
              </w:rPr>
            </w:pPr>
            <w:r>
              <w:rPr>
                <w:rFonts w:hint="eastAsia"/>
                <w:bCs/>
                <w:sz w:val="24"/>
              </w:rPr>
              <w:t>根据工程分析，</w:t>
            </w:r>
            <w:r>
              <w:rPr>
                <w:bCs/>
                <w:sz w:val="24"/>
              </w:rPr>
              <w:t>本项目运营期废气</w:t>
            </w:r>
            <w:r>
              <w:rPr>
                <w:rFonts w:hint="eastAsia"/>
                <w:bCs/>
                <w:sz w:val="24"/>
              </w:rPr>
              <w:t>产排情况见下表。</w:t>
            </w:r>
            <w:r>
              <w:rPr>
                <w:bCs/>
                <w:sz w:val="24"/>
              </w:rPr>
              <w:t xml:space="preserve">  </w:t>
            </w:r>
          </w:p>
          <w:p>
            <w:pPr>
              <w:widowControl/>
              <w:jc w:val="center"/>
              <w:rPr>
                <w:rFonts w:eastAsia="黑体"/>
                <w:sz w:val="24"/>
              </w:rPr>
            </w:pPr>
            <w:r>
              <w:rPr>
                <w:rFonts w:eastAsia="黑体"/>
                <w:sz w:val="24"/>
              </w:rPr>
              <w:t>表</w:t>
            </w:r>
            <w:r>
              <w:rPr>
                <w:rFonts w:hint="eastAsia" w:eastAsia="黑体"/>
                <w:sz w:val="24"/>
              </w:rPr>
              <w:t>2</w:t>
            </w:r>
            <w:r>
              <w:rPr>
                <w:rFonts w:hint="eastAsia" w:eastAsia="黑体"/>
                <w:sz w:val="24"/>
                <w:lang w:val="en-US" w:eastAsia="zh-CN"/>
              </w:rPr>
              <w:t>1</w:t>
            </w:r>
            <w:r>
              <w:rPr>
                <w:rFonts w:eastAsia="黑体"/>
                <w:sz w:val="24"/>
              </w:rPr>
              <w:t xml:space="preserve">  本项目废气产排情况一览表</w:t>
            </w:r>
          </w:p>
          <w:tbl>
            <w:tblPr>
              <w:tblStyle w:val="24"/>
              <w:tblW w:w="861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5"/>
              <w:gridCol w:w="675"/>
              <w:gridCol w:w="855"/>
              <w:gridCol w:w="960"/>
              <w:gridCol w:w="975"/>
              <w:gridCol w:w="1182"/>
              <w:gridCol w:w="888"/>
              <w:gridCol w:w="1117"/>
              <w:gridCol w:w="11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Merge w:val="restart"/>
                  <w:tcBorders>
                    <w:tl2br w:val="nil"/>
                    <w:tr2bl w:val="nil"/>
                  </w:tcBorders>
                  <w:vAlign w:val="center"/>
                </w:tcPr>
                <w:p>
                  <w:pPr>
                    <w:widowControl/>
                    <w:jc w:val="center"/>
                    <w:rPr>
                      <w:szCs w:val="21"/>
                    </w:rPr>
                  </w:pPr>
                  <w:r>
                    <w:rPr>
                      <w:szCs w:val="21"/>
                    </w:rPr>
                    <w:t>污染源</w:t>
                  </w:r>
                </w:p>
              </w:tc>
              <w:tc>
                <w:tcPr>
                  <w:tcW w:w="675" w:type="dxa"/>
                  <w:vMerge w:val="restart"/>
                  <w:tcBorders>
                    <w:tl2br w:val="nil"/>
                    <w:tr2bl w:val="nil"/>
                  </w:tcBorders>
                  <w:vAlign w:val="center"/>
                </w:tcPr>
                <w:p>
                  <w:pPr>
                    <w:widowControl/>
                    <w:jc w:val="center"/>
                    <w:rPr>
                      <w:szCs w:val="21"/>
                    </w:rPr>
                  </w:pPr>
                  <w:r>
                    <w:rPr>
                      <w:rFonts w:hint="eastAsia"/>
                      <w:szCs w:val="21"/>
                    </w:rPr>
                    <w:t>排气量</w:t>
                  </w:r>
                  <w:r>
                    <w:rPr>
                      <w:szCs w:val="21"/>
                    </w:rPr>
                    <w:t>m</w:t>
                  </w:r>
                  <w:r>
                    <w:rPr>
                      <w:szCs w:val="21"/>
                      <w:vertAlign w:val="superscript"/>
                    </w:rPr>
                    <w:t>3</w:t>
                  </w:r>
                  <w:r>
                    <w:rPr>
                      <w:szCs w:val="21"/>
                    </w:rPr>
                    <w:t>/</w:t>
                  </w:r>
                  <w:r>
                    <w:rPr>
                      <w:rFonts w:hint="eastAsia"/>
                      <w:szCs w:val="21"/>
                    </w:rPr>
                    <w:t>h</w:t>
                  </w:r>
                </w:p>
              </w:tc>
              <w:tc>
                <w:tcPr>
                  <w:tcW w:w="855" w:type="dxa"/>
                  <w:vMerge w:val="restart"/>
                  <w:tcBorders>
                    <w:tl2br w:val="nil"/>
                    <w:tr2bl w:val="nil"/>
                  </w:tcBorders>
                  <w:vAlign w:val="center"/>
                </w:tcPr>
                <w:p>
                  <w:pPr>
                    <w:widowControl/>
                    <w:jc w:val="center"/>
                    <w:rPr>
                      <w:szCs w:val="21"/>
                    </w:rPr>
                  </w:pPr>
                  <w:r>
                    <w:rPr>
                      <w:szCs w:val="21"/>
                    </w:rPr>
                    <w:t>污染源名称</w:t>
                  </w:r>
                </w:p>
              </w:tc>
              <w:tc>
                <w:tcPr>
                  <w:tcW w:w="1935" w:type="dxa"/>
                  <w:gridSpan w:val="2"/>
                  <w:tcBorders>
                    <w:tl2br w:val="nil"/>
                    <w:tr2bl w:val="nil"/>
                  </w:tcBorders>
                  <w:vAlign w:val="center"/>
                </w:tcPr>
                <w:p>
                  <w:pPr>
                    <w:widowControl/>
                    <w:jc w:val="center"/>
                    <w:rPr>
                      <w:szCs w:val="21"/>
                    </w:rPr>
                  </w:pPr>
                  <w:r>
                    <w:rPr>
                      <w:szCs w:val="21"/>
                    </w:rPr>
                    <w:t>污染物产生情况</w:t>
                  </w:r>
                </w:p>
              </w:tc>
              <w:tc>
                <w:tcPr>
                  <w:tcW w:w="2070" w:type="dxa"/>
                  <w:gridSpan w:val="2"/>
                  <w:vMerge w:val="restart"/>
                  <w:tcBorders>
                    <w:tl2br w:val="nil"/>
                    <w:tr2bl w:val="nil"/>
                  </w:tcBorders>
                  <w:vAlign w:val="center"/>
                </w:tcPr>
                <w:p>
                  <w:pPr>
                    <w:widowControl/>
                    <w:jc w:val="center"/>
                    <w:rPr>
                      <w:szCs w:val="21"/>
                    </w:rPr>
                  </w:pPr>
                  <w:r>
                    <w:rPr>
                      <w:szCs w:val="21"/>
                    </w:rPr>
                    <w:t>处理措施</w:t>
                  </w:r>
                </w:p>
              </w:tc>
              <w:tc>
                <w:tcPr>
                  <w:tcW w:w="2280" w:type="dxa"/>
                  <w:gridSpan w:val="2"/>
                  <w:tcBorders>
                    <w:tl2br w:val="nil"/>
                    <w:tr2bl w:val="nil"/>
                  </w:tcBorders>
                  <w:vAlign w:val="center"/>
                </w:tcPr>
                <w:p>
                  <w:pPr>
                    <w:widowControl/>
                    <w:jc w:val="center"/>
                    <w:rPr>
                      <w:szCs w:val="21"/>
                    </w:rPr>
                  </w:pPr>
                  <w:r>
                    <w:rPr>
                      <w:szCs w:val="21"/>
                    </w:rPr>
                    <w:t>处理后污染物排放情况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Merge w:val="continue"/>
                  <w:tcBorders>
                    <w:tl2br w:val="nil"/>
                    <w:tr2bl w:val="nil"/>
                  </w:tcBorders>
                  <w:vAlign w:val="center"/>
                </w:tcPr>
                <w:p>
                  <w:pPr>
                    <w:widowControl/>
                    <w:jc w:val="center"/>
                    <w:rPr>
                      <w:szCs w:val="21"/>
                    </w:rPr>
                  </w:pPr>
                </w:p>
              </w:tc>
              <w:tc>
                <w:tcPr>
                  <w:tcW w:w="675" w:type="dxa"/>
                  <w:vMerge w:val="continue"/>
                  <w:tcBorders>
                    <w:tl2br w:val="nil"/>
                    <w:tr2bl w:val="nil"/>
                  </w:tcBorders>
                  <w:vAlign w:val="center"/>
                </w:tcPr>
                <w:p>
                  <w:pPr>
                    <w:widowControl/>
                    <w:jc w:val="center"/>
                    <w:rPr>
                      <w:szCs w:val="21"/>
                    </w:rPr>
                  </w:pPr>
                </w:p>
              </w:tc>
              <w:tc>
                <w:tcPr>
                  <w:tcW w:w="855" w:type="dxa"/>
                  <w:vMerge w:val="continue"/>
                  <w:tcBorders>
                    <w:tl2br w:val="nil"/>
                    <w:tr2bl w:val="nil"/>
                  </w:tcBorders>
                  <w:vAlign w:val="center"/>
                </w:tcPr>
                <w:p>
                  <w:pPr>
                    <w:widowControl/>
                    <w:jc w:val="center"/>
                    <w:rPr>
                      <w:szCs w:val="21"/>
                    </w:rPr>
                  </w:pPr>
                </w:p>
              </w:tc>
              <w:tc>
                <w:tcPr>
                  <w:tcW w:w="960" w:type="dxa"/>
                  <w:tcBorders>
                    <w:tl2br w:val="nil"/>
                    <w:tr2bl w:val="nil"/>
                  </w:tcBorders>
                  <w:vAlign w:val="center"/>
                </w:tcPr>
                <w:p>
                  <w:pPr>
                    <w:widowControl/>
                    <w:jc w:val="center"/>
                    <w:rPr>
                      <w:szCs w:val="21"/>
                    </w:rPr>
                  </w:pPr>
                  <w:r>
                    <w:rPr>
                      <w:szCs w:val="21"/>
                    </w:rPr>
                    <w:t>产生浓度</w:t>
                  </w:r>
                </w:p>
                <w:p>
                  <w:pPr>
                    <w:widowControl/>
                    <w:jc w:val="center"/>
                    <w:rPr>
                      <w:szCs w:val="21"/>
                    </w:rPr>
                  </w:pPr>
                  <w:r>
                    <w:rPr>
                      <w:szCs w:val="21"/>
                    </w:rPr>
                    <w:t>mg/m</w:t>
                  </w:r>
                  <w:r>
                    <w:rPr>
                      <w:szCs w:val="21"/>
                      <w:vertAlign w:val="superscript"/>
                    </w:rPr>
                    <w:t>3</w:t>
                  </w:r>
                </w:p>
              </w:tc>
              <w:tc>
                <w:tcPr>
                  <w:tcW w:w="975" w:type="dxa"/>
                  <w:tcBorders>
                    <w:tl2br w:val="nil"/>
                    <w:tr2bl w:val="nil"/>
                  </w:tcBorders>
                  <w:vAlign w:val="center"/>
                </w:tcPr>
                <w:p>
                  <w:pPr>
                    <w:widowControl/>
                    <w:jc w:val="center"/>
                    <w:rPr>
                      <w:szCs w:val="21"/>
                    </w:rPr>
                  </w:pPr>
                  <w:r>
                    <w:rPr>
                      <w:szCs w:val="21"/>
                    </w:rPr>
                    <w:t>产生量</w:t>
                  </w:r>
                </w:p>
                <w:p>
                  <w:pPr>
                    <w:widowControl/>
                    <w:jc w:val="center"/>
                    <w:rPr>
                      <w:szCs w:val="21"/>
                    </w:rPr>
                  </w:pPr>
                  <w:r>
                    <w:rPr>
                      <w:szCs w:val="21"/>
                    </w:rPr>
                    <w:t>t/a</w:t>
                  </w:r>
                </w:p>
              </w:tc>
              <w:tc>
                <w:tcPr>
                  <w:tcW w:w="2070" w:type="dxa"/>
                  <w:gridSpan w:val="2"/>
                  <w:vMerge w:val="continue"/>
                  <w:tcBorders>
                    <w:tl2br w:val="nil"/>
                    <w:tr2bl w:val="nil"/>
                  </w:tcBorders>
                  <w:vAlign w:val="center"/>
                </w:tcPr>
                <w:p>
                  <w:pPr>
                    <w:widowControl/>
                    <w:jc w:val="center"/>
                    <w:rPr>
                      <w:szCs w:val="21"/>
                    </w:rPr>
                  </w:pPr>
                </w:p>
              </w:tc>
              <w:tc>
                <w:tcPr>
                  <w:tcW w:w="1117" w:type="dxa"/>
                  <w:tcBorders>
                    <w:tl2br w:val="nil"/>
                    <w:tr2bl w:val="nil"/>
                  </w:tcBorders>
                  <w:vAlign w:val="center"/>
                </w:tcPr>
                <w:p>
                  <w:pPr>
                    <w:widowControl/>
                    <w:jc w:val="center"/>
                    <w:rPr>
                      <w:szCs w:val="21"/>
                    </w:rPr>
                  </w:pPr>
                  <w:r>
                    <w:rPr>
                      <w:szCs w:val="21"/>
                    </w:rPr>
                    <w:t>排放浓度</w:t>
                  </w:r>
                </w:p>
                <w:p>
                  <w:pPr>
                    <w:widowControl/>
                    <w:jc w:val="center"/>
                    <w:rPr>
                      <w:szCs w:val="21"/>
                    </w:rPr>
                  </w:pPr>
                  <w:r>
                    <w:rPr>
                      <w:szCs w:val="21"/>
                    </w:rPr>
                    <w:t>mg/m</w:t>
                  </w:r>
                  <w:r>
                    <w:rPr>
                      <w:szCs w:val="21"/>
                      <w:vertAlign w:val="superscript"/>
                    </w:rPr>
                    <w:t>3</w:t>
                  </w:r>
                </w:p>
              </w:tc>
              <w:tc>
                <w:tcPr>
                  <w:tcW w:w="1163" w:type="dxa"/>
                  <w:tcBorders>
                    <w:tl2br w:val="nil"/>
                    <w:tr2bl w:val="nil"/>
                  </w:tcBorders>
                  <w:vAlign w:val="center"/>
                </w:tcPr>
                <w:p>
                  <w:pPr>
                    <w:widowControl/>
                    <w:jc w:val="center"/>
                    <w:rPr>
                      <w:szCs w:val="21"/>
                    </w:rPr>
                  </w:pPr>
                  <w:r>
                    <w:rPr>
                      <w:szCs w:val="21"/>
                    </w:rPr>
                    <w:t>排放量</w:t>
                  </w:r>
                </w:p>
                <w:p>
                  <w:pPr>
                    <w:widowControl/>
                    <w:jc w:val="center"/>
                    <w:rPr>
                      <w:szCs w:val="21"/>
                    </w:rPr>
                  </w:pPr>
                  <w:r>
                    <w:rPr>
                      <w:szCs w:val="21"/>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tcBorders>
                    <w:tl2br w:val="nil"/>
                    <w:tr2bl w:val="nil"/>
                  </w:tcBorders>
                  <w:vAlign w:val="center"/>
                </w:tcPr>
                <w:p>
                  <w:pPr>
                    <w:widowControl/>
                    <w:jc w:val="center"/>
                    <w:rPr>
                      <w:rFonts w:hint="eastAsia" w:eastAsia="宋体"/>
                      <w:color w:val="auto"/>
                      <w:szCs w:val="21"/>
                      <w:lang w:eastAsia="zh-CN"/>
                    </w:rPr>
                  </w:pPr>
                  <w:r>
                    <w:rPr>
                      <w:rFonts w:hint="eastAsia"/>
                      <w:color w:val="auto"/>
                      <w:szCs w:val="21"/>
                    </w:rPr>
                    <w:t>注塑、</w:t>
                  </w:r>
                  <w:r>
                    <w:rPr>
                      <w:rFonts w:hint="eastAsia"/>
                      <w:color w:val="auto"/>
                      <w:szCs w:val="21"/>
                      <w:lang w:val="en-US" w:eastAsia="zh-CN"/>
                    </w:rPr>
                    <w:t>塑化挤出（P1）</w:t>
                  </w:r>
                </w:p>
              </w:tc>
              <w:tc>
                <w:tcPr>
                  <w:tcW w:w="675" w:type="dxa"/>
                  <w:tcBorders>
                    <w:tl2br w:val="nil"/>
                    <w:tr2bl w:val="nil"/>
                  </w:tcBorders>
                  <w:vAlign w:val="center"/>
                </w:tcPr>
                <w:p>
                  <w:pPr>
                    <w:widowControl/>
                    <w:jc w:val="center"/>
                    <w:rPr>
                      <w:color w:val="auto"/>
                      <w:szCs w:val="21"/>
                    </w:rPr>
                  </w:pPr>
                  <w:r>
                    <w:rPr>
                      <w:rFonts w:hint="eastAsia"/>
                      <w:color w:val="auto"/>
                      <w:szCs w:val="21"/>
                    </w:rPr>
                    <w:t>5000</w:t>
                  </w:r>
                </w:p>
              </w:tc>
              <w:tc>
                <w:tcPr>
                  <w:tcW w:w="855" w:type="dxa"/>
                  <w:tcBorders>
                    <w:tl2br w:val="nil"/>
                    <w:tr2bl w:val="nil"/>
                  </w:tcBorders>
                  <w:vAlign w:val="center"/>
                </w:tcPr>
                <w:p>
                  <w:pPr>
                    <w:widowControl/>
                    <w:jc w:val="center"/>
                    <w:rPr>
                      <w:color w:val="auto"/>
                      <w:szCs w:val="21"/>
                    </w:rPr>
                  </w:pPr>
                  <w:r>
                    <w:rPr>
                      <w:rFonts w:hint="eastAsia"/>
                      <w:color w:val="auto"/>
                      <w:szCs w:val="21"/>
                    </w:rPr>
                    <w:t>有组织</w:t>
                  </w:r>
                  <w:r>
                    <w:rPr>
                      <w:color w:val="auto"/>
                      <w:szCs w:val="21"/>
                    </w:rPr>
                    <w:t>非甲烷总烃</w:t>
                  </w:r>
                </w:p>
              </w:tc>
              <w:tc>
                <w:tcPr>
                  <w:tcW w:w="960" w:type="dxa"/>
                  <w:tcBorders>
                    <w:tl2br w:val="nil"/>
                    <w:tr2bl w:val="nil"/>
                  </w:tcBorders>
                  <w:vAlign w:val="center"/>
                </w:tcPr>
                <w:p>
                  <w:pPr>
                    <w:widowControl/>
                    <w:jc w:val="center"/>
                    <w:rPr>
                      <w:rFonts w:hint="default" w:eastAsia="宋体"/>
                      <w:color w:val="auto"/>
                      <w:szCs w:val="21"/>
                      <w:lang w:val="en-US" w:eastAsia="zh-CN"/>
                    </w:rPr>
                  </w:pPr>
                  <w:r>
                    <w:rPr>
                      <w:rFonts w:hint="eastAsia"/>
                      <w:color w:val="auto"/>
                      <w:szCs w:val="21"/>
                      <w:lang w:val="en-US" w:eastAsia="zh-CN"/>
                    </w:rPr>
                    <w:t>1.6</w:t>
                  </w:r>
                </w:p>
              </w:tc>
              <w:tc>
                <w:tcPr>
                  <w:tcW w:w="975" w:type="dxa"/>
                  <w:tcBorders>
                    <w:tl2br w:val="nil"/>
                    <w:tr2bl w:val="nil"/>
                  </w:tcBorders>
                  <w:vAlign w:val="center"/>
                </w:tcPr>
                <w:p>
                  <w:pPr>
                    <w:widowControl/>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24</w:t>
                  </w:r>
                </w:p>
              </w:tc>
              <w:tc>
                <w:tcPr>
                  <w:tcW w:w="1182" w:type="dxa"/>
                  <w:tcBorders>
                    <w:tl2br w:val="nil"/>
                    <w:tr2bl w:val="nil"/>
                  </w:tcBorders>
                  <w:vAlign w:val="center"/>
                </w:tcPr>
                <w:p>
                  <w:pPr>
                    <w:widowControl/>
                    <w:jc w:val="center"/>
                    <w:rPr>
                      <w:color w:val="auto"/>
                      <w:szCs w:val="21"/>
                    </w:rPr>
                  </w:pPr>
                  <w:r>
                    <w:rPr>
                      <w:rFonts w:hint="eastAsia"/>
                      <w:color w:val="auto"/>
                      <w:szCs w:val="21"/>
                    </w:rPr>
                    <w:t>UV光催化氧化设备+活性炭吸附装置（处理效率</w:t>
                  </w:r>
                  <w:r>
                    <w:rPr>
                      <w:rFonts w:hint="eastAsia"/>
                      <w:color w:val="auto"/>
                      <w:szCs w:val="21"/>
                      <w:lang w:val="en-US" w:eastAsia="zh-CN"/>
                    </w:rPr>
                    <w:t>8</w:t>
                  </w:r>
                  <w:r>
                    <w:rPr>
                      <w:rFonts w:hint="eastAsia"/>
                      <w:color w:val="auto"/>
                      <w:szCs w:val="21"/>
                    </w:rPr>
                    <w:t>0%计）</w:t>
                  </w:r>
                </w:p>
              </w:tc>
              <w:tc>
                <w:tcPr>
                  <w:tcW w:w="888" w:type="dxa"/>
                  <w:tcBorders>
                    <w:tl2br w:val="nil"/>
                    <w:tr2bl w:val="nil"/>
                  </w:tcBorders>
                  <w:vAlign w:val="center"/>
                </w:tcPr>
                <w:p>
                  <w:pPr>
                    <w:widowControl/>
                    <w:jc w:val="center"/>
                    <w:rPr>
                      <w:color w:val="auto"/>
                      <w:szCs w:val="21"/>
                    </w:rPr>
                  </w:pPr>
                  <w:r>
                    <w:rPr>
                      <w:rFonts w:hint="eastAsia"/>
                      <w:color w:val="auto"/>
                      <w:szCs w:val="21"/>
                      <w:lang w:val="en-US" w:eastAsia="zh-CN"/>
                    </w:rPr>
                    <w:t>P1:</w:t>
                  </w:r>
                  <w:r>
                    <w:rPr>
                      <w:rFonts w:hint="eastAsia"/>
                      <w:color w:val="auto"/>
                      <w:szCs w:val="21"/>
                    </w:rPr>
                    <w:t>1根15m高排气筒排放</w:t>
                  </w:r>
                </w:p>
              </w:tc>
              <w:tc>
                <w:tcPr>
                  <w:tcW w:w="1117" w:type="dxa"/>
                  <w:tcBorders>
                    <w:tl2br w:val="nil"/>
                    <w:tr2bl w:val="nil"/>
                  </w:tcBorders>
                  <w:vAlign w:val="center"/>
                </w:tcPr>
                <w:p>
                  <w:pPr>
                    <w:widowControl/>
                    <w:jc w:val="center"/>
                    <w:rPr>
                      <w:rFonts w:hint="default" w:eastAsia="宋体"/>
                      <w:color w:val="auto"/>
                      <w:szCs w:val="21"/>
                      <w:lang w:val="en-US" w:eastAsia="zh-CN"/>
                    </w:rPr>
                  </w:pPr>
                  <w:r>
                    <w:rPr>
                      <w:rFonts w:hint="eastAsia"/>
                      <w:color w:val="auto"/>
                      <w:szCs w:val="21"/>
                      <w:lang w:val="en-US" w:eastAsia="zh-CN"/>
                    </w:rPr>
                    <w:t>0.32</w:t>
                  </w:r>
                </w:p>
              </w:tc>
              <w:tc>
                <w:tcPr>
                  <w:tcW w:w="1163" w:type="dxa"/>
                  <w:tcBorders>
                    <w:tl2br w:val="nil"/>
                    <w:tr2bl w:val="nil"/>
                  </w:tcBorders>
                  <w:vAlign w:val="center"/>
                </w:tcPr>
                <w:p>
                  <w:pPr>
                    <w:widowControl/>
                    <w:jc w:val="center"/>
                    <w:rPr>
                      <w:rFonts w:hint="default" w:eastAsia="宋体"/>
                      <w:color w:val="auto"/>
                      <w:szCs w:val="21"/>
                      <w:lang w:val="en-US" w:eastAsia="zh-CN"/>
                    </w:rPr>
                  </w:pPr>
                  <w:r>
                    <w:rPr>
                      <w:rFonts w:hint="eastAsia"/>
                      <w:color w:val="auto"/>
                      <w:szCs w:val="21"/>
                    </w:rPr>
                    <w:t>0.00</w:t>
                  </w:r>
                  <w:r>
                    <w:rPr>
                      <w:rFonts w:hint="eastAsia"/>
                      <w:color w:val="auto"/>
                      <w:szCs w:val="21"/>
                      <w:lang w:val="en-US" w:eastAsia="zh-CN"/>
                    </w:rPr>
                    <w:t>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tcBorders>
                    <w:tl2br w:val="nil"/>
                    <w:tr2bl w:val="nil"/>
                  </w:tcBorders>
                  <w:vAlign w:val="center"/>
                </w:tcPr>
                <w:p>
                  <w:pPr>
                    <w:widowControl/>
                    <w:jc w:val="center"/>
                    <w:rPr>
                      <w:rFonts w:hint="eastAsia" w:eastAsia="宋体"/>
                      <w:color w:val="auto"/>
                      <w:szCs w:val="21"/>
                      <w:lang w:eastAsia="zh-CN"/>
                    </w:rPr>
                  </w:pPr>
                  <w:r>
                    <w:rPr>
                      <w:rFonts w:hint="eastAsia"/>
                      <w:color w:val="auto"/>
                      <w:szCs w:val="21"/>
                    </w:rPr>
                    <w:t>注塑、</w:t>
                  </w:r>
                  <w:r>
                    <w:rPr>
                      <w:rFonts w:hint="eastAsia"/>
                      <w:color w:val="auto"/>
                      <w:szCs w:val="21"/>
                      <w:lang w:val="en-US" w:eastAsia="zh-CN"/>
                    </w:rPr>
                    <w:t>塑化挤出</w:t>
                  </w:r>
                </w:p>
              </w:tc>
              <w:tc>
                <w:tcPr>
                  <w:tcW w:w="675" w:type="dxa"/>
                  <w:tcBorders>
                    <w:tl2br w:val="nil"/>
                    <w:tr2bl w:val="nil"/>
                  </w:tcBorders>
                  <w:vAlign w:val="center"/>
                </w:tcPr>
                <w:p>
                  <w:pPr>
                    <w:widowControl/>
                    <w:jc w:val="center"/>
                    <w:rPr>
                      <w:color w:val="auto"/>
                      <w:szCs w:val="21"/>
                    </w:rPr>
                  </w:pPr>
                  <w:r>
                    <w:rPr>
                      <w:rFonts w:hint="eastAsia"/>
                      <w:color w:val="auto"/>
                      <w:szCs w:val="21"/>
                    </w:rPr>
                    <w:t>/</w:t>
                  </w:r>
                </w:p>
              </w:tc>
              <w:tc>
                <w:tcPr>
                  <w:tcW w:w="855" w:type="dxa"/>
                  <w:tcBorders>
                    <w:tl2br w:val="nil"/>
                    <w:tr2bl w:val="nil"/>
                  </w:tcBorders>
                  <w:vAlign w:val="center"/>
                </w:tcPr>
                <w:p>
                  <w:pPr>
                    <w:widowControl/>
                    <w:jc w:val="center"/>
                    <w:rPr>
                      <w:color w:val="auto"/>
                      <w:szCs w:val="21"/>
                    </w:rPr>
                  </w:pPr>
                  <w:r>
                    <w:rPr>
                      <w:rFonts w:hint="eastAsia"/>
                      <w:color w:val="auto"/>
                      <w:szCs w:val="21"/>
                    </w:rPr>
                    <w:t>无组织非甲烷总烃</w:t>
                  </w:r>
                </w:p>
              </w:tc>
              <w:tc>
                <w:tcPr>
                  <w:tcW w:w="960" w:type="dxa"/>
                  <w:tcBorders>
                    <w:tl2br w:val="nil"/>
                    <w:tr2bl w:val="nil"/>
                  </w:tcBorders>
                  <w:vAlign w:val="center"/>
                </w:tcPr>
                <w:p>
                  <w:pPr>
                    <w:widowControl/>
                    <w:jc w:val="center"/>
                    <w:rPr>
                      <w:color w:val="auto"/>
                      <w:szCs w:val="21"/>
                    </w:rPr>
                  </w:pPr>
                  <w:r>
                    <w:rPr>
                      <w:rFonts w:hint="eastAsia"/>
                      <w:color w:val="auto"/>
                      <w:szCs w:val="21"/>
                    </w:rPr>
                    <w:t>/</w:t>
                  </w:r>
                </w:p>
              </w:tc>
              <w:tc>
                <w:tcPr>
                  <w:tcW w:w="975" w:type="dxa"/>
                  <w:tcBorders>
                    <w:tl2br w:val="nil"/>
                    <w:tr2bl w:val="nil"/>
                  </w:tcBorders>
                  <w:vAlign w:val="center"/>
                </w:tcPr>
                <w:p>
                  <w:pPr>
                    <w:widowControl/>
                    <w:jc w:val="center"/>
                    <w:rPr>
                      <w:rFonts w:hint="default" w:eastAsia="宋体"/>
                      <w:color w:val="auto"/>
                      <w:szCs w:val="21"/>
                      <w:lang w:val="en-US" w:eastAsia="zh-CN"/>
                    </w:rPr>
                  </w:pPr>
                  <w:r>
                    <w:rPr>
                      <w:rFonts w:hint="eastAsia"/>
                      <w:color w:val="auto"/>
                      <w:szCs w:val="21"/>
                    </w:rPr>
                    <w:t>0.00</w:t>
                  </w:r>
                  <w:r>
                    <w:rPr>
                      <w:rFonts w:hint="eastAsia"/>
                      <w:color w:val="auto"/>
                      <w:szCs w:val="21"/>
                      <w:lang w:val="en-US" w:eastAsia="zh-CN"/>
                    </w:rPr>
                    <w:t>24</w:t>
                  </w:r>
                </w:p>
              </w:tc>
              <w:tc>
                <w:tcPr>
                  <w:tcW w:w="1182" w:type="dxa"/>
                  <w:tcBorders>
                    <w:tl2br w:val="nil"/>
                    <w:tr2bl w:val="nil"/>
                  </w:tcBorders>
                  <w:vAlign w:val="center"/>
                </w:tcPr>
                <w:p>
                  <w:pPr>
                    <w:widowControl/>
                    <w:jc w:val="center"/>
                    <w:rPr>
                      <w:color w:val="auto"/>
                      <w:szCs w:val="21"/>
                    </w:rPr>
                  </w:pPr>
                  <w:r>
                    <w:rPr>
                      <w:rFonts w:hint="eastAsia"/>
                      <w:color w:val="auto"/>
                      <w:szCs w:val="21"/>
                    </w:rPr>
                    <w:t>/</w:t>
                  </w:r>
                </w:p>
              </w:tc>
              <w:tc>
                <w:tcPr>
                  <w:tcW w:w="888" w:type="dxa"/>
                  <w:tcBorders>
                    <w:tl2br w:val="nil"/>
                    <w:tr2bl w:val="nil"/>
                  </w:tcBorders>
                  <w:vAlign w:val="center"/>
                </w:tcPr>
                <w:p>
                  <w:pPr>
                    <w:widowControl/>
                    <w:jc w:val="center"/>
                    <w:rPr>
                      <w:color w:val="auto"/>
                      <w:szCs w:val="21"/>
                    </w:rPr>
                  </w:pPr>
                  <w:r>
                    <w:rPr>
                      <w:rFonts w:hint="eastAsia"/>
                      <w:color w:val="auto"/>
                      <w:szCs w:val="21"/>
                    </w:rPr>
                    <w:t>/</w:t>
                  </w:r>
                </w:p>
              </w:tc>
              <w:tc>
                <w:tcPr>
                  <w:tcW w:w="1117" w:type="dxa"/>
                  <w:tcBorders>
                    <w:tl2br w:val="nil"/>
                    <w:tr2bl w:val="nil"/>
                  </w:tcBorders>
                  <w:vAlign w:val="center"/>
                </w:tcPr>
                <w:p>
                  <w:pPr>
                    <w:widowControl/>
                    <w:jc w:val="center"/>
                    <w:rPr>
                      <w:color w:val="auto"/>
                      <w:szCs w:val="21"/>
                    </w:rPr>
                  </w:pPr>
                  <w:r>
                    <w:rPr>
                      <w:rFonts w:hint="eastAsia"/>
                      <w:color w:val="auto"/>
                      <w:szCs w:val="21"/>
                    </w:rPr>
                    <w:t>/</w:t>
                  </w:r>
                </w:p>
              </w:tc>
              <w:tc>
                <w:tcPr>
                  <w:tcW w:w="1163" w:type="dxa"/>
                  <w:tcBorders>
                    <w:tl2br w:val="nil"/>
                    <w:tr2bl w:val="nil"/>
                  </w:tcBorders>
                  <w:vAlign w:val="center"/>
                </w:tcPr>
                <w:p>
                  <w:pPr>
                    <w:widowControl/>
                    <w:jc w:val="center"/>
                    <w:rPr>
                      <w:rFonts w:hint="default" w:eastAsia="宋体"/>
                      <w:color w:val="auto"/>
                      <w:szCs w:val="21"/>
                      <w:lang w:val="en-US" w:eastAsia="zh-CN"/>
                    </w:rPr>
                  </w:pPr>
                  <w:r>
                    <w:rPr>
                      <w:rFonts w:hint="eastAsia"/>
                      <w:color w:val="auto"/>
                      <w:szCs w:val="21"/>
                    </w:rPr>
                    <w:t>0.00</w:t>
                  </w:r>
                  <w:r>
                    <w:rPr>
                      <w:rFonts w:hint="eastAsia"/>
                      <w:color w:val="auto"/>
                      <w:szCs w:val="21"/>
                      <w:lang w:val="en-US" w:eastAsia="zh-CN"/>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tcBorders>
                    <w:tl2br w:val="nil"/>
                    <w:tr2bl w:val="nil"/>
                  </w:tcBorders>
                  <w:vAlign w:val="center"/>
                </w:tcPr>
                <w:p>
                  <w:pPr>
                    <w:widowControl/>
                    <w:jc w:val="center"/>
                    <w:rPr>
                      <w:szCs w:val="21"/>
                    </w:rPr>
                  </w:pPr>
                  <w:r>
                    <w:rPr>
                      <w:rFonts w:hint="eastAsia"/>
                      <w:szCs w:val="21"/>
                    </w:rPr>
                    <w:t>破碎</w:t>
                  </w:r>
                  <w:r>
                    <w:rPr>
                      <w:rFonts w:hint="eastAsia"/>
                      <w:color w:val="auto"/>
                      <w:szCs w:val="21"/>
                      <w:lang w:val="en-US" w:eastAsia="zh-CN"/>
                    </w:rPr>
                    <w:t>（P2）</w:t>
                  </w:r>
                </w:p>
              </w:tc>
              <w:tc>
                <w:tcPr>
                  <w:tcW w:w="675" w:type="dxa"/>
                  <w:tcBorders>
                    <w:tl2br w:val="nil"/>
                    <w:tr2bl w:val="nil"/>
                  </w:tcBorders>
                  <w:vAlign w:val="center"/>
                </w:tcPr>
                <w:p>
                  <w:pPr>
                    <w:widowControl/>
                    <w:jc w:val="center"/>
                    <w:rPr>
                      <w:szCs w:val="21"/>
                    </w:rPr>
                  </w:pPr>
                  <w:r>
                    <w:rPr>
                      <w:rFonts w:hint="eastAsia"/>
                      <w:szCs w:val="21"/>
                    </w:rPr>
                    <w:t>5000</w:t>
                  </w:r>
                </w:p>
              </w:tc>
              <w:tc>
                <w:tcPr>
                  <w:tcW w:w="855" w:type="dxa"/>
                  <w:tcBorders>
                    <w:tl2br w:val="nil"/>
                    <w:tr2bl w:val="nil"/>
                  </w:tcBorders>
                  <w:vAlign w:val="center"/>
                </w:tcPr>
                <w:p>
                  <w:pPr>
                    <w:widowControl/>
                    <w:jc w:val="center"/>
                    <w:rPr>
                      <w:szCs w:val="21"/>
                    </w:rPr>
                  </w:pPr>
                  <w:r>
                    <w:rPr>
                      <w:rFonts w:hint="eastAsia"/>
                      <w:szCs w:val="21"/>
                    </w:rPr>
                    <w:t>有组织颗粒物</w:t>
                  </w:r>
                </w:p>
              </w:tc>
              <w:tc>
                <w:tcPr>
                  <w:tcW w:w="960" w:type="dxa"/>
                  <w:tcBorders>
                    <w:tl2br w:val="nil"/>
                    <w:tr2bl w:val="nil"/>
                  </w:tcBorders>
                  <w:vAlign w:val="center"/>
                </w:tcPr>
                <w:p>
                  <w:pPr>
                    <w:widowControl/>
                    <w:jc w:val="center"/>
                    <w:rPr>
                      <w:rFonts w:hint="default" w:eastAsia="宋体"/>
                      <w:szCs w:val="21"/>
                      <w:lang w:val="en-US" w:eastAsia="zh-CN"/>
                    </w:rPr>
                  </w:pPr>
                  <w:r>
                    <w:rPr>
                      <w:rFonts w:hint="eastAsia"/>
                      <w:szCs w:val="21"/>
                      <w:lang w:val="en-US" w:eastAsia="zh-CN"/>
                    </w:rPr>
                    <w:t>96</w:t>
                  </w:r>
                </w:p>
              </w:tc>
              <w:tc>
                <w:tcPr>
                  <w:tcW w:w="975" w:type="dxa"/>
                  <w:tcBorders>
                    <w:tl2br w:val="nil"/>
                    <w:tr2bl w:val="nil"/>
                  </w:tcBorders>
                  <w:vAlign w:val="center"/>
                </w:tcPr>
                <w:p>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72</w:t>
                  </w:r>
                </w:p>
              </w:tc>
              <w:tc>
                <w:tcPr>
                  <w:tcW w:w="1182" w:type="dxa"/>
                  <w:tcBorders>
                    <w:tl2br w:val="nil"/>
                    <w:tr2bl w:val="nil"/>
                  </w:tcBorders>
                  <w:vAlign w:val="center"/>
                </w:tcPr>
                <w:p>
                  <w:pPr>
                    <w:widowControl/>
                    <w:jc w:val="center"/>
                    <w:rPr>
                      <w:szCs w:val="21"/>
                    </w:rPr>
                  </w:pPr>
                  <w:r>
                    <w:rPr>
                      <w:rFonts w:hint="eastAsia"/>
                      <w:szCs w:val="21"/>
                    </w:rPr>
                    <w:t>袋式除尘器（处理效率90%计）</w:t>
                  </w:r>
                </w:p>
              </w:tc>
              <w:tc>
                <w:tcPr>
                  <w:tcW w:w="888" w:type="dxa"/>
                  <w:tcBorders>
                    <w:tl2br w:val="nil"/>
                    <w:tr2bl w:val="nil"/>
                  </w:tcBorders>
                  <w:vAlign w:val="center"/>
                </w:tcPr>
                <w:p>
                  <w:pPr>
                    <w:widowControl/>
                    <w:jc w:val="center"/>
                    <w:rPr>
                      <w:szCs w:val="21"/>
                    </w:rPr>
                  </w:pPr>
                  <w:r>
                    <w:rPr>
                      <w:rFonts w:hint="eastAsia"/>
                      <w:szCs w:val="21"/>
                      <w:lang w:val="en-US" w:eastAsia="zh-CN"/>
                    </w:rPr>
                    <w:t>P2:</w:t>
                  </w:r>
                  <w:r>
                    <w:rPr>
                      <w:rFonts w:hint="eastAsia"/>
                      <w:szCs w:val="21"/>
                    </w:rPr>
                    <w:t>1根15m高排气筒排放</w:t>
                  </w:r>
                </w:p>
              </w:tc>
              <w:tc>
                <w:tcPr>
                  <w:tcW w:w="1117" w:type="dxa"/>
                  <w:tcBorders>
                    <w:tl2br w:val="nil"/>
                    <w:tr2bl w:val="nil"/>
                  </w:tcBorders>
                  <w:vAlign w:val="center"/>
                </w:tcPr>
                <w:p>
                  <w:pPr>
                    <w:widowControl/>
                    <w:jc w:val="center"/>
                    <w:rPr>
                      <w:rFonts w:hint="eastAsia" w:eastAsia="宋体"/>
                      <w:szCs w:val="21"/>
                      <w:lang w:val="en-US" w:eastAsia="zh-CN"/>
                    </w:rPr>
                  </w:pPr>
                  <w:r>
                    <w:rPr>
                      <w:rFonts w:hint="eastAsia"/>
                      <w:color w:val="000000" w:themeColor="text1"/>
                      <w:szCs w:val="21"/>
                      <w:lang w:val="en-US" w:eastAsia="zh-CN"/>
                      <w14:textFill>
                        <w14:solidFill>
                          <w14:schemeClr w14:val="tx1"/>
                        </w14:solidFill>
                      </w14:textFill>
                    </w:rPr>
                    <w:t>9.6</w:t>
                  </w:r>
                </w:p>
              </w:tc>
              <w:tc>
                <w:tcPr>
                  <w:tcW w:w="1163" w:type="dxa"/>
                  <w:tcBorders>
                    <w:tl2br w:val="nil"/>
                    <w:tr2bl w:val="nil"/>
                  </w:tcBorders>
                  <w:vAlign w:val="center"/>
                </w:tcPr>
                <w:p>
                  <w:pPr>
                    <w:widowControl/>
                    <w:jc w:val="center"/>
                    <w:rPr>
                      <w:rFonts w:hint="default" w:eastAsia="宋体"/>
                      <w:szCs w:val="21"/>
                      <w:lang w:val="en-US" w:eastAsia="zh-CN"/>
                    </w:rPr>
                  </w:pPr>
                  <w:r>
                    <w:rPr>
                      <w:rFonts w:hint="eastAsia"/>
                      <w:color w:val="000000" w:themeColor="text1"/>
                      <w:szCs w:val="21"/>
                      <w14:textFill>
                        <w14:solidFill>
                          <w14:schemeClr w14:val="tx1"/>
                        </w14:solidFill>
                      </w14:textFill>
                    </w:rPr>
                    <w:t>0.00</w:t>
                  </w:r>
                  <w:r>
                    <w:rPr>
                      <w:rFonts w:hint="eastAsia"/>
                      <w:color w:val="000000" w:themeColor="text1"/>
                      <w:szCs w:val="21"/>
                      <w:lang w:val="en-US" w:eastAsia="zh-CN"/>
                      <w14:textFill>
                        <w14:solidFill>
                          <w14:schemeClr w14:val="tx1"/>
                        </w14:solidFill>
                      </w14:textFill>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tcBorders>
                    <w:tl2br w:val="nil"/>
                    <w:tr2bl w:val="nil"/>
                  </w:tcBorders>
                  <w:vAlign w:val="center"/>
                </w:tcPr>
                <w:p>
                  <w:pPr>
                    <w:widowControl/>
                    <w:jc w:val="center"/>
                    <w:rPr>
                      <w:szCs w:val="21"/>
                    </w:rPr>
                  </w:pPr>
                  <w:r>
                    <w:rPr>
                      <w:rFonts w:hint="eastAsia"/>
                      <w:szCs w:val="21"/>
                    </w:rPr>
                    <w:t>破碎</w:t>
                  </w:r>
                </w:p>
              </w:tc>
              <w:tc>
                <w:tcPr>
                  <w:tcW w:w="675" w:type="dxa"/>
                  <w:tcBorders>
                    <w:tl2br w:val="nil"/>
                    <w:tr2bl w:val="nil"/>
                  </w:tcBorders>
                  <w:vAlign w:val="center"/>
                </w:tcPr>
                <w:p>
                  <w:pPr>
                    <w:widowControl/>
                    <w:jc w:val="center"/>
                    <w:rPr>
                      <w:szCs w:val="21"/>
                    </w:rPr>
                  </w:pPr>
                  <w:r>
                    <w:rPr>
                      <w:rFonts w:hint="eastAsia"/>
                      <w:szCs w:val="21"/>
                    </w:rPr>
                    <w:t>/</w:t>
                  </w:r>
                </w:p>
              </w:tc>
              <w:tc>
                <w:tcPr>
                  <w:tcW w:w="855" w:type="dxa"/>
                  <w:tcBorders>
                    <w:tl2br w:val="nil"/>
                    <w:tr2bl w:val="nil"/>
                  </w:tcBorders>
                  <w:vAlign w:val="center"/>
                </w:tcPr>
                <w:p>
                  <w:pPr>
                    <w:widowControl/>
                    <w:jc w:val="center"/>
                    <w:rPr>
                      <w:szCs w:val="21"/>
                    </w:rPr>
                  </w:pPr>
                  <w:r>
                    <w:rPr>
                      <w:rFonts w:hint="eastAsia"/>
                      <w:szCs w:val="21"/>
                    </w:rPr>
                    <w:t>无组织颗粒物</w:t>
                  </w:r>
                </w:p>
              </w:tc>
              <w:tc>
                <w:tcPr>
                  <w:tcW w:w="960" w:type="dxa"/>
                  <w:tcBorders>
                    <w:tl2br w:val="nil"/>
                    <w:tr2bl w:val="nil"/>
                  </w:tcBorders>
                  <w:vAlign w:val="center"/>
                </w:tcPr>
                <w:p>
                  <w:pPr>
                    <w:widowControl/>
                    <w:jc w:val="center"/>
                    <w:rPr>
                      <w:szCs w:val="21"/>
                    </w:rPr>
                  </w:pPr>
                  <w:r>
                    <w:rPr>
                      <w:rFonts w:hint="eastAsia"/>
                      <w:szCs w:val="21"/>
                    </w:rPr>
                    <w:t>/</w:t>
                  </w:r>
                </w:p>
              </w:tc>
              <w:tc>
                <w:tcPr>
                  <w:tcW w:w="975" w:type="dxa"/>
                  <w:tcBorders>
                    <w:tl2br w:val="nil"/>
                    <w:tr2bl w:val="nil"/>
                  </w:tcBorders>
                  <w:vAlign w:val="center"/>
                </w:tcPr>
                <w:p>
                  <w:pPr>
                    <w:widowControl/>
                    <w:jc w:val="center"/>
                    <w:rPr>
                      <w:rFonts w:hint="eastAsia" w:eastAsia="宋体"/>
                      <w:szCs w:val="21"/>
                      <w:lang w:eastAsia="zh-CN"/>
                    </w:rPr>
                  </w:pPr>
                  <w:r>
                    <w:rPr>
                      <w:rFonts w:hint="eastAsia"/>
                      <w:color w:val="000000" w:themeColor="text1"/>
                      <w:szCs w:val="21"/>
                      <w14:textFill>
                        <w14:solidFill>
                          <w14:schemeClr w14:val="tx1"/>
                        </w14:solidFill>
                      </w14:textFill>
                    </w:rPr>
                    <w:t>0.00</w:t>
                  </w:r>
                  <w:r>
                    <w:rPr>
                      <w:rFonts w:hint="eastAsia"/>
                      <w:color w:val="000000" w:themeColor="text1"/>
                      <w:szCs w:val="21"/>
                      <w:lang w:val="en-US" w:eastAsia="zh-CN"/>
                      <w14:textFill>
                        <w14:solidFill>
                          <w14:schemeClr w14:val="tx1"/>
                        </w14:solidFill>
                      </w14:textFill>
                    </w:rPr>
                    <w:t>8</w:t>
                  </w:r>
                </w:p>
              </w:tc>
              <w:tc>
                <w:tcPr>
                  <w:tcW w:w="1182" w:type="dxa"/>
                  <w:tcBorders>
                    <w:tl2br w:val="nil"/>
                    <w:tr2bl w:val="nil"/>
                  </w:tcBorders>
                  <w:vAlign w:val="center"/>
                </w:tcPr>
                <w:p>
                  <w:pPr>
                    <w:widowControl/>
                    <w:jc w:val="center"/>
                    <w:rPr>
                      <w:szCs w:val="21"/>
                    </w:rPr>
                  </w:pPr>
                  <w:r>
                    <w:rPr>
                      <w:rFonts w:hint="eastAsia"/>
                      <w:szCs w:val="21"/>
                    </w:rPr>
                    <w:t>/</w:t>
                  </w:r>
                </w:p>
              </w:tc>
              <w:tc>
                <w:tcPr>
                  <w:tcW w:w="888" w:type="dxa"/>
                  <w:tcBorders>
                    <w:tl2br w:val="nil"/>
                    <w:tr2bl w:val="nil"/>
                  </w:tcBorders>
                  <w:vAlign w:val="center"/>
                </w:tcPr>
                <w:p>
                  <w:pPr>
                    <w:widowControl/>
                    <w:jc w:val="center"/>
                    <w:rPr>
                      <w:szCs w:val="21"/>
                    </w:rPr>
                  </w:pPr>
                  <w:r>
                    <w:rPr>
                      <w:rFonts w:hint="eastAsia"/>
                      <w:szCs w:val="21"/>
                    </w:rPr>
                    <w:t>/</w:t>
                  </w:r>
                </w:p>
              </w:tc>
              <w:tc>
                <w:tcPr>
                  <w:tcW w:w="1117" w:type="dxa"/>
                  <w:tcBorders>
                    <w:tl2br w:val="nil"/>
                    <w:tr2bl w:val="nil"/>
                  </w:tcBorders>
                  <w:vAlign w:val="center"/>
                </w:tcPr>
                <w:p>
                  <w:pPr>
                    <w:widowControl/>
                    <w:jc w:val="center"/>
                    <w:rPr>
                      <w:szCs w:val="21"/>
                    </w:rPr>
                  </w:pPr>
                  <w:r>
                    <w:rPr>
                      <w:rFonts w:hint="eastAsia"/>
                      <w:szCs w:val="21"/>
                    </w:rPr>
                    <w:t>/</w:t>
                  </w:r>
                </w:p>
              </w:tc>
              <w:tc>
                <w:tcPr>
                  <w:tcW w:w="1163" w:type="dxa"/>
                  <w:tcBorders>
                    <w:tl2br w:val="nil"/>
                    <w:tr2bl w:val="nil"/>
                  </w:tcBorders>
                  <w:vAlign w:val="center"/>
                </w:tcPr>
                <w:p>
                  <w:pPr>
                    <w:widowControl/>
                    <w:jc w:val="center"/>
                    <w:rPr>
                      <w:rFonts w:hint="eastAsia" w:eastAsia="宋体"/>
                      <w:szCs w:val="21"/>
                      <w:lang w:eastAsia="zh-CN"/>
                    </w:rPr>
                  </w:pPr>
                  <w:r>
                    <w:rPr>
                      <w:rFonts w:hint="eastAsia"/>
                      <w:color w:val="000000" w:themeColor="text1"/>
                      <w:szCs w:val="21"/>
                      <w14:textFill>
                        <w14:solidFill>
                          <w14:schemeClr w14:val="tx1"/>
                        </w14:solidFill>
                      </w14:textFill>
                    </w:rPr>
                    <w:t>0.00</w:t>
                  </w:r>
                  <w:r>
                    <w:rPr>
                      <w:rFonts w:hint="eastAsia"/>
                      <w:color w:val="000000" w:themeColor="text1"/>
                      <w:szCs w:val="21"/>
                      <w:lang w:val="en-US" w:eastAsia="zh-CN"/>
                      <w14:textFill>
                        <w14:solidFill>
                          <w14:schemeClr w14:val="tx1"/>
                        </w14:solidFill>
                      </w14:textFill>
                    </w:rPr>
                    <w:t>8</w:t>
                  </w:r>
                </w:p>
              </w:tc>
            </w:tr>
          </w:tbl>
          <w:p>
            <w:pPr>
              <w:jc w:val="center"/>
              <w:rPr>
                <w:rFonts w:eastAsia="黑体"/>
                <w:sz w:val="24"/>
              </w:rPr>
            </w:pPr>
          </w:p>
          <w:p>
            <w:pPr>
              <w:spacing w:line="360" w:lineRule="auto"/>
              <w:ind w:firstLine="482"/>
              <w:rPr>
                <w:rFonts w:eastAsia="黑体"/>
                <w:sz w:val="24"/>
              </w:rPr>
            </w:pPr>
            <w:r>
              <w:rPr>
                <w:rFonts w:hint="eastAsia"/>
                <w:sz w:val="24"/>
              </w:rPr>
              <w:t>（1）有组织废气</w:t>
            </w:r>
          </w:p>
          <w:p>
            <w:pPr>
              <w:jc w:val="center"/>
              <w:rPr>
                <w:rFonts w:eastAsia="黑体"/>
                <w:sz w:val="24"/>
              </w:rPr>
            </w:pPr>
            <w:r>
              <w:rPr>
                <w:rFonts w:eastAsia="黑体"/>
                <w:sz w:val="24"/>
              </w:rPr>
              <w:t>表</w:t>
            </w:r>
            <w:r>
              <w:rPr>
                <w:rFonts w:hint="eastAsia" w:eastAsia="黑体"/>
                <w:sz w:val="24"/>
              </w:rPr>
              <w:t>2</w:t>
            </w:r>
            <w:r>
              <w:rPr>
                <w:rFonts w:hint="eastAsia" w:eastAsia="黑体"/>
                <w:sz w:val="24"/>
                <w:lang w:val="en-US" w:eastAsia="zh-CN"/>
              </w:rPr>
              <w:t>2</w:t>
            </w:r>
            <w:r>
              <w:rPr>
                <w:rFonts w:eastAsia="黑体"/>
                <w:sz w:val="24"/>
              </w:rPr>
              <w:t xml:space="preserve">   有组织废气污染源排放</w:t>
            </w:r>
            <w:r>
              <w:rPr>
                <w:rFonts w:hint="eastAsia" w:eastAsia="黑体"/>
                <w:sz w:val="24"/>
              </w:rPr>
              <w:t>参数</w:t>
            </w:r>
          </w:p>
          <w:tbl>
            <w:tblPr>
              <w:tblStyle w:val="24"/>
              <w:tblW w:w="9179" w:type="dxa"/>
              <w:tblInd w:w="-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517"/>
              <w:gridCol w:w="433"/>
              <w:gridCol w:w="450"/>
              <w:gridCol w:w="717"/>
              <w:gridCol w:w="666"/>
              <w:gridCol w:w="684"/>
              <w:gridCol w:w="766"/>
              <w:gridCol w:w="800"/>
              <w:gridCol w:w="817"/>
              <w:gridCol w:w="700"/>
              <w:gridCol w:w="1033"/>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546" w:type="dxa"/>
                  <w:vAlign w:val="top"/>
                </w:tcPr>
                <w:p>
                  <w:pPr>
                    <w:jc w:val="center"/>
                    <w:rPr>
                      <w:snapToGrid w:val="0"/>
                      <w:sz w:val="24"/>
                      <w:vertAlign w:val="baseline"/>
                    </w:rPr>
                  </w:pPr>
                  <w:r>
                    <w:rPr>
                      <w:rFonts w:hint="eastAsia"/>
                      <w:szCs w:val="21"/>
                      <w:lang w:val="en-US" w:eastAsia="zh-CN"/>
                    </w:rPr>
                    <w:t>编号</w:t>
                  </w:r>
                </w:p>
              </w:tc>
              <w:tc>
                <w:tcPr>
                  <w:tcW w:w="517" w:type="dxa"/>
                  <w:vMerge w:val="restart"/>
                  <w:vAlign w:val="top"/>
                </w:tcPr>
                <w:p>
                  <w:pPr>
                    <w:jc w:val="center"/>
                    <w:rPr>
                      <w:snapToGrid w:val="0"/>
                      <w:sz w:val="24"/>
                      <w:vertAlign w:val="baseline"/>
                    </w:rPr>
                  </w:pPr>
                  <w:r>
                    <w:rPr>
                      <w:rFonts w:hint="eastAsia"/>
                      <w:szCs w:val="21"/>
                      <w:lang w:val="en-US" w:eastAsia="zh-CN"/>
                    </w:rPr>
                    <w:t>名称</w:t>
                  </w:r>
                </w:p>
              </w:tc>
              <w:tc>
                <w:tcPr>
                  <w:tcW w:w="883" w:type="dxa"/>
                  <w:gridSpan w:val="2"/>
                  <w:vAlign w:val="top"/>
                </w:tcPr>
                <w:p>
                  <w:pPr>
                    <w:jc w:val="center"/>
                    <w:rPr>
                      <w:snapToGrid w:val="0"/>
                      <w:sz w:val="24"/>
                      <w:vertAlign w:val="baseline"/>
                    </w:rPr>
                  </w:pPr>
                  <w:r>
                    <w:rPr>
                      <w:rFonts w:hint="eastAsia"/>
                      <w:szCs w:val="21"/>
                      <w:lang w:val="en-US" w:eastAsia="zh-CN"/>
                    </w:rPr>
                    <w:t>排气筒中心坐标/m</w:t>
                  </w:r>
                </w:p>
              </w:tc>
              <w:tc>
                <w:tcPr>
                  <w:tcW w:w="717" w:type="dxa"/>
                  <w:vMerge w:val="restart"/>
                  <w:vAlign w:val="top"/>
                </w:tcPr>
                <w:p>
                  <w:pPr>
                    <w:jc w:val="center"/>
                    <w:rPr>
                      <w:snapToGrid w:val="0"/>
                      <w:sz w:val="24"/>
                      <w:vertAlign w:val="baseline"/>
                    </w:rPr>
                  </w:pPr>
                  <w:r>
                    <w:rPr>
                      <w:rFonts w:hint="eastAsia"/>
                      <w:szCs w:val="21"/>
                      <w:lang w:val="en-US" w:eastAsia="zh-CN"/>
                    </w:rPr>
                    <w:t>排气筒底部海拔高度/m</w:t>
                  </w:r>
                </w:p>
              </w:tc>
              <w:tc>
                <w:tcPr>
                  <w:tcW w:w="666" w:type="dxa"/>
                  <w:vMerge w:val="restart"/>
                  <w:vAlign w:val="top"/>
                </w:tcPr>
                <w:p>
                  <w:pPr>
                    <w:jc w:val="center"/>
                    <w:rPr>
                      <w:snapToGrid w:val="0"/>
                      <w:sz w:val="24"/>
                      <w:vertAlign w:val="baseline"/>
                    </w:rPr>
                  </w:pPr>
                  <w:r>
                    <w:rPr>
                      <w:rFonts w:hint="eastAsia" w:asciiTheme="minorEastAsia" w:hAnsiTheme="minorEastAsia" w:eastAsiaTheme="minorEastAsia" w:cstheme="minorEastAsia"/>
                      <w:sz w:val="21"/>
                      <w:szCs w:val="21"/>
                      <w:vertAlign w:val="baseline"/>
                      <w:lang w:val="en-US" w:eastAsia="zh-CN"/>
                    </w:rPr>
                    <w:t>排气筒高度</w:t>
                  </w:r>
                  <w:r>
                    <w:rPr>
                      <w:rFonts w:hint="eastAsia" w:eastAsia="黑体"/>
                      <w:sz w:val="21"/>
                      <w:szCs w:val="21"/>
                      <w:vertAlign w:val="baseline"/>
                      <w:lang w:val="en-US" w:eastAsia="zh-CN"/>
                    </w:rPr>
                    <w:t>/m</w:t>
                  </w:r>
                </w:p>
              </w:tc>
              <w:tc>
                <w:tcPr>
                  <w:tcW w:w="684" w:type="dxa"/>
                  <w:vMerge w:val="restart"/>
                  <w:vAlign w:val="top"/>
                </w:tcPr>
                <w:p>
                  <w:pPr>
                    <w:jc w:val="center"/>
                    <w:rPr>
                      <w:snapToGrid w:val="0"/>
                      <w:sz w:val="24"/>
                      <w:vertAlign w:val="baseline"/>
                    </w:rPr>
                  </w:pPr>
                  <w:r>
                    <w:rPr>
                      <w:rFonts w:hint="eastAsia" w:asciiTheme="minorEastAsia" w:hAnsiTheme="minorEastAsia" w:eastAsiaTheme="minorEastAsia" w:cstheme="minorEastAsia"/>
                      <w:sz w:val="21"/>
                      <w:szCs w:val="21"/>
                      <w:vertAlign w:val="baseline"/>
                      <w:lang w:val="en-US" w:eastAsia="zh-CN"/>
                    </w:rPr>
                    <w:t>排气筒出口内径</w:t>
                  </w:r>
                  <w:r>
                    <w:rPr>
                      <w:rFonts w:hint="eastAsia" w:eastAsia="黑体"/>
                      <w:sz w:val="21"/>
                      <w:szCs w:val="21"/>
                      <w:vertAlign w:val="baseline"/>
                      <w:lang w:val="en-US" w:eastAsia="zh-CN"/>
                    </w:rPr>
                    <w:t>/m</w:t>
                  </w:r>
                </w:p>
              </w:tc>
              <w:tc>
                <w:tcPr>
                  <w:tcW w:w="766" w:type="dxa"/>
                  <w:vMerge w:val="restart"/>
                  <w:vAlign w:val="top"/>
                </w:tcPr>
                <w:p>
                  <w:pPr>
                    <w:jc w:val="center"/>
                    <w:rPr>
                      <w:snapToGrid w:val="0"/>
                      <w:sz w:val="24"/>
                      <w:vertAlign w:val="baseline"/>
                    </w:rPr>
                  </w:pPr>
                  <w:r>
                    <w:rPr>
                      <w:rFonts w:hint="eastAsia" w:asciiTheme="minorEastAsia" w:hAnsiTheme="minorEastAsia" w:eastAsiaTheme="minorEastAsia" w:cstheme="minorEastAsia"/>
                      <w:sz w:val="21"/>
                      <w:szCs w:val="21"/>
                      <w:vertAlign w:val="baseline"/>
                      <w:lang w:val="en-US" w:eastAsia="zh-CN"/>
                    </w:rPr>
                    <w:t>烟气流速</w:t>
                  </w:r>
                  <w:r>
                    <w:rPr>
                      <w:rFonts w:hint="eastAsia" w:eastAsia="黑体"/>
                      <w:sz w:val="21"/>
                      <w:szCs w:val="21"/>
                      <w:vertAlign w:val="baseline"/>
                      <w:lang w:val="en-US" w:eastAsia="zh-CN"/>
                    </w:rPr>
                    <w:t>/(m/s)</w:t>
                  </w:r>
                </w:p>
              </w:tc>
              <w:tc>
                <w:tcPr>
                  <w:tcW w:w="800" w:type="dxa"/>
                  <w:vMerge w:val="restart"/>
                  <w:vAlign w:val="top"/>
                </w:tcPr>
                <w:p>
                  <w:pPr>
                    <w:jc w:val="center"/>
                    <w:rPr>
                      <w:snapToGrid w:val="0"/>
                      <w:sz w:val="24"/>
                      <w:vertAlign w:val="baseline"/>
                    </w:rPr>
                  </w:pPr>
                  <w:r>
                    <w:rPr>
                      <w:rFonts w:hint="eastAsia" w:asciiTheme="minorEastAsia" w:hAnsiTheme="minorEastAsia" w:eastAsiaTheme="minorEastAsia" w:cstheme="minorEastAsia"/>
                      <w:sz w:val="21"/>
                      <w:szCs w:val="21"/>
                      <w:vertAlign w:val="baseline"/>
                      <w:lang w:val="en-US" w:eastAsia="zh-CN"/>
                    </w:rPr>
                    <w:t>烟气温度</w:t>
                  </w:r>
                  <w:r>
                    <w:rPr>
                      <w:rFonts w:hint="eastAsia" w:eastAsia="黑体"/>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w:t>
                  </w:r>
                </w:p>
              </w:tc>
              <w:tc>
                <w:tcPr>
                  <w:tcW w:w="817" w:type="dxa"/>
                  <w:vMerge w:val="restart"/>
                  <w:vAlign w:val="top"/>
                </w:tcPr>
                <w:p>
                  <w:pPr>
                    <w:jc w:val="center"/>
                    <w:rPr>
                      <w:snapToGrid w:val="0"/>
                      <w:sz w:val="24"/>
                      <w:vertAlign w:val="baseline"/>
                    </w:rPr>
                  </w:pPr>
                  <w:r>
                    <w:rPr>
                      <w:rFonts w:hint="eastAsia" w:asciiTheme="minorEastAsia" w:hAnsiTheme="minorEastAsia" w:eastAsiaTheme="minorEastAsia" w:cstheme="minorEastAsia"/>
                      <w:sz w:val="21"/>
                      <w:szCs w:val="21"/>
                      <w:vertAlign w:val="baseline"/>
                      <w:lang w:val="en-US" w:eastAsia="zh-CN"/>
                    </w:rPr>
                    <w:t>年排放小时数</w:t>
                  </w:r>
                  <w:r>
                    <w:rPr>
                      <w:rFonts w:hint="eastAsia" w:eastAsia="黑体"/>
                      <w:sz w:val="21"/>
                      <w:szCs w:val="21"/>
                      <w:vertAlign w:val="baseline"/>
                      <w:lang w:val="en-US" w:eastAsia="zh-CN"/>
                    </w:rPr>
                    <w:t>/h</w:t>
                  </w:r>
                </w:p>
              </w:tc>
              <w:tc>
                <w:tcPr>
                  <w:tcW w:w="700" w:type="dxa"/>
                  <w:vMerge w:val="restart"/>
                  <w:vAlign w:val="top"/>
                </w:tcPr>
                <w:p>
                  <w:pPr>
                    <w:jc w:val="center"/>
                    <w:rPr>
                      <w:snapToGrid w:val="0"/>
                      <w:sz w:val="24"/>
                      <w:vertAlign w:val="baseline"/>
                    </w:rPr>
                  </w:pPr>
                  <w:r>
                    <w:rPr>
                      <w:rFonts w:hint="eastAsia" w:asciiTheme="minorEastAsia" w:hAnsiTheme="minorEastAsia" w:eastAsiaTheme="minorEastAsia" w:cstheme="minorEastAsia"/>
                      <w:sz w:val="21"/>
                      <w:szCs w:val="21"/>
                      <w:vertAlign w:val="baseline"/>
                      <w:lang w:val="en-US" w:eastAsia="zh-CN"/>
                    </w:rPr>
                    <w:t>排放工况</w:t>
                  </w:r>
                </w:p>
              </w:tc>
              <w:tc>
                <w:tcPr>
                  <w:tcW w:w="2083" w:type="dxa"/>
                  <w:gridSpan w:val="2"/>
                  <w:vAlign w:val="top"/>
                </w:tcPr>
                <w:p>
                  <w:pPr>
                    <w:jc w:val="center"/>
                    <w:rPr>
                      <w:snapToGrid w:val="0"/>
                      <w:sz w:val="24"/>
                      <w:vertAlign w:val="baseline"/>
                    </w:rPr>
                  </w:pPr>
                  <w:r>
                    <w:rPr>
                      <w:rFonts w:hint="eastAsia" w:asciiTheme="minorEastAsia" w:hAnsiTheme="minorEastAsia" w:eastAsiaTheme="minorEastAsia" w:cstheme="minorEastAsia"/>
                      <w:sz w:val="21"/>
                      <w:szCs w:val="21"/>
                      <w:vertAlign w:val="baseline"/>
                      <w:lang w:val="en-US" w:eastAsia="zh-CN"/>
                    </w:rPr>
                    <w:t>污染物排放速率</w:t>
                  </w:r>
                  <w:r>
                    <w:rPr>
                      <w:rFonts w:hint="eastAsia" w:eastAsia="黑体"/>
                      <w:sz w:val="21"/>
                      <w:szCs w:val="21"/>
                      <w:vertAlign w:val="baseline"/>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546" w:type="dxa"/>
                  <w:vMerge w:val="continue"/>
                  <w:vAlign w:val="top"/>
                </w:tcPr>
                <w:p>
                  <w:pPr>
                    <w:jc w:val="center"/>
                  </w:pPr>
                </w:p>
              </w:tc>
              <w:tc>
                <w:tcPr>
                  <w:tcW w:w="517" w:type="dxa"/>
                  <w:vMerge w:val="continue"/>
                  <w:vAlign w:val="top"/>
                </w:tcPr>
                <w:p>
                  <w:pPr>
                    <w:jc w:val="center"/>
                  </w:pPr>
                </w:p>
              </w:tc>
              <w:tc>
                <w:tcPr>
                  <w:tcW w:w="433" w:type="dxa"/>
                  <w:vAlign w:val="top"/>
                </w:tcPr>
                <w:p>
                  <w:pPr>
                    <w:jc w:val="center"/>
                    <w:rPr>
                      <w:snapToGrid w:val="0"/>
                      <w:sz w:val="24"/>
                      <w:vertAlign w:val="baseline"/>
                    </w:rPr>
                  </w:pPr>
                  <w:r>
                    <w:rPr>
                      <w:rFonts w:hint="eastAsia" w:eastAsia="黑体"/>
                      <w:sz w:val="21"/>
                      <w:szCs w:val="21"/>
                      <w:vertAlign w:val="baseline"/>
                      <w:lang w:val="en-US" w:eastAsia="zh-CN"/>
                    </w:rPr>
                    <w:t>X</w:t>
                  </w:r>
                </w:p>
              </w:tc>
              <w:tc>
                <w:tcPr>
                  <w:tcW w:w="450" w:type="dxa"/>
                  <w:vAlign w:val="top"/>
                </w:tcPr>
                <w:p>
                  <w:pPr>
                    <w:jc w:val="center"/>
                    <w:rPr>
                      <w:snapToGrid w:val="0"/>
                      <w:sz w:val="24"/>
                      <w:vertAlign w:val="baseline"/>
                    </w:rPr>
                  </w:pPr>
                  <w:r>
                    <w:rPr>
                      <w:rFonts w:hint="eastAsia" w:eastAsia="黑体"/>
                      <w:sz w:val="21"/>
                      <w:szCs w:val="21"/>
                      <w:vertAlign w:val="baseline"/>
                      <w:lang w:val="en-US" w:eastAsia="zh-CN"/>
                    </w:rPr>
                    <w:t>Y</w:t>
                  </w:r>
                </w:p>
              </w:tc>
              <w:tc>
                <w:tcPr>
                  <w:tcW w:w="717" w:type="dxa"/>
                  <w:vMerge w:val="continue"/>
                  <w:vAlign w:val="top"/>
                </w:tcPr>
                <w:p>
                  <w:pPr>
                    <w:jc w:val="center"/>
                    <w:rPr>
                      <w:snapToGrid w:val="0"/>
                      <w:sz w:val="24"/>
                      <w:vertAlign w:val="baseline"/>
                    </w:rPr>
                  </w:pPr>
                </w:p>
              </w:tc>
              <w:tc>
                <w:tcPr>
                  <w:tcW w:w="666" w:type="dxa"/>
                  <w:vMerge w:val="continue"/>
                  <w:vAlign w:val="top"/>
                </w:tcPr>
                <w:p>
                  <w:pPr>
                    <w:jc w:val="center"/>
                    <w:rPr>
                      <w:snapToGrid w:val="0"/>
                      <w:sz w:val="24"/>
                      <w:vertAlign w:val="baseline"/>
                    </w:rPr>
                  </w:pPr>
                </w:p>
              </w:tc>
              <w:tc>
                <w:tcPr>
                  <w:tcW w:w="684" w:type="dxa"/>
                  <w:vMerge w:val="continue"/>
                  <w:vAlign w:val="top"/>
                </w:tcPr>
                <w:p>
                  <w:pPr>
                    <w:jc w:val="center"/>
                    <w:rPr>
                      <w:snapToGrid w:val="0"/>
                      <w:sz w:val="24"/>
                      <w:vertAlign w:val="baseline"/>
                    </w:rPr>
                  </w:pPr>
                </w:p>
              </w:tc>
              <w:tc>
                <w:tcPr>
                  <w:tcW w:w="766" w:type="dxa"/>
                  <w:vMerge w:val="continue"/>
                  <w:vAlign w:val="top"/>
                </w:tcPr>
                <w:p>
                  <w:pPr>
                    <w:jc w:val="center"/>
                    <w:rPr>
                      <w:snapToGrid w:val="0"/>
                      <w:sz w:val="24"/>
                      <w:vertAlign w:val="baseline"/>
                    </w:rPr>
                  </w:pPr>
                </w:p>
              </w:tc>
              <w:tc>
                <w:tcPr>
                  <w:tcW w:w="800" w:type="dxa"/>
                  <w:vMerge w:val="continue"/>
                  <w:vAlign w:val="top"/>
                </w:tcPr>
                <w:p>
                  <w:pPr>
                    <w:jc w:val="center"/>
                    <w:rPr>
                      <w:snapToGrid w:val="0"/>
                      <w:sz w:val="24"/>
                      <w:vertAlign w:val="baseline"/>
                    </w:rPr>
                  </w:pPr>
                </w:p>
              </w:tc>
              <w:tc>
                <w:tcPr>
                  <w:tcW w:w="817" w:type="dxa"/>
                  <w:vMerge w:val="continue"/>
                  <w:vAlign w:val="top"/>
                </w:tcPr>
                <w:p>
                  <w:pPr>
                    <w:jc w:val="center"/>
                    <w:rPr>
                      <w:snapToGrid w:val="0"/>
                      <w:sz w:val="24"/>
                      <w:vertAlign w:val="baseline"/>
                    </w:rPr>
                  </w:pPr>
                </w:p>
              </w:tc>
              <w:tc>
                <w:tcPr>
                  <w:tcW w:w="700" w:type="dxa"/>
                  <w:vMerge w:val="continue"/>
                  <w:vAlign w:val="top"/>
                </w:tcPr>
                <w:p>
                  <w:pPr>
                    <w:jc w:val="center"/>
                    <w:rPr>
                      <w:snapToGrid w:val="0"/>
                      <w:sz w:val="24"/>
                      <w:vertAlign w:val="baseline"/>
                    </w:rPr>
                  </w:pPr>
                </w:p>
              </w:tc>
              <w:tc>
                <w:tcPr>
                  <w:tcW w:w="1033" w:type="dxa"/>
                  <w:vAlign w:val="top"/>
                </w:tcPr>
                <w:p>
                  <w:pPr>
                    <w:jc w:val="center"/>
                    <w:rPr>
                      <w:rFonts w:hint="eastAsia" w:eastAsia="宋体"/>
                      <w:snapToGrid w:val="0"/>
                      <w:sz w:val="24"/>
                      <w:vertAlign w:val="baseline"/>
                      <w:lang w:eastAsia="zh-CN"/>
                    </w:rPr>
                  </w:pPr>
                  <w:r>
                    <w:rPr>
                      <w:sz w:val="21"/>
                      <w:szCs w:val="21"/>
                    </w:rPr>
                    <w:t>非甲烷总烃</w:t>
                  </w:r>
                  <w:r>
                    <w:rPr>
                      <w:rFonts w:hint="eastAsia"/>
                      <w:sz w:val="21"/>
                      <w:szCs w:val="21"/>
                      <w:lang w:eastAsia="zh-CN"/>
                    </w:rPr>
                    <w:t>（</w:t>
                  </w:r>
                  <w:r>
                    <w:rPr>
                      <w:rFonts w:hint="eastAsia"/>
                      <w:sz w:val="21"/>
                      <w:szCs w:val="21"/>
                      <w:lang w:val="en-US" w:eastAsia="zh-CN"/>
                    </w:rPr>
                    <w:t>P1</w:t>
                  </w:r>
                  <w:r>
                    <w:rPr>
                      <w:rFonts w:hint="eastAsia"/>
                      <w:sz w:val="21"/>
                      <w:szCs w:val="21"/>
                      <w:lang w:eastAsia="zh-CN"/>
                    </w:rPr>
                    <w:t>）</w:t>
                  </w:r>
                </w:p>
              </w:tc>
              <w:tc>
                <w:tcPr>
                  <w:tcW w:w="1050" w:type="dxa"/>
                  <w:vAlign w:val="top"/>
                </w:tcPr>
                <w:p>
                  <w:pPr>
                    <w:jc w:val="center"/>
                    <w:rPr>
                      <w:rFonts w:hint="eastAsia" w:eastAsia="宋体"/>
                      <w:snapToGrid w:val="0"/>
                      <w:sz w:val="24"/>
                      <w:vertAlign w:val="baseline"/>
                      <w:lang w:eastAsia="zh-CN"/>
                    </w:rPr>
                  </w:pPr>
                  <w:r>
                    <w:rPr>
                      <w:rFonts w:hint="eastAsia"/>
                      <w:sz w:val="21"/>
                      <w:szCs w:val="21"/>
                    </w:rPr>
                    <w:t>颗粒物</w:t>
                  </w:r>
                  <w:r>
                    <w:rPr>
                      <w:rFonts w:hint="eastAsia"/>
                      <w:sz w:val="21"/>
                      <w:szCs w:val="21"/>
                      <w:lang w:eastAsia="zh-CN"/>
                    </w:rPr>
                    <w:t>（</w:t>
                  </w:r>
                  <w:r>
                    <w:rPr>
                      <w:rFonts w:hint="eastAsia"/>
                      <w:sz w:val="21"/>
                      <w:szCs w:val="21"/>
                      <w:lang w:val="en-US" w:eastAsia="zh-CN"/>
                    </w:rPr>
                    <w:t>P2</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top"/>
                </w:tcPr>
                <w:p>
                  <w:pPr>
                    <w:jc w:val="center"/>
                    <w:rPr>
                      <w:snapToGrid w:val="0"/>
                      <w:sz w:val="24"/>
                      <w:vertAlign w:val="baseline"/>
                    </w:rPr>
                  </w:pPr>
                  <w:r>
                    <w:rPr>
                      <w:rFonts w:hint="eastAsia" w:eastAsia="黑体"/>
                      <w:sz w:val="21"/>
                      <w:szCs w:val="21"/>
                      <w:vertAlign w:val="baseline"/>
                      <w:lang w:val="en-US" w:eastAsia="zh-CN"/>
                    </w:rPr>
                    <w:t>1</w:t>
                  </w:r>
                </w:p>
              </w:tc>
              <w:tc>
                <w:tcPr>
                  <w:tcW w:w="517" w:type="dxa"/>
                  <w:vAlign w:val="top"/>
                </w:tcPr>
                <w:p>
                  <w:pPr>
                    <w:jc w:val="center"/>
                    <w:rPr>
                      <w:snapToGrid w:val="0"/>
                      <w:sz w:val="24"/>
                      <w:vertAlign w:val="baseline"/>
                    </w:rPr>
                  </w:pPr>
                  <w:r>
                    <w:rPr>
                      <w:rFonts w:hint="eastAsia"/>
                      <w:sz w:val="21"/>
                      <w:szCs w:val="21"/>
                      <w:lang w:val="en-US" w:eastAsia="zh-CN"/>
                    </w:rPr>
                    <w:t>排气口</w:t>
                  </w:r>
                </w:p>
              </w:tc>
              <w:tc>
                <w:tcPr>
                  <w:tcW w:w="433" w:type="dxa"/>
                  <w:vAlign w:val="top"/>
                </w:tcPr>
                <w:p>
                  <w:pPr>
                    <w:jc w:val="center"/>
                    <w:rPr>
                      <w:snapToGrid w:val="0"/>
                      <w:sz w:val="24"/>
                      <w:vertAlign w:val="baseline"/>
                    </w:rPr>
                  </w:pPr>
                  <w:r>
                    <w:rPr>
                      <w:rFonts w:hint="eastAsia" w:eastAsia="黑体"/>
                      <w:sz w:val="21"/>
                      <w:szCs w:val="21"/>
                      <w:vertAlign w:val="baseline"/>
                      <w:lang w:val="en-US" w:eastAsia="zh-CN"/>
                    </w:rPr>
                    <w:t>/</w:t>
                  </w:r>
                </w:p>
              </w:tc>
              <w:tc>
                <w:tcPr>
                  <w:tcW w:w="450" w:type="dxa"/>
                  <w:vAlign w:val="top"/>
                </w:tcPr>
                <w:p>
                  <w:pPr>
                    <w:jc w:val="center"/>
                    <w:rPr>
                      <w:snapToGrid w:val="0"/>
                      <w:sz w:val="24"/>
                      <w:vertAlign w:val="baseline"/>
                    </w:rPr>
                  </w:pPr>
                  <w:r>
                    <w:rPr>
                      <w:rFonts w:hint="eastAsia" w:eastAsia="黑体"/>
                      <w:sz w:val="21"/>
                      <w:szCs w:val="21"/>
                      <w:vertAlign w:val="baseline"/>
                      <w:lang w:val="en-US" w:eastAsia="zh-CN"/>
                    </w:rPr>
                    <w:t>/</w:t>
                  </w:r>
                </w:p>
              </w:tc>
              <w:tc>
                <w:tcPr>
                  <w:tcW w:w="717" w:type="dxa"/>
                  <w:vAlign w:val="top"/>
                </w:tcPr>
                <w:p>
                  <w:pPr>
                    <w:jc w:val="center"/>
                    <w:rPr>
                      <w:snapToGrid w:val="0"/>
                      <w:sz w:val="24"/>
                      <w:vertAlign w:val="baseline"/>
                    </w:rPr>
                  </w:pPr>
                  <w:r>
                    <w:rPr>
                      <w:rFonts w:hint="eastAsia" w:eastAsia="黑体"/>
                      <w:sz w:val="21"/>
                      <w:szCs w:val="21"/>
                      <w:vertAlign w:val="baseline"/>
                      <w:lang w:val="en-US" w:eastAsia="zh-CN"/>
                    </w:rPr>
                    <w:t>0</w:t>
                  </w:r>
                </w:p>
              </w:tc>
              <w:tc>
                <w:tcPr>
                  <w:tcW w:w="666" w:type="dxa"/>
                  <w:vAlign w:val="top"/>
                </w:tcPr>
                <w:p>
                  <w:pPr>
                    <w:jc w:val="center"/>
                    <w:rPr>
                      <w:snapToGrid w:val="0"/>
                      <w:sz w:val="24"/>
                      <w:vertAlign w:val="baseline"/>
                    </w:rPr>
                  </w:pPr>
                  <w:r>
                    <w:rPr>
                      <w:rFonts w:hint="eastAsia" w:eastAsia="黑体"/>
                      <w:sz w:val="21"/>
                      <w:szCs w:val="21"/>
                      <w:vertAlign w:val="baseline"/>
                      <w:lang w:val="en-US" w:eastAsia="zh-CN"/>
                    </w:rPr>
                    <w:t>15</w:t>
                  </w:r>
                </w:p>
              </w:tc>
              <w:tc>
                <w:tcPr>
                  <w:tcW w:w="684" w:type="dxa"/>
                  <w:vAlign w:val="top"/>
                </w:tcPr>
                <w:p>
                  <w:pPr>
                    <w:jc w:val="center"/>
                    <w:rPr>
                      <w:snapToGrid w:val="0"/>
                      <w:sz w:val="24"/>
                      <w:vertAlign w:val="baseline"/>
                    </w:rPr>
                  </w:pPr>
                  <w:r>
                    <w:rPr>
                      <w:rFonts w:hint="eastAsia" w:eastAsia="黑体"/>
                      <w:sz w:val="21"/>
                      <w:szCs w:val="21"/>
                      <w:vertAlign w:val="baseline"/>
                      <w:lang w:val="en-US" w:eastAsia="zh-CN"/>
                    </w:rPr>
                    <w:t>0.3</w:t>
                  </w:r>
                </w:p>
              </w:tc>
              <w:tc>
                <w:tcPr>
                  <w:tcW w:w="766" w:type="dxa"/>
                  <w:vAlign w:val="top"/>
                </w:tcPr>
                <w:p>
                  <w:pPr>
                    <w:jc w:val="center"/>
                    <w:rPr>
                      <w:snapToGrid w:val="0"/>
                      <w:sz w:val="24"/>
                      <w:vertAlign w:val="baseline"/>
                    </w:rPr>
                  </w:pPr>
                  <w:r>
                    <w:rPr>
                      <w:rFonts w:hint="eastAsia" w:eastAsia="黑体"/>
                      <w:sz w:val="21"/>
                      <w:szCs w:val="21"/>
                      <w:vertAlign w:val="baseline"/>
                      <w:lang w:val="en-US" w:eastAsia="zh-CN"/>
                    </w:rPr>
                    <w:t>5</w:t>
                  </w:r>
                </w:p>
              </w:tc>
              <w:tc>
                <w:tcPr>
                  <w:tcW w:w="800" w:type="dxa"/>
                  <w:vAlign w:val="top"/>
                </w:tcPr>
                <w:p>
                  <w:pPr>
                    <w:jc w:val="center"/>
                    <w:rPr>
                      <w:snapToGrid w:val="0"/>
                      <w:sz w:val="24"/>
                      <w:vertAlign w:val="baseline"/>
                    </w:rPr>
                  </w:pPr>
                  <w:r>
                    <w:rPr>
                      <w:rFonts w:hint="eastAsia" w:eastAsia="黑体"/>
                      <w:sz w:val="21"/>
                      <w:szCs w:val="21"/>
                      <w:vertAlign w:val="baseline"/>
                      <w:lang w:val="en-US" w:eastAsia="zh-CN"/>
                    </w:rPr>
                    <w:t>25</w:t>
                  </w:r>
                </w:p>
              </w:tc>
              <w:tc>
                <w:tcPr>
                  <w:tcW w:w="817" w:type="dxa"/>
                  <w:vAlign w:val="top"/>
                </w:tcPr>
                <w:p>
                  <w:pPr>
                    <w:jc w:val="center"/>
                    <w:rPr>
                      <w:snapToGrid w:val="0"/>
                      <w:sz w:val="24"/>
                      <w:vertAlign w:val="baseline"/>
                    </w:rPr>
                  </w:pPr>
                  <w:r>
                    <w:rPr>
                      <w:rFonts w:hint="eastAsia" w:eastAsia="黑体"/>
                      <w:sz w:val="21"/>
                      <w:szCs w:val="21"/>
                      <w:vertAlign w:val="baseline"/>
                      <w:lang w:val="en-US" w:eastAsia="zh-CN"/>
                    </w:rPr>
                    <w:t>3000</w:t>
                  </w:r>
                </w:p>
              </w:tc>
              <w:tc>
                <w:tcPr>
                  <w:tcW w:w="700" w:type="dxa"/>
                  <w:vAlign w:val="top"/>
                </w:tcPr>
                <w:p>
                  <w:pPr>
                    <w:jc w:val="center"/>
                    <w:rPr>
                      <w:snapToGrid w:val="0"/>
                      <w:sz w:val="24"/>
                      <w:vertAlign w:val="baseline"/>
                    </w:rPr>
                  </w:pPr>
                  <w:r>
                    <w:rPr>
                      <w:rFonts w:hint="eastAsia" w:asciiTheme="minorEastAsia" w:hAnsiTheme="minorEastAsia" w:eastAsiaTheme="minorEastAsia" w:cstheme="minorEastAsia"/>
                      <w:sz w:val="21"/>
                      <w:szCs w:val="21"/>
                      <w:vertAlign w:val="baseline"/>
                      <w:lang w:val="en-US" w:eastAsia="zh-CN"/>
                    </w:rPr>
                    <w:t>标准工况</w:t>
                  </w:r>
                </w:p>
              </w:tc>
              <w:tc>
                <w:tcPr>
                  <w:tcW w:w="1033" w:type="dxa"/>
                  <w:vAlign w:val="top"/>
                </w:tcPr>
                <w:p>
                  <w:pPr>
                    <w:jc w:val="center"/>
                    <w:rPr>
                      <w:rFonts w:hint="default"/>
                      <w:snapToGrid w:val="0"/>
                      <w:sz w:val="24"/>
                      <w:vertAlign w:val="baseline"/>
                      <w:lang w:val="en-US"/>
                    </w:rPr>
                  </w:pPr>
                  <w:r>
                    <w:rPr>
                      <w:rFonts w:hint="eastAsia" w:eastAsia="黑体"/>
                      <w:sz w:val="21"/>
                      <w:szCs w:val="21"/>
                      <w:vertAlign w:val="baseline"/>
                      <w:lang w:val="en-US" w:eastAsia="zh-CN"/>
                    </w:rPr>
                    <w:t>0.0016</w:t>
                  </w:r>
                </w:p>
              </w:tc>
              <w:tc>
                <w:tcPr>
                  <w:tcW w:w="1050" w:type="dxa"/>
                  <w:vAlign w:val="top"/>
                </w:tcPr>
                <w:p>
                  <w:pPr>
                    <w:jc w:val="center"/>
                    <w:rPr>
                      <w:rFonts w:hint="default"/>
                      <w:snapToGrid w:val="0"/>
                      <w:sz w:val="24"/>
                      <w:vertAlign w:val="baseline"/>
                      <w:lang w:val="en-US"/>
                    </w:rPr>
                  </w:pPr>
                  <w:r>
                    <w:rPr>
                      <w:rFonts w:hint="eastAsia" w:eastAsia="黑体"/>
                      <w:sz w:val="21"/>
                      <w:szCs w:val="21"/>
                      <w:vertAlign w:val="baseline"/>
                      <w:lang w:val="en-US" w:eastAsia="zh-CN"/>
                    </w:rPr>
                    <w:t>0.048</w:t>
                  </w:r>
                </w:p>
              </w:tc>
            </w:tr>
          </w:tbl>
          <w:p>
            <w:pPr>
              <w:spacing w:line="360" w:lineRule="auto"/>
              <w:ind w:firstLine="480" w:firstLineChars="200"/>
              <w:textAlignment w:val="baseline"/>
              <w:rPr>
                <w:snapToGrid w:val="0"/>
                <w:sz w:val="24"/>
              </w:rPr>
            </w:pPr>
          </w:p>
          <w:p>
            <w:pPr>
              <w:spacing w:line="360" w:lineRule="auto"/>
              <w:textAlignment w:val="baseline"/>
              <w:rPr>
                <w:sz w:val="24"/>
              </w:rPr>
            </w:pPr>
            <w:r>
              <w:rPr>
                <w:snapToGrid w:val="0"/>
                <w:sz w:val="24"/>
              </w:rPr>
              <w:t>根据上表可知，</w:t>
            </w:r>
            <w:r>
              <w:rPr>
                <w:snapToGrid w:val="0"/>
                <w:sz w:val="24"/>
                <w:szCs w:val="24"/>
              </w:rPr>
              <w:t>本项目有组织非甲烷总烃排放浓度</w:t>
            </w:r>
            <w:r>
              <w:rPr>
                <w:rFonts w:hint="eastAsia"/>
                <w:b w:val="0"/>
                <w:bCs w:val="0"/>
                <w:kern w:val="21"/>
                <w:sz w:val="24"/>
                <w:szCs w:val="24"/>
              </w:rPr>
              <w:t>满足</w:t>
            </w:r>
            <w:r>
              <w:rPr>
                <w:b w:val="0"/>
                <w:bCs w:val="0"/>
                <w:snapToGrid w:val="0"/>
                <w:sz w:val="24"/>
                <w:szCs w:val="24"/>
              </w:rPr>
              <w:t>《关于全省开展工业企业挥发性有机物专项治理工作中排放建议值的通知》（豫环攻坚办〔2017〕162号）中，</w:t>
            </w:r>
            <w:r>
              <w:rPr>
                <w:rFonts w:hint="eastAsia"/>
                <w:sz w:val="24"/>
                <w:szCs w:val="24"/>
                <w:lang w:eastAsia="zh-CN"/>
              </w:rPr>
              <w:t>其他行业</w:t>
            </w:r>
            <w:r>
              <w:rPr>
                <w:rFonts w:hint="eastAsia"/>
                <w:color w:val="000000"/>
                <w:spacing w:val="2"/>
                <w:sz w:val="24"/>
                <w:szCs w:val="24"/>
              </w:rPr>
              <w:t>非甲烷总烃</w:t>
            </w:r>
            <w:r>
              <w:rPr>
                <w:sz w:val="24"/>
                <w:szCs w:val="24"/>
              </w:rPr>
              <w:t>去除效率70%</w:t>
            </w:r>
            <w:r>
              <w:rPr>
                <w:b w:val="0"/>
                <w:bCs w:val="0"/>
                <w:snapToGrid w:val="0"/>
                <w:sz w:val="24"/>
                <w:szCs w:val="24"/>
              </w:rPr>
              <w:t>限值要求</w:t>
            </w:r>
            <w:r>
              <w:rPr>
                <w:rFonts w:hint="eastAsia"/>
                <w:b w:val="0"/>
                <w:bCs w:val="0"/>
                <w:snapToGrid w:val="0"/>
                <w:sz w:val="24"/>
                <w:szCs w:val="24"/>
              </w:rPr>
              <w:t>，</w:t>
            </w:r>
            <w:r>
              <w:rPr>
                <w:rFonts w:hint="eastAsia"/>
                <w:b w:val="0"/>
                <w:bCs w:val="0"/>
                <w:snapToGrid w:val="0"/>
                <w:sz w:val="24"/>
                <w:szCs w:val="24"/>
                <w:lang w:eastAsia="zh-CN"/>
              </w:rPr>
              <w:t>也满足</w:t>
            </w:r>
            <w:r>
              <w:rPr>
                <w:rFonts w:hint="eastAsia"/>
                <w:b w:val="0"/>
                <w:bCs w:val="0"/>
                <w:sz w:val="24"/>
                <w:szCs w:val="24"/>
                <w:lang w:eastAsia="zh-CN"/>
              </w:rPr>
              <w:t>《</w:t>
            </w:r>
            <w:r>
              <w:rPr>
                <w:rFonts w:hint="eastAsia"/>
                <w:b w:val="0"/>
                <w:bCs w:val="0"/>
                <w:sz w:val="24"/>
                <w:szCs w:val="24"/>
              </w:rPr>
              <w:t>合成树脂工业污染源排放标准</w:t>
            </w:r>
            <w:r>
              <w:rPr>
                <w:rFonts w:hint="eastAsia"/>
                <w:b w:val="0"/>
                <w:bCs w:val="0"/>
                <w:sz w:val="24"/>
                <w:szCs w:val="24"/>
                <w:lang w:eastAsia="zh-CN"/>
              </w:rPr>
              <w:t>》（</w:t>
            </w:r>
            <w:r>
              <w:rPr>
                <w:rFonts w:hint="eastAsia"/>
                <w:b w:val="0"/>
                <w:bCs w:val="0"/>
                <w:sz w:val="24"/>
                <w:szCs w:val="24"/>
                <w:lang w:val="en-US" w:eastAsia="zh-CN"/>
              </w:rPr>
              <w:t>GB31572-2015）</w:t>
            </w:r>
            <w:r>
              <w:rPr>
                <w:rFonts w:hint="eastAsia"/>
                <w:b w:val="0"/>
                <w:bCs w:val="0"/>
                <w:snapToGrid w:val="0"/>
                <w:sz w:val="24"/>
                <w:szCs w:val="24"/>
                <w:vertAlign w:val="baseline"/>
                <w:lang w:eastAsia="zh-CN"/>
              </w:rPr>
              <w:t>中</w:t>
            </w:r>
            <w:r>
              <w:rPr>
                <w:b w:val="0"/>
                <w:bCs w:val="0"/>
                <w:snapToGrid w:val="0"/>
                <w:sz w:val="24"/>
                <w:szCs w:val="24"/>
              </w:rPr>
              <w:t>非甲烷总烃</w:t>
            </w:r>
            <w:r>
              <w:rPr>
                <w:rFonts w:hint="eastAsia"/>
                <w:b w:val="0"/>
                <w:bCs w:val="0"/>
                <w:snapToGrid w:val="0"/>
                <w:color w:val="000000" w:themeColor="text1"/>
                <w:sz w:val="24"/>
                <w:szCs w:val="24"/>
                <w:lang w:eastAsia="zh-CN"/>
                <w14:textFill>
                  <w14:solidFill>
                    <w14:schemeClr w14:val="tx1"/>
                  </w14:solidFill>
                </w14:textFill>
              </w:rPr>
              <w:t>最高允许排放浓度</w:t>
            </w:r>
            <w:r>
              <w:rPr>
                <w:rFonts w:hint="eastAsia"/>
                <w:b w:val="0"/>
                <w:bCs w:val="0"/>
                <w:snapToGrid w:val="0"/>
                <w:sz w:val="24"/>
                <w:szCs w:val="24"/>
                <w:lang w:val="en-US" w:eastAsia="zh-CN"/>
              </w:rPr>
              <w:t>6</w:t>
            </w:r>
            <w:r>
              <w:rPr>
                <w:b w:val="0"/>
                <w:bCs w:val="0"/>
                <w:snapToGrid w:val="0"/>
                <w:sz w:val="24"/>
                <w:szCs w:val="24"/>
              </w:rPr>
              <w:t>0mg/m</w:t>
            </w:r>
            <w:r>
              <w:rPr>
                <w:b w:val="0"/>
                <w:bCs w:val="0"/>
                <w:snapToGrid w:val="0"/>
                <w:sz w:val="24"/>
                <w:szCs w:val="24"/>
                <w:vertAlign w:val="superscript"/>
              </w:rPr>
              <w:t>3</w:t>
            </w:r>
            <w:r>
              <w:rPr>
                <w:b w:val="0"/>
                <w:bCs w:val="0"/>
                <w:snapToGrid w:val="0"/>
                <w:sz w:val="24"/>
                <w:szCs w:val="24"/>
              </w:rPr>
              <w:t>限值要求</w:t>
            </w:r>
            <w:r>
              <w:rPr>
                <w:rFonts w:hint="eastAsia"/>
                <w:b w:val="0"/>
                <w:bCs w:val="0"/>
                <w:snapToGrid w:val="0"/>
                <w:sz w:val="24"/>
                <w:szCs w:val="24"/>
                <w:lang w:eastAsia="zh-CN"/>
              </w:rPr>
              <w:t>，</w:t>
            </w:r>
            <w:r>
              <w:rPr>
                <w:rFonts w:hint="eastAsia"/>
                <w:snapToGrid w:val="0"/>
                <w:sz w:val="24"/>
              </w:rPr>
              <w:t>有组织颗粒物排放浓度满足</w:t>
            </w:r>
            <w:r>
              <w:rPr>
                <w:rFonts w:hint="eastAsia"/>
                <w:b w:val="0"/>
                <w:bCs w:val="0"/>
                <w:sz w:val="24"/>
                <w:szCs w:val="24"/>
                <w:lang w:eastAsia="zh-CN"/>
              </w:rPr>
              <w:t>《</w:t>
            </w:r>
            <w:r>
              <w:rPr>
                <w:rFonts w:hint="eastAsia"/>
                <w:b w:val="0"/>
                <w:bCs w:val="0"/>
                <w:sz w:val="24"/>
                <w:szCs w:val="24"/>
              </w:rPr>
              <w:t>合成树脂工业污染源排放标准</w:t>
            </w:r>
            <w:r>
              <w:rPr>
                <w:rFonts w:hint="eastAsia"/>
                <w:b w:val="0"/>
                <w:bCs w:val="0"/>
                <w:sz w:val="24"/>
                <w:szCs w:val="24"/>
                <w:lang w:eastAsia="zh-CN"/>
              </w:rPr>
              <w:t>》（</w:t>
            </w:r>
            <w:r>
              <w:rPr>
                <w:rFonts w:hint="eastAsia"/>
                <w:b w:val="0"/>
                <w:bCs w:val="0"/>
                <w:sz w:val="24"/>
                <w:szCs w:val="24"/>
                <w:lang w:val="en-US" w:eastAsia="zh-CN"/>
              </w:rPr>
              <w:t>GB31572-2015）</w:t>
            </w:r>
            <w:r>
              <w:rPr>
                <w:rFonts w:hint="eastAsia"/>
                <w:b w:val="0"/>
                <w:bCs w:val="0"/>
                <w:snapToGrid w:val="0"/>
                <w:sz w:val="24"/>
                <w:szCs w:val="24"/>
                <w:vertAlign w:val="baseline"/>
                <w:lang w:eastAsia="zh-CN"/>
              </w:rPr>
              <w:t>中</w:t>
            </w:r>
            <w:r>
              <w:rPr>
                <w:rFonts w:hint="eastAsia"/>
                <w:snapToGrid w:val="0"/>
                <w:sz w:val="24"/>
              </w:rPr>
              <w:t>最高允许排放浓度20mg/m</w:t>
            </w:r>
            <w:r>
              <w:rPr>
                <w:rFonts w:hint="eastAsia"/>
                <w:snapToGrid w:val="0"/>
                <w:sz w:val="24"/>
                <w:vertAlign w:val="superscript"/>
              </w:rPr>
              <w:t>3</w:t>
            </w:r>
            <w:r>
              <w:rPr>
                <w:rFonts w:hint="eastAsia"/>
                <w:snapToGrid w:val="0"/>
                <w:sz w:val="24"/>
              </w:rPr>
              <w:t>要求</w:t>
            </w:r>
            <w:r>
              <w:rPr>
                <w:sz w:val="24"/>
              </w:rPr>
              <w:t>。</w:t>
            </w:r>
          </w:p>
          <w:p>
            <w:pPr>
              <w:jc w:val="center"/>
              <w:rPr>
                <w:rFonts w:eastAsia="黑体"/>
                <w:sz w:val="24"/>
              </w:rPr>
            </w:pPr>
            <w:r>
              <w:rPr>
                <w:rFonts w:eastAsia="黑体"/>
                <w:sz w:val="24"/>
              </w:rPr>
              <w:t>表</w:t>
            </w:r>
            <w:r>
              <w:rPr>
                <w:rFonts w:hint="eastAsia" w:eastAsia="黑体"/>
                <w:sz w:val="24"/>
              </w:rPr>
              <w:t>2</w:t>
            </w:r>
            <w:r>
              <w:rPr>
                <w:rFonts w:hint="eastAsia" w:eastAsia="黑体"/>
                <w:sz w:val="24"/>
                <w:lang w:val="en-US" w:eastAsia="zh-CN"/>
              </w:rPr>
              <w:t>3</w:t>
            </w:r>
            <w:r>
              <w:rPr>
                <w:rFonts w:eastAsia="黑体"/>
                <w:sz w:val="24"/>
              </w:rPr>
              <w:t xml:space="preserve">   </w:t>
            </w:r>
            <w:r>
              <w:rPr>
                <w:rFonts w:hint="eastAsia" w:eastAsia="黑体"/>
                <w:sz w:val="24"/>
              </w:rPr>
              <w:t>注塑、吹塑废气</w:t>
            </w:r>
            <w:r>
              <w:rPr>
                <w:rFonts w:eastAsia="黑体"/>
                <w:sz w:val="24"/>
              </w:rPr>
              <w:t>排放</w:t>
            </w:r>
            <w:r>
              <w:rPr>
                <w:rFonts w:hint="eastAsia" w:eastAsia="黑体"/>
                <w:sz w:val="24"/>
                <w:lang w:eastAsia="zh-CN"/>
              </w:rPr>
              <w:t>（</w:t>
            </w:r>
            <w:r>
              <w:rPr>
                <w:rFonts w:hint="eastAsia" w:eastAsia="黑体"/>
                <w:sz w:val="24"/>
                <w:lang w:val="en-US" w:eastAsia="zh-CN"/>
              </w:rPr>
              <w:t>P1排放口</w:t>
            </w:r>
            <w:r>
              <w:rPr>
                <w:rFonts w:hint="eastAsia" w:eastAsia="黑体"/>
                <w:sz w:val="24"/>
                <w:lang w:eastAsia="zh-CN"/>
              </w:rPr>
              <w:t>）</w:t>
            </w:r>
            <w:r>
              <w:rPr>
                <w:rFonts w:hint="eastAsia" w:eastAsia="黑体"/>
                <w:sz w:val="24"/>
              </w:rPr>
              <w:t>预测表</w:t>
            </w:r>
          </w:p>
          <w:tbl>
            <w:tblPr>
              <w:tblStyle w:val="23"/>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2963"/>
              <w:gridCol w:w="28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bCs/>
                      <w:szCs w:val="21"/>
                    </w:rPr>
                    <w:t>污染源</w:t>
                  </w:r>
                </w:p>
              </w:tc>
              <w:tc>
                <w:tcPr>
                  <w:tcW w:w="5799" w:type="dxa"/>
                  <w:gridSpan w:val="2"/>
                  <w:vAlign w:val="center"/>
                </w:tcPr>
                <w:p>
                  <w:pPr>
                    <w:jc w:val="center"/>
                    <w:rPr>
                      <w:bCs/>
                      <w:szCs w:val="21"/>
                    </w:rPr>
                  </w:pPr>
                  <w:r>
                    <w:rPr>
                      <w:rFonts w:hint="eastAsia"/>
                      <w:bCs/>
                      <w:szCs w:val="21"/>
                    </w:rPr>
                    <w:t>注塑机、吹塑机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bCs/>
                      <w:szCs w:val="21"/>
                    </w:rPr>
                    <w:t>污染因子</w:t>
                  </w:r>
                </w:p>
              </w:tc>
              <w:tc>
                <w:tcPr>
                  <w:tcW w:w="5799" w:type="dxa"/>
                  <w:gridSpan w:val="2"/>
                  <w:vAlign w:val="center"/>
                </w:tcPr>
                <w:p>
                  <w:pPr>
                    <w:jc w:val="center"/>
                    <w:rPr>
                      <w:bCs/>
                      <w:szCs w:val="21"/>
                    </w:rPr>
                  </w:pPr>
                  <w:r>
                    <w:rPr>
                      <w:rFonts w:hint="eastAsia"/>
                      <w:bCs/>
                      <w:szCs w:val="21"/>
                    </w:rPr>
                    <w:t>非甲烷总烃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bCs/>
                      <w:szCs w:val="21"/>
                    </w:rPr>
                    <w:t>预测距离</w:t>
                  </w:r>
                </w:p>
              </w:tc>
              <w:tc>
                <w:tcPr>
                  <w:tcW w:w="2963" w:type="dxa"/>
                  <w:vAlign w:val="center"/>
                </w:tcPr>
                <w:p>
                  <w:pPr>
                    <w:jc w:val="center"/>
                    <w:rPr>
                      <w:bCs/>
                      <w:szCs w:val="21"/>
                    </w:rPr>
                  </w:pPr>
                  <w:r>
                    <w:rPr>
                      <w:bCs/>
                      <w:szCs w:val="21"/>
                    </w:rPr>
                    <w:t>预测值</w:t>
                  </w:r>
                  <w:r>
                    <w:rPr>
                      <w:rFonts w:hint="eastAsia"/>
                      <w:bCs/>
                      <w:szCs w:val="21"/>
                    </w:rPr>
                    <w:t>（mg/m</w:t>
                  </w:r>
                  <w:r>
                    <w:rPr>
                      <w:rFonts w:hint="eastAsia"/>
                      <w:bCs/>
                      <w:szCs w:val="21"/>
                      <w:vertAlign w:val="superscript"/>
                    </w:rPr>
                    <w:t>3</w:t>
                  </w:r>
                  <w:r>
                    <w:rPr>
                      <w:rFonts w:hint="eastAsia"/>
                      <w:bCs/>
                      <w:szCs w:val="21"/>
                    </w:rPr>
                    <w:t>）</w:t>
                  </w:r>
                </w:p>
              </w:tc>
              <w:tc>
                <w:tcPr>
                  <w:tcW w:w="2836" w:type="dxa"/>
                  <w:vAlign w:val="center"/>
                </w:tcPr>
                <w:p>
                  <w:pPr>
                    <w:jc w:val="center"/>
                    <w:rPr>
                      <w:bCs/>
                      <w:szCs w:val="21"/>
                    </w:rPr>
                  </w:pPr>
                  <w:r>
                    <w:rPr>
                      <w:bCs/>
                      <w:szCs w:val="21"/>
                    </w:rPr>
                    <w:t>占标率</w:t>
                  </w:r>
                  <w:r>
                    <w:rPr>
                      <w:rFonts w:hint="eastAsia"/>
                      <w:bCs/>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rFonts w:hint="eastAsia"/>
                    </w:rPr>
                    <w:t>25</w:t>
                  </w:r>
                </w:p>
              </w:tc>
              <w:tc>
                <w:tcPr>
                  <w:tcW w:w="2963" w:type="dxa"/>
                  <w:vAlign w:val="center"/>
                </w:tcPr>
                <w:p>
                  <w:pPr>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4.14E-06</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rFonts w:hint="eastAsia"/>
                    </w:rPr>
                    <w:t>50</w:t>
                  </w:r>
                </w:p>
              </w:tc>
              <w:tc>
                <w:tcPr>
                  <w:tcW w:w="2963" w:type="dxa"/>
                  <w:vAlign w:val="center"/>
                </w:tcPr>
                <w:p>
                  <w:pPr>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3.50E-05</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color w:val="000000" w:themeColor="text1"/>
                      <w:kern w:val="0"/>
                      <w:szCs w:val="21"/>
                      <w:lang w:bidi="ar"/>
                      <w14:textFill>
                        <w14:solidFill>
                          <w14:schemeClr w14:val="tx1"/>
                        </w14:solidFill>
                      </w14:textFill>
                    </w:rPr>
                    <w:t>0.0</w:t>
                  </w:r>
                  <w:r>
                    <w:rPr>
                      <w:rFonts w:hint="eastAsia"/>
                      <w:color w:val="000000" w:themeColor="text1"/>
                      <w:kern w:val="0"/>
                      <w:szCs w:val="21"/>
                      <w:lang w:val="en-US" w:eastAsia="zh-CN" w:bidi="ar"/>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rFonts w:hint="eastAsia" w:eastAsia="宋体"/>
                      <w:lang w:val="en-US" w:eastAsia="zh-CN"/>
                    </w:rPr>
                  </w:pPr>
                  <w:r>
                    <w:rPr>
                      <w:rFonts w:hint="eastAsia"/>
                      <w:lang w:val="en-US" w:eastAsia="zh-CN"/>
                    </w:rPr>
                    <w:t>75</w:t>
                  </w:r>
                </w:p>
              </w:tc>
              <w:tc>
                <w:tcPr>
                  <w:tcW w:w="2963" w:type="dxa"/>
                  <w:vAlign w:val="center"/>
                </w:tcPr>
                <w:p>
                  <w:pPr>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7.75E-05</w:t>
                  </w:r>
                </w:p>
              </w:tc>
              <w:tc>
                <w:tcPr>
                  <w:tcW w:w="2836" w:type="dxa"/>
                  <w:vAlign w:val="center"/>
                </w:tcPr>
                <w:p>
                  <w:pPr>
                    <w:widowControl/>
                    <w:jc w:val="center"/>
                    <w:textAlignment w:val="center"/>
                    <w:rPr>
                      <w:rFonts w:hint="eastAsia"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pPr>
                  <w:r>
                    <w:rPr>
                      <w:rFonts w:hint="eastAsia"/>
                    </w:rPr>
                    <w:t>100</w:t>
                  </w:r>
                </w:p>
              </w:tc>
              <w:tc>
                <w:tcPr>
                  <w:tcW w:w="2963"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6.89E-05</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pPr>
                  <w:r>
                    <w:rPr>
                      <w:rFonts w:hint="eastAsia"/>
                    </w:rPr>
                    <w:t>150</w:t>
                  </w:r>
                </w:p>
              </w:tc>
              <w:tc>
                <w:tcPr>
                  <w:tcW w:w="2963" w:type="dxa"/>
                  <w:vAlign w:val="center"/>
                </w:tcPr>
                <w:p>
                  <w:pPr>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6.65E-05</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rFonts w:hint="eastAsia" w:eastAsia="宋体"/>
                      <w:bCs/>
                      <w:szCs w:val="21"/>
                      <w:lang w:val="en-US" w:eastAsia="zh-CN"/>
                    </w:rPr>
                  </w:pPr>
                  <w:r>
                    <w:rPr>
                      <w:rFonts w:hint="eastAsia"/>
                    </w:rPr>
                    <w:t>20</w:t>
                  </w:r>
                  <w:r>
                    <w:rPr>
                      <w:rFonts w:hint="eastAsia"/>
                      <w:lang w:val="en-US" w:eastAsia="zh-CN"/>
                    </w:rPr>
                    <w:t>0</w:t>
                  </w:r>
                </w:p>
              </w:tc>
              <w:tc>
                <w:tcPr>
                  <w:tcW w:w="2963" w:type="dxa"/>
                  <w:vAlign w:val="center"/>
                </w:tcPr>
                <w:p>
                  <w:pPr>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5.24E-05</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rFonts w:hint="eastAsia"/>
                    </w:rPr>
                    <w:t>500</w:t>
                  </w:r>
                </w:p>
              </w:tc>
              <w:tc>
                <w:tcPr>
                  <w:tcW w:w="2963" w:type="dxa"/>
                  <w:vAlign w:val="center"/>
                </w:tcPr>
                <w:p>
                  <w:pPr>
                    <w:jc w:val="center"/>
                    <w:rPr>
                      <w:rFonts w:hint="eastAsia" w:eastAsia="宋体"/>
                      <w:b/>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7.16E-05</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rFonts w:hint="eastAsia"/>
                    </w:rPr>
                    <w:t>1000</w:t>
                  </w:r>
                </w:p>
              </w:tc>
              <w:tc>
                <w:tcPr>
                  <w:tcW w:w="2963" w:type="dxa"/>
                  <w:vAlign w:val="center"/>
                </w:tcPr>
                <w:p>
                  <w:pPr>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5.33E-05</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rFonts w:hint="eastAsia"/>
                    </w:rPr>
                    <w:t>2000</w:t>
                  </w:r>
                </w:p>
              </w:tc>
              <w:tc>
                <w:tcPr>
                  <w:tcW w:w="2963" w:type="dxa"/>
                  <w:vAlign w:val="center"/>
                </w:tcPr>
                <w:p>
                  <w:pPr>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4.51E-05</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bCs/>
                      <w:kern w:val="0"/>
                      <w:szCs w:val="21"/>
                    </w:rPr>
                    <w:t>最大值</w:t>
                  </w:r>
                </w:p>
              </w:tc>
              <w:tc>
                <w:tcPr>
                  <w:tcW w:w="2963"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7.75E-05</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bCs/>
                      <w:kern w:val="0"/>
                      <w:szCs w:val="21"/>
                    </w:rPr>
                    <w:t>最大值出现距离（m）</w:t>
                  </w:r>
                </w:p>
              </w:tc>
              <w:tc>
                <w:tcPr>
                  <w:tcW w:w="5799" w:type="dxa"/>
                  <w:gridSpan w:val="2"/>
                  <w:vAlign w:val="center"/>
                </w:tcPr>
                <w:p>
                  <w:pPr>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75</w:t>
                  </w:r>
                </w:p>
              </w:tc>
            </w:tr>
          </w:tbl>
          <w:p>
            <w:pPr>
              <w:spacing w:line="360" w:lineRule="auto"/>
              <w:ind w:firstLine="480" w:firstLineChars="200"/>
              <w:rPr>
                <w:kern w:val="21"/>
                <w:sz w:val="24"/>
              </w:rPr>
            </w:pPr>
            <w:r>
              <w:rPr>
                <w:kern w:val="21"/>
                <w:sz w:val="24"/>
              </w:rPr>
              <w:t>由预测结果可知，项目</w:t>
            </w:r>
            <w:r>
              <w:rPr>
                <w:rFonts w:hint="eastAsia"/>
                <w:kern w:val="21"/>
                <w:sz w:val="24"/>
              </w:rPr>
              <w:t>注塑、</w:t>
            </w:r>
            <w:r>
              <w:rPr>
                <w:rFonts w:hint="eastAsia"/>
                <w:kern w:val="21"/>
                <w:sz w:val="24"/>
                <w:lang w:val="en-US" w:eastAsia="zh-CN"/>
              </w:rPr>
              <w:t>塑化挤出</w:t>
            </w:r>
            <w:r>
              <w:rPr>
                <w:kern w:val="21"/>
                <w:sz w:val="24"/>
              </w:rPr>
              <w:t>有组织排放的非甲烷总烃最大地面落浓度点出现在厂界</w:t>
            </w:r>
            <w:r>
              <w:rPr>
                <w:color w:val="000000" w:themeColor="text1"/>
                <w:kern w:val="21"/>
                <w:sz w:val="24"/>
                <w14:textFill>
                  <w14:solidFill>
                    <w14:schemeClr w14:val="tx1"/>
                  </w14:solidFill>
                </w14:textFill>
              </w:rPr>
              <w:t>外</w:t>
            </w:r>
            <w:r>
              <w:rPr>
                <w:rFonts w:hint="eastAsia"/>
                <w:color w:val="000000" w:themeColor="text1"/>
                <w:kern w:val="21"/>
                <w:sz w:val="24"/>
                <w:lang w:val="en-US" w:eastAsia="zh-CN"/>
                <w14:textFill>
                  <w14:solidFill>
                    <w14:schemeClr w14:val="tx1"/>
                  </w14:solidFill>
                </w14:textFill>
              </w:rPr>
              <w:t>75</w:t>
            </w:r>
            <w:r>
              <w:rPr>
                <w:color w:val="000000" w:themeColor="text1"/>
                <w:kern w:val="21"/>
                <w:sz w:val="24"/>
                <w14:textFill>
                  <w14:solidFill>
                    <w14:schemeClr w14:val="tx1"/>
                  </w14:solidFill>
                </w14:textFill>
              </w:rPr>
              <w:t>m处，占标率为0.0</w:t>
            </w:r>
            <w:r>
              <w:rPr>
                <w:rFonts w:hint="eastAsia"/>
                <w:color w:val="000000" w:themeColor="text1"/>
                <w:kern w:val="21"/>
                <w:sz w:val="24"/>
                <w14:textFill>
                  <w14:solidFill>
                    <w14:schemeClr w14:val="tx1"/>
                  </w14:solidFill>
                </w14:textFill>
              </w:rPr>
              <w:t>1</w:t>
            </w:r>
            <w:r>
              <w:rPr>
                <w:color w:val="000000" w:themeColor="text1"/>
                <w:kern w:val="21"/>
                <w:sz w:val="24"/>
                <w14:textFill>
                  <w14:solidFill>
                    <w14:schemeClr w14:val="tx1"/>
                  </w14:solidFill>
                </w14:textFill>
              </w:rPr>
              <w:t>%，最大落地浓度为</w:t>
            </w:r>
            <w:r>
              <w:rPr>
                <w:rFonts w:hint="eastAsia"/>
                <w:bCs/>
                <w:color w:val="000000" w:themeColor="text1"/>
                <w:szCs w:val="21"/>
                <w:lang w:val="en-US" w:eastAsia="zh-CN"/>
                <w14:textFill>
                  <w14:solidFill>
                    <w14:schemeClr w14:val="tx1"/>
                  </w14:solidFill>
                </w14:textFill>
              </w:rPr>
              <w:t>7.75E-05</w:t>
            </w:r>
            <w:r>
              <w:rPr>
                <w:color w:val="000000" w:themeColor="text1"/>
                <w:kern w:val="21"/>
                <w:sz w:val="24"/>
                <w14:textFill>
                  <w14:solidFill>
                    <w14:schemeClr w14:val="tx1"/>
                  </w14:solidFill>
                </w14:textFill>
              </w:rPr>
              <w:t>mg/m³，</w:t>
            </w:r>
            <w:r>
              <w:rPr>
                <w:snapToGrid w:val="0"/>
                <w:color w:val="000000" w:themeColor="text1"/>
                <w:kern w:val="21"/>
                <w:sz w:val="24"/>
                <w14:textFill>
                  <w14:solidFill>
                    <w14:schemeClr w14:val="tx1"/>
                  </w14:solidFill>
                </w14:textFill>
              </w:rPr>
              <w:t>满</w:t>
            </w:r>
            <w:r>
              <w:rPr>
                <w:snapToGrid w:val="0"/>
                <w:kern w:val="21"/>
                <w:sz w:val="24"/>
              </w:rPr>
              <w:t>足《</w:t>
            </w:r>
            <w:r>
              <w:rPr>
                <w:rFonts w:hint="eastAsia"/>
                <w:snapToGrid w:val="0"/>
                <w:kern w:val="21"/>
                <w:sz w:val="24"/>
              </w:rPr>
              <w:t>环境影响评价技术导则-大气环境</w:t>
            </w:r>
            <w:r>
              <w:rPr>
                <w:snapToGrid w:val="0"/>
                <w:kern w:val="21"/>
                <w:sz w:val="24"/>
              </w:rPr>
              <w:t>》（</w:t>
            </w:r>
            <w:r>
              <w:rPr>
                <w:rFonts w:hint="eastAsia"/>
                <w:snapToGrid w:val="0"/>
                <w:kern w:val="21"/>
                <w:sz w:val="24"/>
              </w:rPr>
              <w:t>HJ2.2-2018</w:t>
            </w:r>
            <w:r>
              <w:rPr>
                <w:snapToGrid w:val="0"/>
                <w:kern w:val="21"/>
                <w:sz w:val="24"/>
              </w:rPr>
              <w:t>）</w:t>
            </w:r>
            <w:r>
              <w:rPr>
                <w:rFonts w:hint="eastAsia"/>
                <w:snapToGrid w:val="0"/>
                <w:kern w:val="21"/>
                <w:sz w:val="24"/>
              </w:rPr>
              <w:t>附录D</w:t>
            </w:r>
            <w:r>
              <w:rPr>
                <w:rFonts w:hint="eastAsia"/>
                <w:snapToGrid w:val="0"/>
                <w:kern w:val="21"/>
                <w:sz w:val="24"/>
                <w:lang w:val="en-US" w:eastAsia="zh-CN"/>
              </w:rPr>
              <w:t xml:space="preserve"> 三级评价标准 </w:t>
            </w:r>
            <w:r>
              <w:rPr>
                <w:rFonts w:hint="eastAsia"/>
                <w:snapToGrid w:val="0"/>
                <w:kern w:val="21"/>
                <w:sz w:val="24"/>
              </w:rPr>
              <w:t>其他污染物空气质量浓度参考限值要求</w:t>
            </w:r>
            <w:r>
              <w:rPr>
                <w:kern w:val="21"/>
                <w:sz w:val="24"/>
              </w:rPr>
              <w:t>。</w:t>
            </w:r>
          </w:p>
          <w:p>
            <w:pPr>
              <w:jc w:val="center"/>
              <w:rPr>
                <w:rFonts w:eastAsia="黑体"/>
                <w:sz w:val="24"/>
              </w:rPr>
            </w:pPr>
            <w:r>
              <w:rPr>
                <w:rFonts w:eastAsia="黑体"/>
                <w:sz w:val="24"/>
              </w:rPr>
              <w:t>表</w:t>
            </w:r>
            <w:r>
              <w:rPr>
                <w:rFonts w:hint="eastAsia" w:eastAsia="黑体"/>
                <w:sz w:val="24"/>
              </w:rPr>
              <w:t>2</w:t>
            </w:r>
            <w:r>
              <w:rPr>
                <w:rFonts w:hint="eastAsia" w:eastAsia="黑体"/>
                <w:sz w:val="24"/>
                <w:lang w:val="en-US" w:eastAsia="zh-CN"/>
              </w:rPr>
              <w:t>4</w:t>
            </w:r>
            <w:r>
              <w:rPr>
                <w:rFonts w:eastAsia="黑体"/>
                <w:sz w:val="24"/>
              </w:rPr>
              <w:t xml:space="preserve">  </w:t>
            </w:r>
            <w:r>
              <w:rPr>
                <w:rFonts w:hint="eastAsia" w:eastAsia="黑体"/>
                <w:sz w:val="24"/>
              </w:rPr>
              <w:t>破碎废气</w:t>
            </w:r>
            <w:r>
              <w:rPr>
                <w:rFonts w:eastAsia="黑体"/>
                <w:sz w:val="24"/>
              </w:rPr>
              <w:t>排放</w:t>
            </w:r>
            <w:r>
              <w:rPr>
                <w:rFonts w:hint="eastAsia" w:eastAsia="黑体"/>
                <w:sz w:val="24"/>
                <w:lang w:val="en-US" w:eastAsia="zh-CN"/>
              </w:rPr>
              <w:t>(P2排放口）</w:t>
            </w:r>
            <w:r>
              <w:rPr>
                <w:rFonts w:hint="eastAsia" w:eastAsia="黑体"/>
                <w:sz w:val="24"/>
              </w:rPr>
              <w:t>预测表</w:t>
            </w:r>
          </w:p>
          <w:tbl>
            <w:tblPr>
              <w:tblStyle w:val="23"/>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2963"/>
              <w:gridCol w:w="28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bCs/>
                      <w:szCs w:val="21"/>
                    </w:rPr>
                    <w:t>污染源</w:t>
                  </w:r>
                </w:p>
              </w:tc>
              <w:tc>
                <w:tcPr>
                  <w:tcW w:w="5799" w:type="dxa"/>
                  <w:gridSpan w:val="2"/>
                  <w:vAlign w:val="center"/>
                </w:tcPr>
                <w:p>
                  <w:pPr>
                    <w:jc w:val="center"/>
                    <w:rPr>
                      <w:bCs/>
                      <w:szCs w:val="21"/>
                    </w:rPr>
                  </w:pPr>
                  <w:r>
                    <w:rPr>
                      <w:rFonts w:hint="eastAsia"/>
                      <w:bCs/>
                      <w:szCs w:val="21"/>
                    </w:rPr>
                    <w:t>破碎机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bCs/>
                      <w:szCs w:val="21"/>
                    </w:rPr>
                    <w:t>污染因子</w:t>
                  </w:r>
                </w:p>
              </w:tc>
              <w:tc>
                <w:tcPr>
                  <w:tcW w:w="5799" w:type="dxa"/>
                  <w:gridSpan w:val="2"/>
                  <w:vAlign w:val="center"/>
                </w:tcPr>
                <w:p>
                  <w:pPr>
                    <w:jc w:val="center"/>
                    <w:rPr>
                      <w:bCs/>
                      <w:szCs w:val="21"/>
                    </w:rPr>
                  </w:pPr>
                  <w:r>
                    <w:rPr>
                      <w:rFonts w:hint="eastAsia"/>
                      <w:bCs/>
                      <w:szCs w:val="21"/>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bCs/>
                      <w:szCs w:val="21"/>
                    </w:rPr>
                    <w:t>预测距离</w:t>
                  </w:r>
                </w:p>
              </w:tc>
              <w:tc>
                <w:tcPr>
                  <w:tcW w:w="2963" w:type="dxa"/>
                  <w:vAlign w:val="center"/>
                </w:tcPr>
                <w:p>
                  <w:pPr>
                    <w:jc w:val="center"/>
                    <w:rPr>
                      <w:bCs/>
                      <w:szCs w:val="21"/>
                    </w:rPr>
                  </w:pPr>
                  <w:r>
                    <w:rPr>
                      <w:bCs/>
                      <w:szCs w:val="21"/>
                    </w:rPr>
                    <w:t>预测值</w:t>
                  </w:r>
                  <w:r>
                    <w:rPr>
                      <w:rFonts w:hint="eastAsia"/>
                      <w:bCs/>
                      <w:szCs w:val="21"/>
                    </w:rPr>
                    <w:t>（mg/m</w:t>
                  </w:r>
                  <w:r>
                    <w:rPr>
                      <w:rFonts w:hint="eastAsia"/>
                      <w:bCs/>
                      <w:szCs w:val="21"/>
                      <w:vertAlign w:val="superscript"/>
                    </w:rPr>
                    <w:t>3</w:t>
                  </w:r>
                  <w:r>
                    <w:rPr>
                      <w:rFonts w:hint="eastAsia"/>
                      <w:bCs/>
                      <w:szCs w:val="21"/>
                    </w:rPr>
                    <w:t>）</w:t>
                  </w:r>
                </w:p>
              </w:tc>
              <w:tc>
                <w:tcPr>
                  <w:tcW w:w="2836" w:type="dxa"/>
                  <w:vAlign w:val="center"/>
                </w:tcPr>
                <w:p>
                  <w:pPr>
                    <w:jc w:val="center"/>
                    <w:rPr>
                      <w:bCs/>
                      <w:szCs w:val="21"/>
                    </w:rPr>
                  </w:pPr>
                  <w:r>
                    <w:rPr>
                      <w:bCs/>
                      <w:szCs w:val="21"/>
                    </w:rPr>
                    <w:t>占标率</w:t>
                  </w:r>
                  <w:r>
                    <w:rPr>
                      <w:rFonts w:hint="eastAsia"/>
                      <w:bCs/>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rFonts w:hint="eastAsia"/>
                    </w:rPr>
                    <w:t>25</w:t>
                  </w:r>
                </w:p>
              </w:tc>
              <w:tc>
                <w:tcPr>
                  <w:tcW w:w="2963" w:type="dxa"/>
                  <w:vAlign w:val="center"/>
                </w:tcPr>
                <w:p>
                  <w:pPr>
                    <w:jc w:val="center"/>
                    <w:rPr>
                      <w:rFonts w:hint="eastAsia" w:eastAsia="宋体"/>
                      <w:bCs/>
                      <w:color w:val="FF0000"/>
                      <w:szCs w:val="21"/>
                      <w:lang w:val="en-US" w:eastAsia="zh-CN"/>
                    </w:rPr>
                  </w:pPr>
                  <w:r>
                    <w:rPr>
                      <w:rFonts w:hint="eastAsia"/>
                      <w:bCs/>
                      <w:color w:val="000000" w:themeColor="text1"/>
                      <w:szCs w:val="21"/>
                      <w:lang w:val="en-US" w:eastAsia="zh-CN"/>
                      <w14:textFill>
                        <w14:solidFill>
                          <w14:schemeClr w14:val="tx1"/>
                        </w14:solidFill>
                      </w14:textFill>
                    </w:rPr>
                    <w:t>6.21E-06</w:t>
                  </w:r>
                </w:p>
              </w:tc>
              <w:tc>
                <w:tcPr>
                  <w:tcW w:w="2836" w:type="dxa"/>
                  <w:vAlign w:val="center"/>
                </w:tcPr>
                <w:p>
                  <w:pPr>
                    <w:widowControl/>
                    <w:jc w:val="center"/>
                    <w:textAlignment w:val="center"/>
                    <w:rPr>
                      <w:rFonts w:hint="default" w:eastAsia="宋体"/>
                      <w:bCs/>
                      <w:color w:val="FF0000"/>
                      <w:szCs w:val="21"/>
                      <w:lang w:val="en-US" w:eastAsia="zh-CN"/>
                    </w:rPr>
                  </w:pPr>
                  <w:r>
                    <w:rPr>
                      <w:color w:val="000000" w:themeColor="text1"/>
                      <w:kern w:val="0"/>
                      <w:szCs w:val="21"/>
                      <w:lang w:bidi="ar"/>
                      <w14:textFill>
                        <w14:solidFill>
                          <w14:schemeClr w14:val="tx1"/>
                        </w14:solidFill>
                      </w14:textFill>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rFonts w:hint="eastAsia"/>
                    </w:rPr>
                    <w:t>50</w:t>
                  </w:r>
                </w:p>
              </w:tc>
              <w:tc>
                <w:tcPr>
                  <w:tcW w:w="2963" w:type="dxa"/>
                  <w:vAlign w:val="center"/>
                </w:tcPr>
                <w:p>
                  <w:pPr>
                    <w:jc w:val="center"/>
                    <w:rPr>
                      <w:rFonts w:hint="eastAsia" w:eastAsia="宋体"/>
                      <w:bCs/>
                      <w:color w:val="FF0000"/>
                      <w:szCs w:val="21"/>
                      <w:lang w:val="en-US" w:eastAsia="zh-CN"/>
                    </w:rPr>
                  </w:pPr>
                  <w:r>
                    <w:rPr>
                      <w:rFonts w:hint="eastAsia"/>
                      <w:bCs/>
                      <w:color w:val="000000" w:themeColor="text1"/>
                      <w:szCs w:val="21"/>
                      <w:lang w:val="en-US" w:eastAsia="zh-CN"/>
                      <w14:textFill>
                        <w14:solidFill>
                          <w14:schemeClr w14:val="tx1"/>
                        </w14:solidFill>
                      </w14:textFill>
                    </w:rPr>
                    <w:t>1.61E-04</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color w:val="000000" w:themeColor="text1"/>
                      <w:kern w:val="0"/>
                      <w:szCs w:val="21"/>
                      <w:lang w:bidi="ar"/>
                      <w14:textFill>
                        <w14:solidFill>
                          <w14:schemeClr w14:val="tx1"/>
                        </w14:solidFill>
                      </w14:textFill>
                    </w:rPr>
                    <w:t>0.0</w:t>
                  </w:r>
                  <w:r>
                    <w:rPr>
                      <w:rFonts w:hint="eastAsia"/>
                      <w:color w:val="000000" w:themeColor="text1"/>
                      <w:kern w:val="0"/>
                      <w:szCs w:val="21"/>
                      <w:lang w:val="en-US" w:eastAsia="zh-CN" w:bidi="ar"/>
                      <w14:textFill>
                        <w14:solidFill>
                          <w14:schemeClr w14:val="tx1"/>
                        </w14:solidFill>
                      </w14:textFill>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pPr>
                  <w:r>
                    <w:rPr>
                      <w:rFonts w:hint="eastAsia"/>
                    </w:rPr>
                    <w:t>100</w:t>
                  </w:r>
                </w:p>
              </w:tc>
              <w:tc>
                <w:tcPr>
                  <w:tcW w:w="2963" w:type="dxa"/>
                  <w:vAlign w:val="center"/>
                </w:tcPr>
                <w:p>
                  <w:pPr>
                    <w:jc w:val="center"/>
                    <w:rPr>
                      <w:rFonts w:hint="default" w:eastAsia="宋体"/>
                      <w:bCs/>
                      <w:color w:val="FF0000"/>
                      <w:szCs w:val="21"/>
                      <w:lang w:val="en-US" w:eastAsia="zh-CN"/>
                    </w:rPr>
                  </w:pPr>
                  <w:r>
                    <w:rPr>
                      <w:rFonts w:hint="eastAsia"/>
                      <w:bCs/>
                      <w:color w:val="000000" w:themeColor="text1"/>
                      <w:szCs w:val="21"/>
                      <w:lang w:val="en-US" w:eastAsia="zh-CN"/>
                      <w14:textFill>
                        <w14:solidFill>
                          <w14:schemeClr w14:val="tx1"/>
                        </w14:solidFill>
                      </w14:textFill>
                    </w:rPr>
                    <w:t>1.10E-04</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pPr>
                  <w:r>
                    <w:rPr>
                      <w:rFonts w:hint="eastAsia"/>
                    </w:rPr>
                    <w:t>150</w:t>
                  </w:r>
                </w:p>
              </w:tc>
              <w:tc>
                <w:tcPr>
                  <w:tcW w:w="2963" w:type="dxa"/>
                  <w:vAlign w:val="center"/>
                </w:tcPr>
                <w:p>
                  <w:pPr>
                    <w:jc w:val="center"/>
                    <w:rPr>
                      <w:rFonts w:hint="eastAsia" w:eastAsia="宋体"/>
                      <w:bCs/>
                      <w:color w:val="FF0000"/>
                      <w:szCs w:val="21"/>
                      <w:lang w:val="en-US" w:eastAsia="zh-CN"/>
                    </w:rPr>
                  </w:pPr>
                  <w:r>
                    <w:rPr>
                      <w:rFonts w:hint="eastAsia"/>
                      <w:bCs/>
                      <w:color w:val="000000" w:themeColor="text1"/>
                      <w:szCs w:val="21"/>
                      <w:lang w:val="en-US" w:eastAsia="zh-CN"/>
                      <w14:textFill>
                        <w14:solidFill>
                          <w14:schemeClr w14:val="tx1"/>
                        </w14:solidFill>
                      </w14:textFill>
                    </w:rPr>
                    <w:t>9.98E-05</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rFonts w:hint="eastAsia"/>
                    </w:rPr>
                    <w:t>500</w:t>
                  </w:r>
                </w:p>
              </w:tc>
              <w:tc>
                <w:tcPr>
                  <w:tcW w:w="2963" w:type="dxa"/>
                  <w:vAlign w:val="center"/>
                </w:tcPr>
                <w:p>
                  <w:pPr>
                    <w:jc w:val="center"/>
                    <w:rPr>
                      <w:rFonts w:hint="eastAsia" w:eastAsia="宋体"/>
                      <w:b/>
                      <w:color w:val="FF0000"/>
                      <w:szCs w:val="21"/>
                      <w:lang w:val="en-US" w:eastAsia="zh-CN"/>
                    </w:rPr>
                  </w:pPr>
                  <w:r>
                    <w:rPr>
                      <w:rFonts w:hint="eastAsia"/>
                      <w:bCs/>
                      <w:color w:val="000000" w:themeColor="text1"/>
                      <w:szCs w:val="21"/>
                      <w:lang w:val="en-US" w:eastAsia="zh-CN"/>
                      <w14:textFill>
                        <w14:solidFill>
                          <w14:schemeClr w14:val="tx1"/>
                        </w14:solidFill>
                      </w14:textFill>
                    </w:rPr>
                    <w:t>1.07E-04</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rFonts w:hint="eastAsia"/>
                    </w:rPr>
                    <w:t>1000</w:t>
                  </w:r>
                </w:p>
              </w:tc>
              <w:tc>
                <w:tcPr>
                  <w:tcW w:w="2963" w:type="dxa"/>
                  <w:vAlign w:val="center"/>
                </w:tcPr>
                <w:p>
                  <w:pPr>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7.99E-05</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rFonts w:hint="eastAsia"/>
                    </w:rPr>
                    <w:t>2000</w:t>
                  </w:r>
                </w:p>
              </w:tc>
              <w:tc>
                <w:tcPr>
                  <w:tcW w:w="2963" w:type="dxa"/>
                  <w:vAlign w:val="center"/>
                </w:tcPr>
                <w:p>
                  <w:pPr>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6.76E-06</w:t>
                  </w:r>
                </w:p>
              </w:tc>
              <w:tc>
                <w:tcPr>
                  <w:tcW w:w="2836" w:type="dxa"/>
                  <w:vAlign w:val="center"/>
                </w:tcPr>
                <w:p>
                  <w:pPr>
                    <w:widowControl/>
                    <w:jc w:val="center"/>
                    <w:textAlignment w:val="center"/>
                    <w:rPr>
                      <w:rFonts w:hint="eastAsia" w:eastAsia="宋体"/>
                      <w:bCs/>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bCs/>
                      <w:kern w:val="0"/>
                      <w:szCs w:val="21"/>
                    </w:rPr>
                    <w:t>最大值</w:t>
                  </w:r>
                </w:p>
              </w:tc>
              <w:tc>
                <w:tcPr>
                  <w:tcW w:w="2963" w:type="dxa"/>
                  <w:vAlign w:val="center"/>
                </w:tcPr>
                <w:p>
                  <w:pPr>
                    <w:jc w:val="center"/>
                    <w:rPr>
                      <w:bCs/>
                      <w:color w:val="FF0000"/>
                      <w:szCs w:val="21"/>
                    </w:rPr>
                  </w:pPr>
                  <w:r>
                    <w:rPr>
                      <w:rFonts w:hint="eastAsia"/>
                      <w:bCs/>
                      <w:color w:val="000000" w:themeColor="text1"/>
                      <w:szCs w:val="21"/>
                      <w:lang w:val="en-US" w:eastAsia="zh-CN"/>
                      <w14:textFill>
                        <w14:solidFill>
                          <w14:schemeClr w14:val="tx1"/>
                        </w14:solidFill>
                      </w14:textFill>
                    </w:rPr>
                    <w:t>1.61E-04</w:t>
                  </w:r>
                </w:p>
              </w:tc>
              <w:tc>
                <w:tcPr>
                  <w:tcW w:w="2836" w:type="dxa"/>
                  <w:vAlign w:val="center"/>
                </w:tcPr>
                <w:p>
                  <w:pPr>
                    <w:widowControl/>
                    <w:jc w:val="center"/>
                    <w:textAlignment w:val="center"/>
                    <w:rPr>
                      <w:rFonts w:hint="eastAsia" w:eastAsia="宋体"/>
                      <w:bCs/>
                      <w:color w:val="FF0000"/>
                      <w:szCs w:val="21"/>
                      <w:lang w:val="en-US" w:eastAsia="zh-CN"/>
                    </w:rPr>
                  </w:pPr>
                  <w:r>
                    <w:rPr>
                      <w:rFonts w:hint="eastAsia"/>
                      <w:color w:val="000000" w:themeColor="text1"/>
                      <w:kern w:val="0"/>
                      <w:szCs w:val="21"/>
                      <w:lang w:val="en-US" w:eastAsia="zh-CN" w:bidi="ar"/>
                      <w14:textFill>
                        <w14:solidFill>
                          <w14:schemeClr w14:val="tx1"/>
                        </w14:solidFill>
                      </w14:textFill>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5" w:type="dxa"/>
                  <w:vAlign w:val="center"/>
                </w:tcPr>
                <w:p>
                  <w:pPr>
                    <w:jc w:val="center"/>
                    <w:rPr>
                      <w:bCs/>
                      <w:szCs w:val="21"/>
                    </w:rPr>
                  </w:pPr>
                  <w:r>
                    <w:rPr>
                      <w:bCs/>
                      <w:kern w:val="0"/>
                      <w:szCs w:val="21"/>
                    </w:rPr>
                    <w:t>最大值出现距离（m）</w:t>
                  </w:r>
                </w:p>
              </w:tc>
              <w:tc>
                <w:tcPr>
                  <w:tcW w:w="5799" w:type="dxa"/>
                  <w:gridSpan w:val="2"/>
                  <w:vAlign w:val="center"/>
                </w:tcPr>
                <w:p>
                  <w:pPr>
                    <w:jc w:val="center"/>
                    <w:rPr>
                      <w:rFonts w:hint="default" w:eastAsia="宋体"/>
                      <w:bCs/>
                      <w:color w:val="FF0000"/>
                      <w:szCs w:val="21"/>
                      <w:lang w:val="en-US" w:eastAsia="zh-CN"/>
                    </w:rPr>
                  </w:pPr>
                  <w:r>
                    <w:rPr>
                      <w:rFonts w:hint="eastAsia"/>
                      <w:bCs/>
                      <w:color w:val="000000" w:themeColor="text1"/>
                      <w:szCs w:val="21"/>
                      <w:lang w:val="en-US" w:eastAsia="zh-CN"/>
                      <w14:textFill>
                        <w14:solidFill>
                          <w14:schemeClr w14:val="tx1"/>
                        </w14:solidFill>
                      </w14:textFill>
                    </w:rPr>
                    <w:t>50</w:t>
                  </w:r>
                </w:p>
              </w:tc>
            </w:tr>
          </w:tbl>
          <w:p>
            <w:pPr>
              <w:pStyle w:val="10"/>
              <w:spacing w:after="0" w:line="360" w:lineRule="auto"/>
              <w:ind w:left="0" w:leftChars="0" w:firstLine="480" w:firstLineChars="200"/>
            </w:pPr>
            <w:r>
              <w:rPr>
                <w:kern w:val="21"/>
                <w:sz w:val="24"/>
              </w:rPr>
              <w:t>由预测结果可知，项目</w:t>
            </w:r>
            <w:r>
              <w:rPr>
                <w:rFonts w:hint="eastAsia"/>
                <w:kern w:val="21"/>
                <w:sz w:val="24"/>
              </w:rPr>
              <w:t>破碎</w:t>
            </w:r>
            <w:r>
              <w:rPr>
                <w:kern w:val="21"/>
                <w:sz w:val="24"/>
              </w:rPr>
              <w:t>的有组织排放颗粒物最大地面落浓度点出现在厂界外</w:t>
            </w:r>
            <w:r>
              <w:rPr>
                <w:rFonts w:hint="eastAsia"/>
                <w:kern w:val="21"/>
                <w:sz w:val="24"/>
                <w:lang w:val="en-US" w:eastAsia="zh-CN"/>
              </w:rPr>
              <w:t>50</w:t>
            </w:r>
            <w:r>
              <w:rPr>
                <w:kern w:val="21"/>
                <w:sz w:val="24"/>
              </w:rPr>
              <w:t>m处，占标率为</w:t>
            </w:r>
            <w:r>
              <w:rPr>
                <w:color w:val="000000" w:themeColor="text1"/>
                <w:kern w:val="0"/>
                <w:sz w:val="24"/>
                <w:szCs w:val="24"/>
                <w:lang w:bidi="ar"/>
                <w14:textFill>
                  <w14:solidFill>
                    <w14:schemeClr w14:val="tx1"/>
                  </w14:solidFill>
                </w14:textFill>
              </w:rPr>
              <w:t>0.</w:t>
            </w:r>
            <w:r>
              <w:rPr>
                <w:rFonts w:hint="eastAsia"/>
                <w:color w:val="000000" w:themeColor="text1"/>
                <w:kern w:val="0"/>
                <w:sz w:val="24"/>
                <w:szCs w:val="24"/>
                <w:lang w:val="en-US" w:eastAsia="zh-CN" w:bidi="ar"/>
                <w14:textFill>
                  <w14:solidFill>
                    <w14:schemeClr w14:val="tx1"/>
                  </w14:solidFill>
                </w14:textFill>
              </w:rPr>
              <w:t>01</w:t>
            </w:r>
            <w:r>
              <w:rPr>
                <w:color w:val="000000" w:themeColor="text1"/>
                <w:kern w:val="21"/>
                <w:sz w:val="24"/>
                <w14:textFill>
                  <w14:solidFill>
                    <w14:schemeClr w14:val="tx1"/>
                  </w14:solidFill>
                </w14:textFill>
              </w:rPr>
              <w:t>%，最大落地浓度为</w:t>
            </w:r>
            <w:r>
              <w:rPr>
                <w:rFonts w:hint="eastAsia"/>
                <w:bCs/>
                <w:color w:val="000000" w:themeColor="text1"/>
                <w:szCs w:val="21"/>
                <w:lang w:val="en-US" w:eastAsia="zh-CN"/>
                <w14:textFill>
                  <w14:solidFill>
                    <w14:schemeClr w14:val="tx1"/>
                  </w14:solidFill>
                </w14:textFill>
              </w:rPr>
              <w:t>1.61E-04</w:t>
            </w:r>
            <w:r>
              <w:rPr>
                <w:color w:val="000000" w:themeColor="text1"/>
                <w:kern w:val="21"/>
                <w:sz w:val="24"/>
                <w14:textFill>
                  <w14:solidFill>
                    <w14:schemeClr w14:val="tx1"/>
                  </w14:solidFill>
                </w14:textFill>
              </w:rPr>
              <w:t>mg/m³</w:t>
            </w:r>
            <w:r>
              <w:rPr>
                <w:kern w:val="21"/>
                <w:sz w:val="24"/>
              </w:rPr>
              <w:t>，</w:t>
            </w:r>
            <w:r>
              <w:rPr>
                <w:sz w:val="24"/>
              </w:rPr>
              <w:t>满足《环境空气质量标准》（GB3095-2012）二级标准要求</w:t>
            </w:r>
            <w:r>
              <w:rPr>
                <w:rFonts w:hint="eastAsia"/>
                <w:sz w:val="24"/>
              </w:rPr>
              <w:t>。</w:t>
            </w:r>
          </w:p>
          <w:p>
            <w:pPr>
              <w:spacing w:line="360" w:lineRule="auto"/>
              <w:ind w:firstLine="480"/>
            </w:pPr>
            <w:r>
              <w:rPr>
                <w:rFonts w:hint="eastAsia"/>
                <w:sz w:val="24"/>
              </w:rPr>
              <w:t>（2）无组织废气</w:t>
            </w:r>
          </w:p>
          <w:p>
            <w:pPr>
              <w:spacing w:line="360" w:lineRule="auto"/>
              <w:ind w:firstLine="480" w:firstLineChars="200"/>
              <w:rPr>
                <w:rFonts w:eastAsia="黑体"/>
                <w:sz w:val="24"/>
              </w:rPr>
            </w:pPr>
            <w:r>
              <w:rPr>
                <w:snapToGrid w:val="0"/>
                <w:sz w:val="24"/>
              </w:rPr>
              <w:t>根据《环境影响评价技术导则</w:t>
            </w:r>
            <w:r>
              <w:rPr>
                <w:rFonts w:eastAsia="Times New Roman"/>
                <w:snapToGrid w:val="0"/>
                <w:sz w:val="24"/>
              </w:rPr>
              <w:t>-</w:t>
            </w:r>
            <w:r>
              <w:rPr>
                <w:snapToGrid w:val="0"/>
                <w:sz w:val="24"/>
              </w:rPr>
              <w:t xml:space="preserve">大气环境》 </w:t>
            </w:r>
            <w:r>
              <w:rPr>
                <w:rFonts w:eastAsia="Times New Roman"/>
                <w:snapToGrid w:val="0"/>
                <w:sz w:val="24"/>
              </w:rPr>
              <w:t>HJ2.2-20</w:t>
            </w:r>
            <w:r>
              <w:rPr>
                <w:rFonts w:hint="eastAsia"/>
                <w:snapToGrid w:val="0"/>
                <w:sz w:val="24"/>
              </w:rPr>
              <w:t>1</w:t>
            </w:r>
            <w:r>
              <w:rPr>
                <w:rFonts w:eastAsia="Times New Roman"/>
                <w:snapToGrid w:val="0"/>
                <w:sz w:val="24"/>
              </w:rPr>
              <w:t>8</w:t>
            </w:r>
            <w:r>
              <w:rPr>
                <w:snapToGrid w:val="0"/>
                <w:sz w:val="24"/>
              </w:rPr>
              <w:t>推荐的</w:t>
            </w:r>
            <w:r>
              <w:rPr>
                <w:rFonts w:hint="eastAsia"/>
                <w:snapToGrid w:val="0"/>
                <w:sz w:val="24"/>
              </w:rPr>
              <w:t>估算</w:t>
            </w:r>
            <w:r>
              <w:rPr>
                <w:snapToGrid w:val="0"/>
                <w:sz w:val="24"/>
              </w:rPr>
              <w:t>模式进行计算，</w:t>
            </w:r>
            <w:r>
              <w:rPr>
                <w:sz w:val="24"/>
              </w:rPr>
              <w:t>计算参数见下表</w:t>
            </w:r>
            <w:r>
              <w:rPr>
                <w:rFonts w:hint="eastAsia"/>
                <w:sz w:val="24"/>
              </w:rPr>
              <w:t>2</w:t>
            </w:r>
            <w:r>
              <w:rPr>
                <w:rFonts w:hint="eastAsia"/>
                <w:sz w:val="24"/>
                <w:lang w:val="en-US" w:eastAsia="zh-CN"/>
              </w:rPr>
              <w:t>5</w:t>
            </w:r>
            <w:r>
              <w:rPr>
                <w:sz w:val="24"/>
              </w:rPr>
              <w:t>，预测结果见下表</w:t>
            </w:r>
            <w:r>
              <w:rPr>
                <w:rFonts w:hint="eastAsia"/>
                <w:sz w:val="24"/>
              </w:rPr>
              <w:t>2</w:t>
            </w:r>
            <w:r>
              <w:rPr>
                <w:rFonts w:hint="eastAsia"/>
                <w:sz w:val="24"/>
                <w:lang w:val="en-US" w:eastAsia="zh-CN"/>
              </w:rPr>
              <w:t>6</w:t>
            </w:r>
            <w:r>
              <w:rPr>
                <w:rFonts w:hint="eastAsia"/>
                <w:sz w:val="24"/>
              </w:rPr>
              <w:t>、表2</w:t>
            </w:r>
            <w:r>
              <w:rPr>
                <w:rFonts w:hint="eastAsia"/>
                <w:sz w:val="24"/>
                <w:lang w:val="en-US" w:eastAsia="zh-CN"/>
              </w:rPr>
              <w:t>7</w:t>
            </w:r>
            <w:r>
              <w:rPr>
                <w:sz w:val="24"/>
              </w:rPr>
              <w:t>。</w:t>
            </w:r>
          </w:p>
          <w:p>
            <w:pPr>
              <w:jc w:val="center"/>
              <w:rPr>
                <w:rFonts w:eastAsia="黑体"/>
                <w:sz w:val="24"/>
              </w:rPr>
            </w:pPr>
            <w:r>
              <w:rPr>
                <w:rFonts w:eastAsia="黑体"/>
                <w:sz w:val="24"/>
              </w:rPr>
              <w:t>表</w:t>
            </w:r>
            <w:r>
              <w:rPr>
                <w:rFonts w:hint="eastAsia" w:eastAsia="黑体"/>
                <w:sz w:val="24"/>
              </w:rPr>
              <w:t>2</w:t>
            </w:r>
            <w:r>
              <w:rPr>
                <w:rFonts w:hint="eastAsia" w:eastAsia="黑体"/>
                <w:sz w:val="24"/>
                <w:lang w:val="en-US" w:eastAsia="zh-CN"/>
              </w:rPr>
              <w:t>5</w:t>
            </w:r>
            <w:r>
              <w:rPr>
                <w:rFonts w:eastAsia="黑体"/>
                <w:sz w:val="24"/>
              </w:rPr>
              <w:t xml:space="preserve"> 无组织废气估算模式计算参数一览表</w:t>
            </w:r>
          </w:p>
          <w:tbl>
            <w:tblPr>
              <w:tblStyle w:val="24"/>
              <w:tblW w:w="9196" w:type="dxa"/>
              <w:tblInd w:w="-2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350"/>
              <w:gridCol w:w="434"/>
              <w:gridCol w:w="400"/>
              <w:gridCol w:w="716"/>
              <w:gridCol w:w="717"/>
              <w:gridCol w:w="767"/>
              <w:gridCol w:w="800"/>
              <w:gridCol w:w="900"/>
              <w:gridCol w:w="733"/>
              <w:gridCol w:w="717"/>
              <w:gridCol w:w="1300"/>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429" w:type="dxa"/>
                  <w:vMerge w:val="restart"/>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编号</w:t>
                  </w:r>
                </w:p>
              </w:tc>
              <w:tc>
                <w:tcPr>
                  <w:tcW w:w="350" w:type="dxa"/>
                  <w:vMerge w:val="restart"/>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名称</w:t>
                  </w:r>
                </w:p>
              </w:tc>
              <w:tc>
                <w:tcPr>
                  <w:tcW w:w="834" w:type="dxa"/>
                  <w:gridSpan w:val="2"/>
                  <w:vAlign w:val="top"/>
                </w:tcPr>
                <w:p>
                  <w:pPr>
                    <w:spacing w:line="360" w:lineRule="auto"/>
                    <w:textAlignment w:val="baseline"/>
                    <w:rPr>
                      <w:rFonts w:eastAsia="黑体"/>
                      <w:sz w:val="21"/>
                      <w:szCs w:val="21"/>
                      <w:vertAlign w:val="baseline"/>
                    </w:rPr>
                  </w:pPr>
                  <w:r>
                    <w:rPr>
                      <w:rFonts w:hint="eastAsia"/>
                      <w:szCs w:val="21"/>
                      <w:lang w:val="en-US" w:eastAsia="zh-CN"/>
                    </w:rPr>
                    <w:t>面源起点坐标/m</w:t>
                  </w:r>
                </w:p>
              </w:tc>
              <w:tc>
                <w:tcPr>
                  <w:tcW w:w="716" w:type="dxa"/>
                  <w:vMerge w:val="restart"/>
                  <w:vAlign w:val="top"/>
                </w:tcPr>
                <w:p>
                  <w:pPr>
                    <w:spacing w:line="360" w:lineRule="auto"/>
                    <w:textAlignment w:val="baseline"/>
                    <w:rPr>
                      <w:rFonts w:eastAsia="黑体"/>
                      <w:sz w:val="21"/>
                      <w:szCs w:val="21"/>
                      <w:vertAlign w:val="baseline"/>
                    </w:rPr>
                  </w:pPr>
                  <w:r>
                    <w:rPr>
                      <w:rFonts w:hint="eastAsia"/>
                      <w:szCs w:val="21"/>
                      <w:lang w:val="en-US" w:eastAsia="zh-CN"/>
                    </w:rPr>
                    <w:t>面源海拔高度/m</w:t>
                  </w:r>
                </w:p>
              </w:tc>
              <w:tc>
                <w:tcPr>
                  <w:tcW w:w="717" w:type="dxa"/>
                  <w:vMerge w:val="restart"/>
                  <w:vAlign w:val="top"/>
                </w:tcPr>
                <w:p>
                  <w:pPr>
                    <w:spacing w:line="360" w:lineRule="auto"/>
                    <w:textAlignment w:val="baseline"/>
                    <w:rPr>
                      <w:rFonts w:eastAsia="黑体"/>
                      <w:sz w:val="21"/>
                      <w:szCs w:val="21"/>
                      <w:vertAlign w:val="baseline"/>
                    </w:rPr>
                  </w:pPr>
                  <w:r>
                    <w:rPr>
                      <w:rFonts w:hint="eastAsia"/>
                      <w:szCs w:val="21"/>
                      <w:lang w:val="en-US" w:eastAsia="zh-CN"/>
                    </w:rPr>
                    <w:t>面源长度/m</w:t>
                  </w:r>
                </w:p>
              </w:tc>
              <w:tc>
                <w:tcPr>
                  <w:tcW w:w="767" w:type="dxa"/>
                  <w:vMerge w:val="restart"/>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面源宽度/m</w:t>
                  </w:r>
                </w:p>
              </w:tc>
              <w:tc>
                <w:tcPr>
                  <w:tcW w:w="800" w:type="dxa"/>
                  <w:vMerge w:val="restart"/>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与正北向夹角/</w:t>
                  </w:r>
                  <w:r>
                    <w:rPr>
                      <w:rFonts w:hint="default" w:ascii="Times New Roman" w:hAnsi="Times New Roman" w:cs="Times New Roman"/>
                      <w:snapToGrid w:val="0"/>
                      <w:sz w:val="21"/>
                      <w:szCs w:val="21"/>
                      <w:vertAlign w:val="baseline"/>
                      <w:lang w:val="en-US" w:eastAsia="zh-CN"/>
                    </w:rPr>
                    <w:t>°</w:t>
                  </w:r>
                </w:p>
              </w:tc>
              <w:tc>
                <w:tcPr>
                  <w:tcW w:w="900" w:type="dxa"/>
                  <w:vMerge w:val="restart"/>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面源有效排放高度/m</w:t>
                  </w:r>
                </w:p>
              </w:tc>
              <w:tc>
                <w:tcPr>
                  <w:tcW w:w="733" w:type="dxa"/>
                  <w:vMerge w:val="restart"/>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年排放小时数/h</w:t>
                  </w:r>
                </w:p>
              </w:tc>
              <w:tc>
                <w:tcPr>
                  <w:tcW w:w="717" w:type="dxa"/>
                  <w:vMerge w:val="restart"/>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排放工况</w:t>
                  </w:r>
                </w:p>
              </w:tc>
              <w:tc>
                <w:tcPr>
                  <w:tcW w:w="2233" w:type="dxa"/>
                  <w:gridSpan w:val="2"/>
                  <w:vAlign w:val="top"/>
                </w:tcPr>
                <w:p>
                  <w:pPr>
                    <w:spacing w:line="360" w:lineRule="auto"/>
                    <w:textAlignment w:val="baseline"/>
                    <w:rPr>
                      <w:rFonts w:eastAsia="黑体"/>
                      <w:sz w:val="21"/>
                      <w:szCs w:val="21"/>
                      <w:vertAlign w:val="baseline"/>
                    </w:rPr>
                  </w:pPr>
                  <w:r>
                    <w:rPr>
                      <w:rFonts w:hint="eastAsia" w:asciiTheme="minorEastAsia" w:hAnsiTheme="minorEastAsia" w:eastAsiaTheme="minorEastAsia" w:cstheme="minorEastAsia"/>
                      <w:sz w:val="21"/>
                      <w:szCs w:val="21"/>
                      <w:vertAlign w:val="baseline"/>
                      <w:lang w:val="en-US" w:eastAsia="zh-CN"/>
                    </w:rPr>
                    <w:t>污染物排放速率</w:t>
                  </w:r>
                  <w:r>
                    <w:rPr>
                      <w:rFonts w:hint="eastAsia" w:eastAsia="黑体"/>
                      <w:sz w:val="21"/>
                      <w:szCs w:val="21"/>
                      <w:vertAlign w:val="baseline"/>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29" w:type="dxa"/>
                  <w:vMerge w:val="continue"/>
                  <w:vAlign w:val="top"/>
                </w:tcPr>
                <w:p>
                  <w:pPr>
                    <w:spacing w:line="360" w:lineRule="auto"/>
                    <w:textAlignment w:val="baseline"/>
                    <w:rPr>
                      <w:sz w:val="21"/>
                      <w:szCs w:val="21"/>
                    </w:rPr>
                  </w:pPr>
                </w:p>
              </w:tc>
              <w:tc>
                <w:tcPr>
                  <w:tcW w:w="350" w:type="dxa"/>
                  <w:vMerge w:val="continue"/>
                  <w:vAlign w:val="top"/>
                </w:tcPr>
                <w:p>
                  <w:pPr>
                    <w:spacing w:line="360" w:lineRule="auto"/>
                    <w:textAlignment w:val="baseline"/>
                    <w:rPr>
                      <w:sz w:val="21"/>
                      <w:szCs w:val="21"/>
                    </w:rPr>
                  </w:pPr>
                </w:p>
              </w:tc>
              <w:tc>
                <w:tcPr>
                  <w:tcW w:w="434" w:type="dxa"/>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X</w:t>
                  </w:r>
                </w:p>
              </w:tc>
              <w:tc>
                <w:tcPr>
                  <w:tcW w:w="400" w:type="dxa"/>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Y</w:t>
                  </w:r>
                </w:p>
              </w:tc>
              <w:tc>
                <w:tcPr>
                  <w:tcW w:w="716" w:type="dxa"/>
                  <w:vMerge w:val="continue"/>
                  <w:vAlign w:val="top"/>
                </w:tcPr>
                <w:p>
                  <w:pPr>
                    <w:spacing w:line="360" w:lineRule="auto"/>
                    <w:textAlignment w:val="baseline"/>
                    <w:rPr>
                      <w:rFonts w:eastAsia="黑体"/>
                      <w:sz w:val="21"/>
                      <w:szCs w:val="21"/>
                      <w:vertAlign w:val="baseline"/>
                    </w:rPr>
                  </w:pPr>
                </w:p>
              </w:tc>
              <w:tc>
                <w:tcPr>
                  <w:tcW w:w="717" w:type="dxa"/>
                  <w:vMerge w:val="continue"/>
                  <w:vAlign w:val="top"/>
                </w:tcPr>
                <w:p>
                  <w:pPr>
                    <w:spacing w:line="360" w:lineRule="auto"/>
                    <w:textAlignment w:val="baseline"/>
                    <w:rPr>
                      <w:rFonts w:eastAsia="黑体"/>
                      <w:sz w:val="21"/>
                      <w:szCs w:val="21"/>
                      <w:vertAlign w:val="baseline"/>
                    </w:rPr>
                  </w:pPr>
                </w:p>
              </w:tc>
              <w:tc>
                <w:tcPr>
                  <w:tcW w:w="767" w:type="dxa"/>
                  <w:vMerge w:val="continue"/>
                  <w:vAlign w:val="top"/>
                </w:tcPr>
                <w:p>
                  <w:pPr>
                    <w:spacing w:line="360" w:lineRule="auto"/>
                    <w:textAlignment w:val="baseline"/>
                    <w:rPr>
                      <w:rFonts w:eastAsia="黑体"/>
                      <w:sz w:val="21"/>
                      <w:szCs w:val="21"/>
                      <w:vertAlign w:val="baseline"/>
                    </w:rPr>
                  </w:pPr>
                </w:p>
              </w:tc>
              <w:tc>
                <w:tcPr>
                  <w:tcW w:w="800" w:type="dxa"/>
                  <w:vMerge w:val="continue"/>
                  <w:vAlign w:val="top"/>
                </w:tcPr>
                <w:p>
                  <w:pPr>
                    <w:spacing w:line="360" w:lineRule="auto"/>
                    <w:textAlignment w:val="baseline"/>
                    <w:rPr>
                      <w:rFonts w:eastAsia="黑体"/>
                      <w:sz w:val="21"/>
                      <w:szCs w:val="21"/>
                      <w:vertAlign w:val="baseline"/>
                    </w:rPr>
                  </w:pPr>
                </w:p>
              </w:tc>
              <w:tc>
                <w:tcPr>
                  <w:tcW w:w="900" w:type="dxa"/>
                  <w:vMerge w:val="continue"/>
                  <w:vAlign w:val="top"/>
                </w:tcPr>
                <w:p>
                  <w:pPr>
                    <w:spacing w:line="360" w:lineRule="auto"/>
                    <w:textAlignment w:val="baseline"/>
                    <w:rPr>
                      <w:rFonts w:eastAsia="黑体"/>
                      <w:sz w:val="21"/>
                      <w:szCs w:val="21"/>
                      <w:vertAlign w:val="baseline"/>
                    </w:rPr>
                  </w:pPr>
                </w:p>
              </w:tc>
              <w:tc>
                <w:tcPr>
                  <w:tcW w:w="733" w:type="dxa"/>
                  <w:vMerge w:val="continue"/>
                  <w:vAlign w:val="top"/>
                </w:tcPr>
                <w:p>
                  <w:pPr>
                    <w:spacing w:line="360" w:lineRule="auto"/>
                    <w:textAlignment w:val="baseline"/>
                    <w:rPr>
                      <w:rFonts w:eastAsia="黑体"/>
                      <w:sz w:val="21"/>
                      <w:szCs w:val="21"/>
                      <w:vertAlign w:val="baseline"/>
                    </w:rPr>
                  </w:pPr>
                </w:p>
              </w:tc>
              <w:tc>
                <w:tcPr>
                  <w:tcW w:w="717" w:type="dxa"/>
                  <w:vMerge w:val="continue"/>
                  <w:vAlign w:val="top"/>
                </w:tcPr>
                <w:p>
                  <w:pPr>
                    <w:spacing w:line="360" w:lineRule="auto"/>
                    <w:textAlignment w:val="baseline"/>
                    <w:rPr>
                      <w:rFonts w:eastAsia="黑体"/>
                      <w:sz w:val="21"/>
                      <w:szCs w:val="21"/>
                      <w:vertAlign w:val="baseline"/>
                    </w:rPr>
                  </w:pPr>
                </w:p>
              </w:tc>
              <w:tc>
                <w:tcPr>
                  <w:tcW w:w="1300" w:type="dxa"/>
                  <w:vAlign w:val="top"/>
                </w:tcPr>
                <w:p>
                  <w:pPr>
                    <w:spacing w:line="360" w:lineRule="auto"/>
                    <w:textAlignment w:val="baseline"/>
                    <w:rPr>
                      <w:rFonts w:eastAsia="黑体"/>
                      <w:sz w:val="21"/>
                      <w:szCs w:val="21"/>
                      <w:vertAlign w:val="baseline"/>
                    </w:rPr>
                  </w:pPr>
                  <w:r>
                    <w:rPr>
                      <w:sz w:val="21"/>
                      <w:szCs w:val="21"/>
                    </w:rPr>
                    <w:t>非甲烷总烃</w:t>
                  </w:r>
                </w:p>
              </w:tc>
              <w:tc>
                <w:tcPr>
                  <w:tcW w:w="933" w:type="dxa"/>
                  <w:vAlign w:val="top"/>
                </w:tcPr>
                <w:p>
                  <w:pPr>
                    <w:spacing w:line="360" w:lineRule="auto"/>
                    <w:textAlignment w:val="baseline"/>
                    <w:rPr>
                      <w:rFonts w:eastAsia="黑体"/>
                      <w:sz w:val="21"/>
                      <w:szCs w:val="21"/>
                      <w:vertAlign w:val="baseline"/>
                    </w:rPr>
                  </w:pPr>
                  <w:r>
                    <w:rPr>
                      <w:rFonts w:hint="eastAsia"/>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 w:type="dxa"/>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1</w:t>
                  </w:r>
                </w:p>
              </w:tc>
              <w:tc>
                <w:tcPr>
                  <w:tcW w:w="350" w:type="dxa"/>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面源</w:t>
                  </w:r>
                </w:p>
              </w:tc>
              <w:tc>
                <w:tcPr>
                  <w:tcW w:w="434" w:type="dxa"/>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w:t>
                  </w:r>
                </w:p>
              </w:tc>
              <w:tc>
                <w:tcPr>
                  <w:tcW w:w="400" w:type="dxa"/>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w:t>
                  </w:r>
                </w:p>
              </w:tc>
              <w:tc>
                <w:tcPr>
                  <w:tcW w:w="716" w:type="dxa"/>
                  <w:vAlign w:val="top"/>
                </w:tcPr>
                <w:p>
                  <w:pPr>
                    <w:spacing w:line="360" w:lineRule="auto"/>
                    <w:textAlignment w:val="baseline"/>
                    <w:rPr>
                      <w:rFonts w:hint="eastAsia" w:eastAsia="黑体"/>
                      <w:sz w:val="21"/>
                      <w:szCs w:val="21"/>
                      <w:vertAlign w:val="baseline"/>
                      <w:lang w:val="en-US" w:eastAsia="zh-CN"/>
                    </w:rPr>
                  </w:pPr>
                  <w:r>
                    <w:rPr>
                      <w:rFonts w:hint="eastAsia" w:eastAsia="黑体"/>
                      <w:sz w:val="21"/>
                      <w:szCs w:val="21"/>
                      <w:vertAlign w:val="baseline"/>
                      <w:lang w:val="en-US" w:eastAsia="zh-CN"/>
                    </w:rPr>
                    <w:t>8</w:t>
                  </w:r>
                </w:p>
              </w:tc>
              <w:tc>
                <w:tcPr>
                  <w:tcW w:w="717" w:type="dxa"/>
                  <w:vAlign w:val="top"/>
                </w:tcPr>
                <w:p>
                  <w:pPr>
                    <w:spacing w:line="360" w:lineRule="auto"/>
                    <w:textAlignment w:val="baseline"/>
                    <w:rPr>
                      <w:rFonts w:hint="default" w:eastAsia="黑体"/>
                      <w:sz w:val="21"/>
                      <w:szCs w:val="21"/>
                      <w:vertAlign w:val="baseline"/>
                      <w:lang w:val="en-US" w:eastAsia="zh-CN"/>
                    </w:rPr>
                  </w:pPr>
                  <w:r>
                    <w:rPr>
                      <w:rFonts w:hint="eastAsia" w:eastAsia="黑体"/>
                      <w:sz w:val="21"/>
                      <w:szCs w:val="21"/>
                      <w:vertAlign w:val="baseline"/>
                      <w:lang w:val="en-US" w:eastAsia="zh-CN"/>
                    </w:rPr>
                    <w:t>20</w:t>
                  </w:r>
                </w:p>
              </w:tc>
              <w:tc>
                <w:tcPr>
                  <w:tcW w:w="767" w:type="dxa"/>
                  <w:vAlign w:val="top"/>
                </w:tcPr>
                <w:p>
                  <w:pPr>
                    <w:spacing w:line="360" w:lineRule="auto"/>
                    <w:textAlignment w:val="baseline"/>
                    <w:rPr>
                      <w:rFonts w:hint="default" w:eastAsia="黑体"/>
                      <w:sz w:val="21"/>
                      <w:szCs w:val="21"/>
                      <w:vertAlign w:val="baseline"/>
                      <w:lang w:val="en-US" w:eastAsia="zh-CN"/>
                    </w:rPr>
                  </w:pPr>
                  <w:r>
                    <w:rPr>
                      <w:rFonts w:hint="eastAsia" w:eastAsia="黑体"/>
                      <w:sz w:val="21"/>
                      <w:szCs w:val="21"/>
                      <w:vertAlign w:val="baseline"/>
                      <w:lang w:val="en-US" w:eastAsia="zh-CN"/>
                    </w:rPr>
                    <w:t>20</w:t>
                  </w:r>
                </w:p>
              </w:tc>
              <w:tc>
                <w:tcPr>
                  <w:tcW w:w="800" w:type="dxa"/>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w:t>
                  </w:r>
                </w:p>
              </w:tc>
              <w:tc>
                <w:tcPr>
                  <w:tcW w:w="900" w:type="dxa"/>
                  <w:vAlign w:val="top"/>
                </w:tcPr>
                <w:p>
                  <w:pPr>
                    <w:spacing w:line="360" w:lineRule="auto"/>
                    <w:textAlignment w:val="baseline"/>
                    <w:rPr>
                      <w:rFonts w:hint="eastAsia" w:eastAsia="黑体"/>
                      <w:sz w:val="21"/>
                      <w:szCs w:val="21"/>
                      <w:vertAlign w:val="baseline"/>
                      <w:lang w:val="en-US" w:eastAsia="zh-CN"/>
                    </w:rPr>
                  </w:pPr>
                  <w:r>
                    <w:rPr>
                      <w:rFonts w:hint="eastAsia" w:eastAsia="黑体"/>
                      <w:sz w:val="21"/>
                      <w:szCs w:val="21"/>
                      <w:vertAlign w:val="baseline"/>
                      <w:lang w:val="en-US" w:eastAsia="zh-CN"/>
                    </w:rPr>
                    <w:t>8</w:t>
                  </w:r>
                </w:p>
              </w:tc>
              <w:tc>
                <w:tcPr>
                  <w:tcW w:w="733" w:type="dxa"/>
                  <w:vAlign w:val="top"/>
                </w:tcPr>
                <w:p>
                  <w:pPr>
                    <w:spacing w:line="360" w:lineRule="auto"/>
                    <w:textAlignment w:val="baseline"/>
                    <w:rPr>
                      <w:rFonts w:eastAsia="黑体"/>
                      <w:sz w:val="21"/>
                      <w:szCs w:val="21"/>
                      <w:vertAlign w:val="baseline"/>
                    </w:rPr>
                  </w:pPr>
                  <w:r>
                    <w:rPr>
                      <w:rFonts w:hint="eastAsia"/>
                      <w:snapToGrid w:val="0"/>
                      <w:sz w:val="21"/>
                      <w:szCs w:val="21"/>
                      <w:vertAlign w:val="baseline"/>
                      <w:lang w:val="en-US" w:eastAsia="zh-CN"/>
                    </w:rPr>
                    <w:t>3000</w:t>
                  </w:r>
                </w:p>
              </w:tc>
              <w:tc>
                <w:tcPr>
                  <w:tcW w:w="717" w:type="dxa"/>
                  <w:vAlign w:val="top"/>
                </w:tcPr>
                <w:p>
                  <w:pPr>
                    <w:spacing w:line="360" w:lineRule="auto"/>
                    <w:jc w:val="left"/>
                    <w:textAlignment w:val="baseline"/>
                    <w:rPr>
                      <w:rFonts w:eastAsia="黑体"/>
                      <w:sz w:val="21"/>
                      <w:szCs w:val="21"/>
                      <w:vertAlign w:val="baseline"/>
                    </w:rPr>
                  </w:pPr>
                  <w:r>
                    <w:rPr>
                      <w:rFonts w:hint="eastAsia" w:asciiTheme="minorEastAsia" w:hAnsiTheme="minorEastAsia" w:eastAsiaTheme="minorEastAsia" w:cstheme="minorEastAsia"/>
                      <w:sz w:val="21"/>
                      <w:szCs w:val="21"/>
                      <w:vertAlign w:val="baseline"/>
                      <w:lang w:val="en-US" w:eastAsia="zh-CN"/>
                    </w:rPr>
                    <w:t>标准工况</w:t>
                  </w:r>
                </w:p>
              </w:tc>
              <w:tc>
                <w:tcPr>
                  <w:tcW w:w="1300" w:type="dxa"/>
                  <w:vAlign w:val="top"/>
                </w:tcPr>
                <w:p>
                  <w:pPr>
                    <w:spacing w:line="360" w:lineRule="auto"/>
                    <w:textAlignment w:val="baseline"/>
                    <w:rPr>
                      <w:rFonts w:hint="default" w:eastAsia="黑体"/>
                      <w:sz w:val="21"/>
                      <w:szCs w:val="21"/>
                      <w:vertAlign w:val="baseline"/>
                      <w:lang w:val="en-US" w:eastAsia="zh-CN"/>
                    </w:rPr>
                  </w:pPr>
                  <w:r>
                    <w:rPr>
                      <w:rFonts w:hint="eastAsia" w:eastAsia="黑体"/>
                      <w:sz w:val="21"/>
                      <w:szCs w:val="21"/>
                      <w:vertAlign w:val="baseline"/>
                      <w:lang w:val="en-US" w:eastAsia="zh-CN"/>
                    </w:rPr>
                    <w:t>0.0009</w:t>
                  </w:r>
                </w:p>
              </w:tc>
              <w:tc>
                <w:tcPr>
                  <w:tcW w:w="933" w:type="dxa"/>
                  <w:vAlign w:val="top"/>
                </w:tcPr>
                <w:p>
                  <w:pPr>
                    <w:spacing w:line="360" w:lineRule="auto"/>
                    <w:textAlignment w:val="baseline"/>
                    <w:rPr>
                      <w:rFonts w:hint="default" w:eastAsia="黑体"/>
                      <w:sz w:val="21"/>
                      <w:szCs w:val="21"/>
                      <w:vertAlign w:val="baseline"/>
                      <w:lang w:val="en-US" w:eastAsia="zh-CN"/>
                    </w:rPr>
                  </w:pPr>
                  <w:r>
                    <w:rPr>
                      <w:rFonts w:hint="eastAsia" w:eastAsia="黑体"/>
                      <w:sz w:val="21"/>
                      <w:szCs w:val="21"/>
                      <w:vertAlign w:val="baseline"/>
                      <w:lang w:val="en-US" w:eastAsia="zh-CN"/>
                    </w:rPr>
                    <w:t>0.0003</w:t>
                  </w:r>
                </w:p>
              </w:tc>
            </w:tr>
          </w:tbl>
          <w:p>
            <w:pPr>
              <w:jc w:val="center"/>
              <w:rPr>
                <w:sz w:val="24"/>
              </w:rPr>
            </w:pPr>
            <w:r>
              <w:rPr>
                <w:rFonts w:eastAsia="黑体"/>
                <w:sz w:val="24"/>
              </w:rPr>
              <w:t>表</w:t>
            </w:r>
            <w:r>
              <w:rPr>
                <w:rFonts w:hint="eastAsia" w:eastAsia="黑体"/>
                <w:sz w:val="24"/>
              </w:rPr>
              <w:t>2</w:t>
            </w:r>
            <w:r>
              <w:rPr>
                <w:rFonts w:hint="eastAsia" w:eastAsia="黑体"/>
                <w:sz w:val="24"/>
                <w:lang w:val="en-US" w:eastAsia="zh-CN"/>
              </w:rPr>
              <w:t>6</w:t>
            </w:r>
            <w:r>
              <w:rPr>
                <w:rFonts w:eastAsia="黑体"/>
                <w:sz w:val="24"/>
              </w:rPr>
              <w:t xml:space="preserve">  无组织</w:t>
            </w:r>
            <w:r>
              <w:rPr>
                <w:rFonts w:hint="eastAsia" w:eastAsia="黑体"/>
                <w:sz w:val="24"/>
              </w:rPr>
              <w:t>非甲烷总烃</w:t>
            </w:r>
            <w:r>
              <w:rPr>
                <w:rFonts w:eastAsia="黑体"/>
                <w:sz w:val="24"/>
              </w:rPr>
              <w:t>估算模式预测分析结果统计表</w:t>
            </w:r>
          </w:p>
          <w:tbl>
            <w:tblPr>
              <w:tblStyle w:val="23"/>
              <w:tblW w:w="85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140"/>
              <w:gridCol w:w="1645"/>
              <w:gridCol w:w="1419"/>
              <w:gridCol w:w="1419"/>
              <w:gridCol w:w="14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污染物</w:t>
                  </w:r>
                </w:p>
              </w:tc>
              <w:tc>
                <w:tcPr>
                  <w:tcW w:w="1140" w:type="dxa"/>
                  <w:vAlign w:val="center"/>
                </w:tcPr>
                <w:p>
                  <w:pPr>
                    <w:jc w:val="center"/>
                    <w:rPr>
                      <w:szCs w:val="21"/>
                    </w:rPr>
                  </w:pPr>
                  <w:r>
                    <w:rPr>
                      <w:szCs w:val="21"/>
                    </w:rPr>
                    <w:t>出现距离（m）</w:t>
                  </w:r>
                </w:p>
              </w:tc>
              <w:tc>
                <w:tcPr>
                  <w:tcW w:w="1645" w:type="dxa"/>
                  <w:vAlign w:val="center"/>
                </w:tcPr>
                <w:p>
                  <w:pPr>
                    <w:jc w:val="center"/>
                    <w:rPr>
                      <w:szCs w:val="21"/>
                    </w:rPr>
                  </w:pPr>
                  <w:r>
                    <w:rPr>
                      <w:szCs w:val="21"/>
                    </w:rPr>
                    <w:t>最大落地浓度（mg/m³）</w:t>
                  </w:r>
                </w:p>
              </w:tc>
              <w:tc>
                <w:tcPr>
                  <w:tcW w:w="1419" w:type="dxa"/>
                  <w:vAlign w:val="center"/>
                </w:tcPr>
                <w:p>
                  <w:pPr>
                    <w:jc w:val="center"/>
                    <w:rPr>
                      <w:szCs w:val="21"/>
                    </w:rPr>
                  </w:pPr>
                  <w:r>
                    <w:rPr>
                      <w:szCs w:val="21"/>
                    </w:rPr>
                    <w:t>P</w:t>
                  </w:r>
                  <w:r>
                    <w:rPr>
                      <w:szCs w:val="21"/>
                      <w:vertAlign w:val="subscript"/>
                    </w:rPr>
                    <w:t>max</w:t>
                  </w:r>
                  <w:r>
                    <w:rPr>
                      <w:szCs w:val="21"/>
                    </w:rPr>
                    <w:t>（%）</w:t>
                  </w:r>
                </w:p>
              </w:tc>
              <w:tc>
                <w:tcPr>
                  <w:tcW w:w="1419" w:type="dxa"/>
                  <w:vAlign w:val="center"/>
                </w:tcPr>
                <w:p>
                  <w:pPr>
                    <w:jc w:val="center"/>
                    <w:rPr>
                      <w:szCs w:val="21"/>
                    </w:rPr>
                  </w:pPr>
                  <w:r>
                    <w:rPr>
                      <w:szCs w:val="21"/>
                    </w:rPr>
                    <w:t>标准限值（mg/m³）</w:t>
                  </w:r>
                </w:p>
              </w:tc>
              <w:tc>
                <w:tcPr>
                  <w:tcW w:w="1410" w:type="dxa"/>
                  <w:vAlign w:val="center"/>
                </w:tcPr>
                <w:p>
                  <w:pPr>
                    <w:jc w:val="center"/>
                    <w:rPr>
                      <w:szCs w:val="21"/>
                    </w:rPr>
                  </w:pPr>
                  <w:r>
                    <w:rPr>
                      <w:szCs w:val="21"/>
                    </w:rPr>
                    <w:t>D10%（m）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rFonts w:hint="eastAsia"/>
                      <w:szCs w:val="21"/>
                    </w:rPr>
                    <w:t>非甲烷总烃</w:t>
                  </w:r>
                </w:p>
              </w:tc>
              <w:tc>
                <w:tcPr>
                  <w:tcW w:w="1140"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1645" w:type="dxa"/>
                  <w:vAlign w:val="center"/>
                </w:tcPr>
                <w:p>
                  <w:pPr>
                    <w:jc w:val="center"/>
                    <w:rPr>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7.41E-04</w:t>
                  </w:r>
                </w:p>
              </w:tc>
              <w:tc>
                <w:tcPr>
                  <w:tcW w:w="1419"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0.06</w:t>
                  </w:r>
                </w:p>
              </w:tc>
              <w:tc>
                <w:tcPr>
                  <w:tcW w:w="1419" w:type="dxa"/>
                  <w:vAlign w:val="center"/>
                </w:tcPr>
                <w:p>
                  <w:pPr>
                    <w:jc w:val="center"/>
                    <w:rPr>
                      <w:szCs w:val="21"/>
                    </w:rPr>
                  </w:pPr>
                  <w:r>
                    <w:rPr>
                      <w:rFonts w:hint="eastAsia"/>
                      <w:szCs w:val="21"/>
                    </w:rPr>
                    <w:t>1.2</w:t>
                  </w:r>
                </w:p>
              </w:tc>
              <w:tc>
                <w:tcPr>
                  <w:tcW w:w="1410" w:type="dxa"/>
                  <w:vAlign w:val="center"/>
                </w:tcPr>
                <w:p>
                  <w:pPr>
                    <w:jc w:val="center"/>
                    <w:rPr>
                      <w:szCs w:val="21"/>
                    </w:rPr>
                  </w:pPr>
                  <w:r>
                    <w:rPr>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距厂界</w:t>
                  </w:r>
                </w:p>
              </w:tc>
              <w:tc>
                <w:tcPr>
                  <w:tcW w:w="1140" w:type="dxa"/>
                  <w:vAlign w:val="center"/>
                </w:tcPr>
                <w:p>
                  <w:pPr>
                    <w:jc w:val="center"/>
                    <w:rPr>
                      <w:szCs w:val="21"/>
                    </w:rPr>
                  </w:pPr>
                  <w:r>
                    <w:rPr>
                      <w:szCs w:val="21"/>
                    </w:rPr>
                    <w:t>距离（m）</w:t>
                  </w:r>
                </w:p>
              </w:tc>
              <w:tc>
                <w:tcPr>
                  <w:tcW w:w="1645" w:type="dxa"/>
                  <w:vAlign w:val="center"/>
                </w:tcPr>
                <w:p>
                  <w:pPr>
                    <w:jc w:val="center"/>
                    <w:rPr>
                      <w:szCs w:val="21"/>
                    </w:rPr>
                  </w:pPr>
                  <w:r>
                    <w:rPr>
                      <w:szCs w:val="21"/>
                    </w:rPr>
                    <w:t>预测浓度</w:t>
                  </w:r>
                </w:p>
              </w:tc>
              <w:tc>
                <w:tcPr>
                  <w:tcW w:w="1419" w:type="dxa"/>
                  <w:vAlign w:val="center"/>
                </w:tcPr>
                <w:p>
                  <w:pPr>
                    <w:jc w:val="center"/>
                    <w:rPr>
                      <w:szCs w:val="21"/>
                    </w:rPr>
                  </w:pPr>
                  <w:r>
                    <w:rPr>
                      <w:szCs w:val="21"/>
                    </w:rPr>
                    <w:t>占标率</w:t>
                  </w:r>
                </w:p>
              </w:tc>
              <w:tc>
                <w:tcPr>
                  <w:tcW w:w="1419" w:type="dxa"/>
                  <w:vAlign w:val="center"/>
                </w:tcPr>
                <w:p>
                  <w:pPr>
                    <w:jc w:val="center"/>
                    <w:rPr>
                      <w:szCs w:val="21"/>
                    </w:rPr>
                  </w:pPr>
                  <w:r>
                    <w:rPr>
                      <w:szCs w:val="21"/>
                    </w:rPr>
                    <w:t>标准限值（mg/m³）</w:t>
                  </w:r>
                </w:p>
              </w:tc>
              <w:tc>
                <w:tcPr>
                  <w:tcW w:w="1410" w:type="dxa"/>
                  <w:vAlign w:val="center"/>
                </w:tcPr>
                <w:p>
                  <w:pPr>
                    <w:jc w:val="center"/>
                    <w:rPr>
                      <w:szCs w:val="21"/>
                    </w:rPr>
                  </w:pPr>
                  <w:r>
                    <w:rPr>
                      <w:szCs w:val="21"/>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东厂界</w:t>
                  </w:r>
                </w:p>
              </w:tc>
              <w:tc>
                <w:tcPr>
                  <w:tcW w:w="1140"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p>
              </w:tc>
              <w:tc>
                <w:tcPr>
                  <w:tcW w:w="1645" w:type="dxa"/>
                  <w:vAlign w:val="center"/>
                </w:tcPr>
                <w:p>
                  <w:pPr>
                    <w:jc w:val="center"/>
                    <w:rPr>
                      <w:color w:val="000000" w:themeColor="text1"/>
                      <w:szCs w:val="21"/>
                      <w:lang w:val="en-US"/>
                      <w14:textFill>
                        <w14:solidFill>
                          <w14:schemeClr w14:val="tx1"/>
                        </w14:solidFill>
                      </w14:textFill>
                    </w:rPr>
                  </w:pPr>
                  <w:r>
                    <w:rPr>
                      <w:rFonts w:hint="eastAsia"/>
                      <w:color w:val="000000" w:themeColor="text1"/>
                      <w:lang w:val="en-US" w:eastAsia="zh-CN"/>
                      <w14:textFill>
                        <w14:solidFill>
                          <w14:schemeClr w14:val="tx1"/>
                        </w14:solidFill>
                      </w14:textFill>
                    </w:rPr>
                    <w:t>5.06E-04</w:t>
                  </w:r>
                </w:p>
              </w:tc>
              <w:tc>
                <w:tcPr>
                  <w:tcW w:w="1419"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w:t>
                  </w:r>
                </w:p>
              </w:tc>
              <w:tc>
                <w:tcPr>
                  <w:tcW w:w="1419" w:type="dxa"/>
                  <w:vAlign w:val="center"/>
                </w:tcPr>
                <w:p>
                  <w:pPr>
                    <w:jc w:val="center"/>
                    <w:rPr>
                      <w:szCs w:val="21"/>
                    </w:rPr>
                  </w:pPr>
                  <w:r>
                    <w:rPr>
                      <w:rFonts w:hint="eastAsia"/>
                      <w:szCs w:val="21"/>
                    </w:rPr>
                    <w:t>1.2</w:t>
                  </w:r>
                </w:p>
              </w:tc>
              <w:tc>
                <w:tcPr>
                  <w:tcW w:w="1410" w:type="dxa"/>
                  <w:vAlign w:val="center"/>
                </w:tcPr>
                <w:p>
                  <w:pPr>
                    <w:jc w:val="center"/>
                    <w:rPr>
                      <w:szCs w:val="21"/>
                    </w:rPr>
                  </w:pPr>
                  <w:r>
                    <w:rPr>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西厂界</w:t>
                  </w:r>
                </w:p>
              </w:tc>
              <w:tc>
                <w:tcPr>
                  <w:tcW w:w="11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645"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7.41E-04</w:t>
                  </w:r>
                </w:p>
              </w:tc>
              <w:tc>
                <w:tcPr>
                  <w:tcW w:w="1419"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0.06</w:t>
                  </w:r>
                </w:p>
              </w:tc>
              <w:tc>
                <w:tcPr>
                  <w:tcW w:w="1419" w:type="dxa"/>
                  <w:vAlign w:val="center"/>
                </w:tcPr>
                <w:p>
                  <w:pPr>
                    <w:jc w:val="center"/>
                    <w:rPr>
                      <w:szCs w:val="21"/>
                    </w:rPr>
                  </w:pPr>
                  <w:r>
                    <w:rPr>
                      <w:rFonts w:hint="eastAsia"/>
                      <w:szCs w:val="21"/>
                    </w:rPr>
                    <w:t>1.2</w:t>
                  </w:r>
                </w:p>
              </w:tc>
              <w:tc>
                <w:tcPr>
                  <w:tcW w:w="1410" w:type="dxa"/>
                  <w:vAlign w:val="center"/>
                </w:tcPr>
                <w:p>
                  <w:pPr>
                    <w:jc w:val="center"/>
                    <w:rPr>
                      <w:szCs w:val="21"/>
                    </w:rPr>
                  </w:pPr>
                  <w:r>
                    <w:rPr>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南厂界</w:t>
                  </w:r>
                </w:p>
              </w:tc>
              <w:tc>
                <w:tcPr>
                  <w:tcW w:w="1140"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645"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7.41E-04</w:t>
                  </w:r>
                </w:p>
              </w:tc>
              <w:tc>
                <w:tcPr>
                  <w:tcW w:w="1419"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0.06</w:t>
                  </w:r>
                </w:p>
              </w:tc>
              <w:tc>
                <w:tcPr>
                  <w:tcW w:w="1419" w:type="dxa"/>
                  <w:vAlign w:val="center"/>
                </w:tcPr>
                <w:p>
                  <w:pPr>
                    <w:jc w:val="center"/>
                    <w:rPr>
                      <w:szCs w:val="21"/>
                    </w:rPr>
                  </w:pPr>
                  <w:r>
                    <w:rPr>
                      <w:rFonts w:hint="eastAsia"/>
                      <w:szCs w:val="21"/>
                    </w:rPr>
                    <w:t>1.2</w:t>
                  </w:r>
                </w:p>
              </w:tc>
              <w:tc>
                <w:tcPr>
                  <w:tcW w:w="1410" w:type="dxa"/>
                  <w:vAlign w:val="center"/>
                </w:tcPr>
                <w:p>
                  <w:pPr>
                    <w:jc w:val="center"/>
                    <w:rPr>
                      <w:szCs w:val="21"/>
                    </w:rPr>
                  </w:pPr>
                  <w:r>
                    <w:rPr>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北厂界</w:t>
                  </w:r>
                </w:p>
              </w:tc>
              <w:tc>
                <w:tcPr>
                  <w:tcW w:w="1140"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1</w:t>
                  </w:r>
                </w:p>
              </w:tc>
              <w:tc>
                <w:tcPr>
                  <w:tcW w:w="1645"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7.41E-04</w:t>
                  </w:r>
                </w:p>
              </w:tc>
              <w:tc>
                <w:tcPr>
                  <w:tcW w:w="1419"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0.06</w:t>
                  </w:r>
                </w:p>
              </w:tc>
              <w:tc>
                <w:tcPr>
                  <w:tcW w:w="1419" w:type="dxa"/>
                  <w:vAlign w:val="center"/>
                </w:tcPr>
                <w:p>
                  <w:pPr>
                    <w:jc w:val="center"/>
                    <w:rPr>
                      <w:szCs w:val="21"/>
                    </w:rPr>
                  </w:pPr>
                  <w:r>
                    <w:rPr>
                      <w:rFonts w:hint="eastAsia"/>
                      <w:szCs w:val="21"/>
                    </w:rPr>
                    <w:t>1.2</w:t>
                  </w:r>
                </w:p>
              </w:tc>
              <w:tc>
                <w:tcPr>
                  <w:tcW w:w="1410" w:type="dxa"/>
                  <w:vAlign w:val="center"/>
                </w:tcPr>
                <w:p>
                  <w:pPr>
                    <w:jc w:val="center"/>
                    <w:rPr>
                      <w:szCs w:val="21"/>
                    </w:rPr>
                  </w:pPr>
                  <w:r>
                    <w:rPr>
                      <w:szCs w:val="21"/>
                    </w:rPr>
                    <w:t>达标</w:t>
                  </w:r>
                </w:p>
              </w:tc>
            </w:tr>
          </w:tbl>
          <w:p>
            <w:pPr>
              <w:spacing w:line="360" w:lineRule="auto"/>
              <w:ind w:firstLine="480" w:firstLineChars="200"/>
              <w:rPr>
                <w:snapToGrid w:val="0"/>
                <w:kern w:val="21"/>
                <w:sz w:val="24"/>
              </w:rPr>
            </w:pPr>
            <w:r>
              <w:rPr>
                <w:snapToGrid w:val="0"/>
                <w:kern w:val="21"/>
                <w:sz w:val="24"/>
              </w:rPr>
              <w:t>由预测结果可知，项目无组织排放的非甲烷总烃最大地面落浓度点出现在厂界外</w:t>
            </w:r>
            <w:r>
              <w:rPr>
                <w:rFonts w:hint="eastAsia"/>
                <w:snapToGrid w:val="0"/>
                <w:color w:val="000000" w:themeColor="text1"/>
                <w:kern w:val="21"/>
                <w:sz w:val="24"/>
                <w14:textFill>
                  <w14:solidFill>
                    <w14:schemeClr w14:val="tx1"/>
                  </w14:solidFill>
                </w14:textFill>
              </w:rPr>
              <w:t>1</w:t>
            </w:r>
            <w:r>
              <w:rPr>
                <w:rFonts w:hint="eastAsia"/>
                <w:snapToGrid w:val="0"/>
                <w:color w:val="000000" w:themeColor="text1"/>
                <w:kern w:val="21"/>
                <w:sz w:val="24"/>
                <w:lang w:val="en-US" w:eastAsia="zh-CN"/>
                <w14:textFill>
                  <w14:solidFill>
                    <w14:schemeClr w14:val="tx1"/>
                  </w14:solidFill>
                </w14:textFill>
              </w:rPr>
              <w:t>0</w:t>
            </w:r>
            <w:r>
              <w:rPr>
                <w:snapToGrid w:val="0"/>
                <w:color w:val="000000" w:themeColor="text1"/>
                <w:kern w:val="21"/>
                <w:sz w:val="24"/>
                <w14:textFill>
                  <w14:solidFill>
                    <w14:schemeClr w14:val="tx1"/>
                  </w14:solidFill>
                </w14:textFill>
              </w:rPr>
              <w:t>m处，最大落地浓度</w:t>
            </w:r>
            <w:r>
              <w:rPr>
                <w:rFonts w:hint="eastAsia"/>
                <w:color w:val="000000" w:themeColor="text1"/>
                <w:szCs w:val="21"/>
                <w:lang w:val="en-US" w:eastAsia="zh-CN"/>
                <w14:textFill>
                  <w14:solidFill>
                    <w14:schemeClr w14:val="tx1"/>
                  </w14:solidFill>
                </w14:textFill>
              </w:rPr>
              <w:t>7.41E-04</w:t>
            </w:r>
            <w:r>
              <w:rPr>
                <w:snapToGrid w:val="0"/>
                <w:color w:val="000000" w:themeColor="text1"/>
                <w:kern w:val="21"/>
                <w:sz w:val="24"/>
                <w14:textFill>
                  <w14:solidFill>
                    <w14:schemeClr w14:val="tx1"/>
                  </w14:solidFill>
                </w14:textFill>
              </w:rPr>
              <w:t>mg/m³，占标率为</w:t>
            </w:r>
            <w:r>
              <w:rPr>
                <w:rFonts w:hint="eastAsia"/>
                <w:snapToGrid w:val="0"/>
                <w:color w:val="000000" w:themeColor="text1"/>
                <w:kern w:val="21"/>
                <w:sz w:val="24"/>
                <w14:textFill>
                  <w14:solidFill>
                    <w14:schemeClr w14:val="tx1"/>
                  </w14:solidFill>
                </w14:textFill>
              </w:rPr>
              <w:t>0.</w:t>
            </w:r>
            <w:r>
              <w:rPr>
                <w:rFonts w:hint="eastAsia"/>
                <w:snapToGrid w:val="0"/>
                <w:color w:val="000000" w:themeColor="text1"/>
                <w:kern w:val="21"/>
                <w:sz w:val="24"/>
                <w:lang w:val="en-US" w:eastAsia="zh-CN"/>
                <w14:textFill>
                  <w14:solidFill>
                    <w14:schemeClr w14:val="tx1"/>
                  </w14:solidFill>
                </w14:textFill>
              </w:rPr>
              <w:t>06</w:t>
            </w:r>
            <w:r>
              <w:rPr>
                <w:snapToGrid w:val="0"/>
                <w:color w:val="000000" w:themeColor="text1"/>
                <w:kern w:val="21"/>
                <w:sz w:val="24"/>
                <w14:textFill>
                  <w14:solidFill>
                    <w14:schemeClr w14:val="tx1"/>
                  </w14:solidFill>
                </w14:textFill>
              </w:rPr>
              <w:t>%</w:t>
            </w:r>
            <w:r>
              <w:rPr>
                <w:rFonts w:hint="eastAsia"/>
                <w:snapToGrid w:val="0"/>
                <w:color w:val="000000" w:themeColor="text1"/>
                <w:kern w:val="21"/>
                <w:sz w:val="24"/>
                <w:lang w:val="en-US" w:eastAsia="zh-CN"/>
                <w14:textFill>
                  <w14:solidFill>
                    <w14:schemeClr w14:val="tx1"/>
                  </w14:solidFill>
                </w14:textFill>
              </w:rPr>
              <w:t>。</w:t>
            </w:r>
            <w:r>
              <w:rPr>
                <w:snapToGrid w:val="0"/>
                <w:color w:val="000000" w:themeColor="text1"/>
                <w:kern w:val="21"/>
                <w:sz w:val="24"/>
                <w14:textFill>
                  <w14:solidFill>
                    <w14:schemeClr w14:val="tx1"/>
                  </w14:solidFill>
                </w14:textFill>
              </w:rPr>
              <w:t>本项目厂界处非甲烷总烃最大浓度预测值为</w:t>
            </w:r>
            <w:r>
              <w:rPr>
                <w:rFonts w:hint="eastAsia"/>
                <w:color w:val="000000" w:themeColor="text1"/>
                <w:szCs w:val="21"/>
                <w:lang w:val="en-US" w:eastAsia="zh-CN"/>
                <w14:textFill>
                  <w14:solidFill>
                    <w14:schemeClr w14:val="tx1"/>
                  </w14:solidFill>
                </w14:textFill>
              </w:rPr>
              <w:t>7.41E-04</w:t>
            </w:r>
            <w:r>
              <w:rPr>
                <w:snapToGrid w:val="0"/>
                <w:color w:val="000000" w:themeColor="text1"/>
                <w:kern w:val="21"/>
                <w:sz w:val="24"/>
                <w14:textFill>
                  <w14:solidFill>
                    <w14:schemeClr w14:val="tx1"/>
                  </w14:solidFill>
                </w14:textFill>
              </w:rPr>
              <w:t>mg/m³，满</w:t>
            </w:r>
            <w:r>
              <w:rPr>
                <w:snapToGrid w:val="0"/>
                <w:kern w:val="21"/>
                <w:sz w:val="24"/>
              </w:rPr>
              <w:t>足《河南省环境污染防治攻坚战领导小组办公室文件》豫环攻坚办[2017]162号 工业企业边界挥发性有机物排放建议值其他企业非甲烷总烃2.0mg/m³。</w:t>
            </w:r>
            <w:r>
              <w:rPr>
                <w:snapToGrid w:val="0"/>
                <w:kern w:val="21"/>
                <w:sz w:val="24"/>
              </w:rPr>
              <w:br w:type="textWrapping"/>
            </w:r>
            <w:r>
              <w:rPr>
                <w:rFonts w:hint="eastAsia"/>
                <w:snapToGrid w:val="0"/>
                <w:kern w:val="21"/>
                <w:sz w:val="24"/>
              </w:rPr>
              <w:t xml:space="preserve">    环评要求：本项目原料储存于密闭原料库，厂区道路硬化，生产厂房周围绿化种植，合理配置绿化植物。</w:t>
            </w:r>
          </w:p>
          <w:p>
            <w:pPr>
              <w:ind w:firstLine="480" w:firstLineChars="200"/>
              <w:jc w:val="center"/>
              <w:rPr>
                <w:sz w:val="24"/>
              </w:rPr>
            </w:pPr>
            <w:r>
              <w:rPr>
                <w:rFonts w:eastAsia="黑体"/>
                <w:sz w:val="24"/>
              </w:rPr>
              <w:t>表</w:t>
            </w:r>
            <w:r>
              <w:rPr>
                <w:rFonts w:hint="eastAsia" w:eastAsia="黑体"/>
                <w:sz w:val="24"/>
              </w:rPr>
              <w:t>2</w:t>
            </w:r>
            <w:r>
              <w:rPr>
                <w:rFonts w:hint="eastAsia" w:eastAsia="黑体"/>
                <w:sz w:val="24"/>
                <w:lang w:val="en-US" w:eastAsia="zh-CN"/>
              </w:rPr>
              <w:t>7</w:t>
            </w:r>
            <w:r>
              <w:rPr>
                <w:rFonts w:eastAsia="黑体"/>
                <w:sz w:val="24"/>
              </w:rPr>
              <w:t xml:space="preserve">  无组织</w:t>
            </w:r>
            <w:r>
              <w:rPr>
                <w:rFonts w:hint="eastAsia" w:eastAsia="黑体"/>
                <w:sz w:val="24"/>
              </w:rPr>
              <w:t>颗粒物</w:t>
            </w:r>
            <w:r>
              <w:rPr>
                <w:rFonts w:eastAsia="黑体"/>
                <w:sz w:val="24"/>
              </w:rPr>
              <w:t>估算模式预测分析结果统计表</w:t>
            </w:r>
          </w:p>
          <w:tbl>
            <w:tblPr>
              <w:tblStyle w:val="23"/>
              <w:tblW w:w="85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140"/>
              <w:gridCol w:w="1645"/>
              <w:gridCol w:w="1419"/>
              <w:gridCol w:w="1419"/>
              <w:gridCol w:w="14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污染物</w:t>
                  </w:r>
                </w:p>
              </w:tc>
              <w:tc>
                <w:tcPr>
                  <w:tcW w:w="1140" w:type="dxa"/>
                  <w:vAlign w:val="center"/>
                </w:tcPr>
                <w:p>
                  <w:pPr>
                    <w:jc w:val="center"/>
                    <w:rPr>
                      <w:szCs w:val="21"/>
                    </w:rPr>
                  </w:pPr>
                  <w:r>
                    <w:rPr>
                      <w:szCs w:val="21"/>
                    </w:rPr>
                    <w:t>出现距离（m）</w:t>
                  </w:r>
                </w:p>
              </w:tc>
              <w:tc>
                <w:tcPr>
                  <w:tcW w:w="1645" w:type="dxa"/>
                  <w:vAlign w:val="center"/>
                </w:tcPr>
                <w:p>
                  <w:pPr>
                    <w:jc w:val="center"/>
                    <w:rPr>
                      <w:szCs w:val="21"/>
                    </w:rPr>
                  </w:pPr>
                  <w:r>
                    <w:rPr>
                      <w:szCs w:val="21"/>
                    </w:rPr>
                    <w:t>最大落地浓度（mg/m³）</w:t>
                  </w:r>
                </w:p>
              </w:tc>
              <w:tc>
                <w:tcPr>
                  <w:tcW w:w="1419" w:type="dxa"/>
                  <w:vAlign w:val="center"/>
                </w:tcPr>
                <w:p>
                  <w:pPr>
                    <w:jc w:val="center"/>
                    <w:rPr>
                      <w:szCs w:val="21"/>
                    </w:rPr>
                  </w:pPr>
                  <w:r>
                    <w:rPr>
                      <w:szCs w:val="21"/>
                    </w:rPr>
                    <w:t>P</w:t>
                  </w:r>
                  <w:r>
                    <w:rPr>
                      <w:szCs w:val="21"/>
                      <w:vertAlign w:val="subscript"/>
                    </w:rPr>
                    <w:t>max</w:t>
                  </w:r>
                  <w:r>
                    <w:rPr>
                      <w:szCs w:val="21"/>
                    </w:rPr>
                    <w:t>（%）</w:t>
                  </w:r>
                </w:p>
              </w:tc>
              <w:tc>
                <w:tcPr>
                  <w:tcW w:w="1419" w:type="dxa"/>
                  <w:vAlign w:val="center"/>
                </w:tcPr>
                <w:p>
                  <w:pPr>
                    <w:jc w:val="center"/>
                    <w:rPr>
                      <w:szCs w:val="21"/>
                    </w:rPr>
                  </w:pPr>
                  <w:r>
                    <w:rPr>
                      <w:szCs w:val="21"/>
                    </w:rPr>
                    <w:t>标准限值（mg/m³）</w:t>
                  </w:r>
                </w:p>
              </w:tc>
              <w:tc>
                <w:tcPr>
                  <w:tcW w:w="1410" w:type="dxa"/>
                  <w:vAlign w:val="center"/>
                </w:tcPr>
                <w:p>
                  <w:pPr>
                    <w:jc w:val="center"/>
                    <w:rPr>
                      <w:szCs w:val="21"/>
                    </w:rPr>
                  </w:pPr>
                  <w:r>
                    <w:rPr>
                      <w:szCs w:val="21"/>
                    </w:rPr>
                    <w:t>D10%（m）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rFonts w:hint="eastAsia"/>
                      <w:szCs w:val="21"/>
                    </w:rPr>
                    <w:t>颗粒物</w:t>
                  </w:r>
                </w:p>
              </w:tc>
              <w:tc>
                <w:tcPr>
                  <w:tcW w:w="1140" w:type="dxa"/>
                  <w:vAlign w:val="center"/>
                </w:tcPr>
                <w:p>
                  <w:pPr>
                    <w:jc w:val="center"/>
                    <w:rPr>
                      <w:rFonts w:hint="eastAsia" w:eastAsia="宋体"/>
                      <w:color w:val="FF0000"/>
                      <w:szCs w:val="21"/>
                      <w:lang w:val="en-US" w:eastAsia="zh-CN"/>
                    </w:rPr>
                  </w:pPr>
                  <w:r>
                    <w:rPr>
                      <w:rFonts w:hint="eastAsia"/>
                      <w:color w:val="000000" w:themeColor="text1"/>
                      <w:szCs w:val="21"/>
                      <w:lang w:val="en-US" w:eastAsia="zh-CN"/>
                      <w14:textFill>
                        <w14:solidFill>
                          <w14:schemeClr w14:val="tx1"/>
                        </w14:solidFill>
                      </w14:textFill>
                    </w:rPr>
                    <w:t>10</w:t>
                  </w:r>
                </w:p>
              </w:tc>
              <w:tc>
                <w:tcPr>
                  <w:tcW w:w="1645" w:type="dxa"/>
                  <w:vAlign w:val="center"/>
                </w:tcPr>
                <w:p>
                  <w:pPr>
                    <w:jc w:val="center"/>
                    <w:rPr>
                      <w:rFonts w:hint="default" w:eastAsia="宋体"/>
                      <w:color w:val="FF0000"/>
                      <w:szCs w:val="21"/>
                      <w:lang w:val="en-US" w:eastAsia="zh-CN"/>
                    </w:rPr>
                  </w:pPr>
                  <w:r>
                    <w:rPr>
                      <w:rFonts w:hint="eastAsia"/>
                      <w:color w:val="000000" w:themeColor="text1"/>
                      <w:szCs w:val="21"/>
                      <w:lang w:val="en-US" w:eastAsia="zh-CN"/>
                      <w14:textFill>
                        <w14:solidFill>
                          <w14:schemeClr w14:val="tx1"/>
                        </w14:solidFill>
                      </w14:textFill>
                    </w:rPr>
                    <w:t>2.50E-03</w:t>
                  </w:r>
                </w:p>
              </w:tc>
              <w:tc>
                <w:tcPr>
                  <w:tcW w:w="1419" w:type="dxa"/>
                  <w:vAlign w:val="center"/>
                </w:tcPr>
                <w:p>
                  <w:pPr>
                    <w:jc w:val="center"/>
                    <w:rPr>
                      <w:rFonts w:hint="eastAsia" w:eastAsia="宋体"/>
                      <w:color w:val="FF0000"/>
                      <w:szCs w:val="21"/>
                      <w:lang w:val="en-US" w:eastAsia="zh-CN"/>
                    </w:rPr>
                  </w:pPr>
                  <w:r>
                    <w:rPr>
                      <w:rFonts w:hint="eastAsia"/>
                      <w:color w:val="000000" w:themeColor="text1"/>
                      <w:szCs w:val="21"/>
                      <w:lang w:val="en-US" w:eastAsia="zh-CN"/>
                      <w14:textFill>
                        <w14:solidFill>
                          <w14:schemeClr w14:val="tx1"/>
                        </w14:solidFill>
                      </w14:textFill>
                    </w:rPr>
                    <w:t>0.28</w:t>
                  </w:r>
                </w:p>
              </w:tc>
              <w:tc>
                <w:tcPr>
                  <w:tcW w:w="1419" w:type="dxa"/>
                  <w:vAlign w:val="center"/>
                </w:tcPr>
                <w:p>
                  <w:pPr>
                    <w:jc w:val="center"/>
                    <w:rPr>
                      <w:color w:val="FF0000"/>
                      <w:szCs w:val="21"/>
                    </w:rPr>
                  </w:pPr>
                  <w:r>
                    <w:rPr>
                      <w:rFonts w:hint="eastAsia"/>
                      <w:color w:val="000000" w:themeColor="text1"/>
                      <w:szCs w:val="21"/>
                      <w14:textFill>
                        <w14:solidFill>
                          <w14:schemeClr w14:val="tx1"/>
                        </w14:solidFill>
                      </w14:textFill>
                    </w:rPr>
                    <w:t>0.45</w:t>
                  </w:r>
                </w:p>
              </w:tc>
              <w:tc>
                <w:tcPr>
                  <w:tcW w:w="1410" w:type="dxa"/>
                  <w:vAlign w:val="center"/>
                </w:tcPr>
                <w:p>
                  <w:pPr>
                    <w:jc w:val="center"/>
                    <w:rPr>
                      <w:szCs w:val="21"/>
                    </w:rPr>
                  </w:pPr>
                  <w:r>
                    <w:rPr>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距厂界</w:t>
                  </w:r>
                </w:p>
              </w:tc>
              <w:tc>
                <w:tcPr>
                  <w:tcW w:w="1140" w:type="dxa"/>
                  <w:vAlign w:val="center"/>
                </w:tcPr>
                <w:p>
                  <w:pPr>
                    <w:jc w:val="center"/>
                    <w:rPr>
                      <w:szCs w:val="21"/>
                    </w:rPr>
                  </w:pPr>
                  <w:r>
                    <w:rPr>
                      <w:szCs w:val="21"/>
                    </w:rPr>
                    <w:t>距离（m）</w:t>
                  </w:r>
                </w:p>
              </w:tc>
              <w:tc>
                <w:tcPr>
                  <w:tcW w:w="1645" w:type="dxa"/>
                  <w:vAlign w:val="center"/>
                </w:tcPr>
                <w:p>
                  <w:pPr>
                    <w:jc w:val="center"/>
                    <w:rPr>
                      <w:szCs w:val="21"/>
                    </w:rPr>
                  </w:pPr>
                  <w:r>
                    <w:rPr>
                      <w:szCs w:val="21"/>
                    </w:rPr>
                    <w:t>预测浓度</w:t>
                  </w:r>
                </w:p>
              </w:tc>
              <w:tc>
                <w:tcPr>
                  <w:tcW w:w="1419" w:type="dxa"/>
                  <w:vAlign w:val="center"/>
                </w:tcPr>
                <w:p>
                  <w:pPr>
                    <w:jc w:val="center"/>
                    <w:rPr>
                      <w:szCs w:val="21"/>
                    </w:rPr>
                  </w:pPr>
                  <w:r>
                    <w:rPr>
                      <w:szCs w:val="21"/>
                    </w:rPr>
                    <w:t>占标率</w:t>
                  </w:r>
                </w:p>
              </w:tc>
              <w:tc>
                <w:tcPr>
                  <w:tcW w:w="1419" w:type="dxa"/>
                  <w:vAlign w:val="center"/>
                </w:tcPr>
                <w:p>
                  <w:pPr>
                    <w:jc w:val="center"/>
                    <w:rPr>
                      <w:szCs w:val="21"/>
                    </w:rPr>
                  </w:pPr>
                  <w:r>
                    <w:rPr>
                      <w:szCs w:val="21"/>
                    </w:rPr>
                    <w:t>标准限值（mg/m³）</w:t>
                  </w:r>
                </w:p>
              </w:tc>
              <w:tc>
                <w:tcPr>
                  <w:tcW w:w="1410" w:type="dxa"/>
                  <w:vAlign w:val="center"/>
                </w:tcPr>
                <w:p>
                  <w:pPr>
                    <w:jc w:val="center"/>
                    <w:rPr>
                      <w:szCs w:val="21"/>
                    </w:rPr>
                  </w:pPr>
                  <w:r>
                    <w:rPr>
                      <w:szCs w:val="21"/>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东厂界</w:t>
                  </w:r>
                </w:p>
              </w:tc>
              <w:tc>
                <w:tcPr>
                  <w:tcW w:w="1140"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p>
              </w:tc>
              <w:tc>
                <w:tcPr>
                  <w:tcW w:w="1645" w:type="dxa"/>
                  <w:vAlign w:val="center"/>
                </w:tcPr>
                <w:p>
                  <w:pPr>
                    <w:jc w:val="center"/>
                    <w:rPr>
                      <w:color w:val="FF0000"/>
                      <w:szCs w:val="21"/>
                      <w:lang w:val="en-US"/>
                    </w:rPr>
                  </w:pPr>
                  <w:r>
                    <w:rPr>
                      <w:rFonts w:hint="eastAsia"/>
                      <w:color w:val="000000" w:themeColor="text1"/>
                      <w:szCs w:val="21"/>
                      <w:lang w:val="en-US" w:eastAsia="zh-CN"/>
                      <w14:textFill>
                        <w14:solidFill>
                          <w14:schemeClr w14:val="tx1"/>
                        </w14:solidFill>
                      </w14:textFill>
                    </w:rPr>
                    <w:t>1.87E-03</w:t>
                  </w:r>
                </w:p>
              </w:tc>
              <w:tc>
                <w:tcPr>
                  <w:tcW w:w="1419" w:type="dxa"/>
                  <w:vAlign w:val="center"/>
                </w:tcPr>
                <w:p>
                  <w:pPr>
                    <w:jc w:val="center"/>
                    <w:rPr>
                      <w:rFonts w:hint="eastAsia" w:eastAsia="宋体"/>
                      <w:color w:val="FF0000"/>
                      <w:szCs w:val="21"/>
                      <w:lang w:val="en-US" w:eastAsia="zh-CN"/>
                    </w:rPr>
                  </w:pPr>
                  <w:r>
                    <w:rPr>
                      <w:rFonts w:hint="eastAsia"/>
                      <w:color w:val="000000" w:themeColor="text1"/>
                      <w:szCs w:val="21"/>
                      <w:lang w:val="en-US" w:eastAsia="zh-CN"/>
                      <w14:textFill>
                        <w14:solidFill>
                          <w14:schemeClr w14:val="tx1"/>
                        </w14:solidFill>
                      </w14:textFill>
                    </w:rPr>
                    <w:t>0.21</w:t>
                  </w:r>
                </w:p>
              </w:tc>
              <w:tc>
                <w:tcPr>
                  <w:tcW w:w="1419" w:type="dxa"/>
                  <w:vAlign w:val="center"/>
                </w:tcPr>
                <w:p>
                  <w:pPr>
                    <w:jc w:val="center"/>
                    <w:rPr>
                      <w:szCs w:val="21"/>
                    </w:rPr>
                  </w:pPr>
                  <w:r>
                    <w:rPr>
                      <w:rFonts w:hint="eastAsia"/>
                      <w:szCs w:val="21"/>
                    </w:rPr>
                    <w:t>0.45</w:t>
                  </w:r>
                </w:p>
              </w:tc>
              <w:tc>
                <w:tcPr>
                  <w:tcW w:w="1410" w:type="dxa"/>
                  <w:vAlign w:val="center"/>
                </w:tcPr>
                <w:p>
                  <w:pPr>
                    <w:jc w:val="center"/>
                    <w:rPr>
                      <w:szCs w:val="21"/>
                    </w:rPr>
                  </w:pPr>
                  <w:r>
                    <w:rPr>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西厂界</w:t>
                  </w:r>
                </w:p>
              </w:tc>
              <w:tc>
                <w:tcPr>
                  <w:tcW w:w="11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64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2.50E-03</w:t>
                  </w:r>
                </w:p>
              </w:tc>
              <w:tc>
                <w:tcPr>
                  <w:tcW w:w="1419"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0.28</w:t>
                  </w:r>
                </w:p>
              </w:tc>
              <w:tc>
                <w:tcPr>
                  <w:tcW w:w="1419" w:type="dxa"/>
                  <w:vAlign w:val="center"/>
                </w:tcPr>
                <w:p>
                  <w:pPr>
                    <w:jc w:val="center"/>
                    <w:rPr>
                      <w:szCs w:val="21"/>
                    </w:rPr>
                  </w:pPr>
                  <w:r>
                    <w:rPr>
                      <w:rFonts w:hint="eastAsia"/>
                      <w:szCs w:val="21"/>
                    </w:rPr>
                    <w:t>0.45</w:t>
                  </w:r>
                </w:p>
              </w:tc>
              <w:tc>
                <w:tcPr>
                  <w:tcW w:w="1410" w:type="dxa"/>
                  <w:vAlign w:val="center"/>
                </w:tcPr>
                <w:p>
                  <w:pPr>
                    <w:jc w:val="center"/>
                    <w:rPr>
                      <w:szCs w:val="21"/>
                    </w:rPr>
                  </w:pPr>
                  <w:r>
                    <w:rPr>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南厂界</w:t>
                  </w:r>
                </w:p>
              </w:tc>
              <w:tc>
                <w:tcPr>
                  <w:tcW w:w="1140"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64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2.50E-03</w:t>
                  </w:r>
                </w:p>
              </w:tc>
              <w:tc>
                <w:tcPr>
                  <w:tcW w:w="1419"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0.28</w:t>
                  </w:r>
                </w:p>
              </w:tc>
              <w:tc>
                <w:tcPr>
                  <w:tcW w:w="1419" w:type="dxa"/>
                  <w:vAlign w:val="center"/>
                </w:tcPr>
                <w:p>
                  <w:pPr>
                    <w:jc w:val="center"/>
                    <w:rPr>
                      <w:szCs w:val="21"/>
                    </w:rPr>
                  </w:pPr>
                  <w:r>
                    <w:rPr>
                      <w:rFonts w:hint="eastAsia"/>
                      <w:szCs w:val="21"/>
                    </w:rPr>
                    <w:t>0.45</w:t>
                  </w:r>
                </w:p>
              </w:tc>
              <w:tc>
                <w:tcPr>
                  <w:tcW w:w="1410" w:type="dxa"/>
                  <w:vAlign w:val="center"/>
                </w:tcPr>
                <w:p>
                  <w:pPr>
                    <w:jc w:val="center"/>
                    <w:rPr>
                      <w:szCs w:val="21"/>
                    </w:rPr>
                  </w:pPr>
                  <w:r>
                    <w:rPr>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2" w:type="dxa"/>
                  <w:vAlign w:val="center"/>
                </w:tcPr>
                <w:p>
                  <w:pPr>
                    <w:jc w:val="center"/>
                    <w:rPr>
                      <w:szCs w:val="21"/>
                    </w:rPr>
                  </w:pPr>
                  <w:r>
                    <w:rPr>
                      <w:szCs w:val="21"/>
                    </w:rPr>
                    <w:t>北厂界</w:t>
                  </w:r>
                </w:p>
              </w:tc>
              <w:tc>
                <w:tcPr>
                  <w:tcW w:w="1140"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1</w:t>
                  </w:r>
                </w:p>
              </w:tc>
              <w:tc>
                <w:tcPr>
                  <w:tcW w:w="1645" w:type="dxa"/>
                  <w:vAlign w:val="center"/>
                </w:tcPr>
                <w:p>
                  <w:pPr>
                    <w:jc w:val="center"/>
                    <w:rPr>
                      <w:color w:val="FF0000"/>
                      <w:szCs w:val="21"/>
                    </w:rPr>
                  </w:pPr>
                  <w:r>
                    <w:rPr>
                      <w:rFonts w:hint="eastAsia"/>
                      <w:color w:val="000000" w:themeColor="text1"/>
                      <w:szCs w:val="21"/>
                      <w:lang w:val="en-US" w:eastAsia="zh-CN"/>
                      <w14:textFill>
                        <w14:solidFill>
                          <w14:schemeClr w14:val="tx1"/>
                        </w14:solidFill>
                      </w14:textFill>
                    </w:rPr>
                    <w:t>1.87E-03</w:t>
                  </w:r>
                </w:p>
              </w:tc>
              <w:tc>
                <w:tcPr>
                  <w:tcW w:w="1419" w:type="dxa"/>
                  <w:vAlign w:val="center"/>
                </w:tcPr>
                <w:p>
                  <w:pPr>
                    <w:jc w:val="center"/>
                    <w:rPr>
                      <w:rFonts w:hint="eastAsia" w:eastAsia="宋体"/>
                      <w:color w:val="FF0000"/>
                      <w:szCs w:val="21"/>
                      <w:lang w:val="en-US" w:eastAsia="zh-CN"/>
                    </w:rPr>
                  </w:pPr>
                  <w:r>
                    <w:rPr>
                      <w:rFonts w:hint="eastAsia"/>
                      <w:color w:val="000000" w:themeColor="text1"/>
                      <w:szCs w:val="21"/>
                      <w:lang w:val="en-US" w:eastAsia="zh-CN"/>
                      <w14:textFill>
                        <w14:solidFill>
                          <w14:schemeClr w14:val="tx1"/>
                        </w14:solidFill>
                      </w14:textFill>
                    </w:rPr>
                    <w:t>0.21</w:t>
                  </w:r>
                </w:p>
              </w:tc>
              <w:tc>
                <w:tcPr>
                  <w:tcW w:w="1419" w:type="dxa"/>
                  <w:vAlign w:val="center"/>
                </w:tcPr>
                <w:p>
                  <w:pPr>
                    <w:jc w:val="center"/>
                    <w:rPr>
                      <w:szCs w:val="21"/>
                    </w:rPr>
                  </w:pPr>
                  <w:r>
                    <w:rPr>
                      <w:rFonts w:hint="eastAsia"/>
                      <w:szCs w:val="21"/>
                    </w:rPr>
                    <w:t>0.45</w:t>
                  </w:r>
                </w:p>
              </w:tc>
              <w:tc>
                <w:tcPr>
                  <w:tcW w:w="1410" w:type="dxa"/>
                  <w:vAlign w:val="center"/>
                </w:tcPr>
                <w:p>
                  <w:pPr>
                    <w:jc w:val="center"/>
                    <w:rPr>
                      <w:szCs w:val="21"/>
                    </w:rPr>
                  </w:pPr>
                  <w:r>
                    <w:rPr>
                      <w:szCs w:val="21"/>
                    </w:rPr>
                    <w:t>达标</w:t>
                  </w:r>
                </w:p>
              </w:tc>
            </w:tr>
          </w:tbl>
          <w:p>
            <w:pPr>
              <w:pStyle w:val="10"/>
              <w:spacing w:after="0" w:line="360" w:lineRule="auto"/>
              <w:ind w:left="0" w:leftChars="0" w:firstLine="480" w:firstLineChars="200"/>
              <w:rPr>
                <w:sz w:val="24"/>
                <w:szCs w:val="24"/>
              </w:rPr>
            </w:pPr>
            <w:r>
              <w:rPr>
                <w:sz w:val="24"/>
                <w:szCs w:val="24"/>
              </w:rPr>
              <w:t>由预测结果可知，项目无组织排放的颗粒物最大地面落浓度点出现在厂界外</w:t>
            </w:r>
            <w:r>
              <w:rPr>
                <w:rFonts w:hint="eastAsia"/>
                <w:sz w:val="24"/>
                <w:szCs w:val="24"/>
                <w:lang w:val="en-US" w:eastAsia="zh-CN"/>
              </w:rPr>
              <w:t>10</w:t>
            </w:r>
            <w:r>
              <w:rPr>
                <w:sz w:val="24"/>
                <w:szCs w:val="24"/>
              </w:rPr>
              <w:t>m处，最大落地浓度为</w:t>
            </w:r>
            <w:r>
              <w:rPr>
                <w:rFonts w:hint="eastAsia"/>
                <w:color w:val="000000" w:themeColor="text1"/>
                <w:szCs w:val="21"/>
                <w:lang w:val="en-US" w:eastAsia="zh-CN"/>
                <w14:textFill>
                  <w14:solidFill>
                    <w14:schemeClr w14:val="tx1"/>
                  </w14:solidFill>
                </w14:textFill>
              </w:rPr>
              <w:t>2.50E-03</w:t>
            </w:r>
            <w:r>
              <w:rPr>
                <w:color w:val="000000" w:themeColor="text1"/>
                <w:sz w:val="24"/>
                <w:szCs w:val="24"/>
                <w14:textFill>
                  <w14:solidFill>
                    <w14:schemeClr w14:val="tx1"/>
                  </w14:solidFill>
                </w14:textFill>
              </w:rPr>
              <w:t>mg/m³，占标率为</w:t>
            </w:r>
            <w:r>
              <w:rPr>
                <w:rFonts w:hint="eastAsia"/>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28</w:t>
            </w:r>
            <w:r>
              <w:rPr>
                <w:color w:val="000000" w:themeColor="text1"/>
                <w:sz w:val="24"/>
                <w:szCs w:val="24"/>
                <w14:textFill>
                  <w14:solidFill>
                    <w14:schemeClr w14:val="tx1"/>
                  </w14:solidFill>
                </w14:textFill>
              </w:rPr>
              <w:t>%</w:t>
            </w:r>
            <w:r>
              <w:rPr>
                <w:sz w:val="24"/>
                <w:szCs w:val="24"/>
              </w:rPr>
              <w:t>。</w:t>
            </w:r>
            <w:r>
              <w:rPr>
                <w:rFonts w:hint="eastAsia"/>
                <w:sz w:val="24"/>
                <w:szCs w:val="24"/>
                <w:lang w:val="en-US" w:eastAsia="zh-CN"/>
              </w:rPr>
              <w:t>为三级评价标准。</w:t>
            </w:r>
            <w:r>
              <w:rPr>
                <w:sz w:val="24"/>
                <w:szCs w:val="24"/>
              </w:rPr>
              <w:t>本项目厂界处颗粒物最大浓度预测值为</w:t>
            </w:r>
            <w:r>
              <w:rPr>
                <w:rFonts w:hint="eastAsia"/>
                <w:color w:val="000000" w:themeColor="text1"/>
                <w:szCs w:val="21"/>
                <w:lang w:val="en-US" w:eastAsia="zh-CN"/>
                <w14:textFill>
                  <w14:solidFill>
                    <w14:schemeClr w14:val="tx1"/>
                  </w14:solidFill>
                </w14:textFill>
              </w:rPr>
              <w:t>2.50E-03</w:t>
            </w:r>
            <w:r>
              <w:rPr>
                <w:color w:val="000000" w:themeColor="text1"/>
                <w:sz w:val="24"/>
                <w:szCs w:val="24"/>
                <w14:textFill>
                  <w14:solidFill>
                    <w14:schemeClr w14:val="tx1"/>
                  </w14:solidFill>
                </w14:textFill>
              </w:rPr>
              <w:t>mg/m³</w:t>
            </w:r>
            <w:r>
              <w:rPr>
                <w:sz w:val="24"/>
                <w:szCs w:val="24"/>
              </w:rPr>
              <w:t>，满足《大气污染物综合排放标准》（GB16297-1996）表2无组织排放监控浓度限值1.0mg/m³。</w:t>
            </w:r>
          </w:p>
          <w:p>
            <w:pPr>
              <w:pStyle w:val="9"/>
              <w:spacing w:line="360" w:lineRule="auto"/>
              <w:ind w:firstLine="480" w:firstLineChars="200"/>
              <w:rPr>
                <w:b w:val="0"/>
                <w:bCs w:val="0"/>
                <w:szCs w:val="24"/>
              </w:rPr>
            </w:pPr>
            <w:r>
              <w:rPr>
                <w:b w:val="0"/>
                <w:bCs w:val="0"/>
                <w:szCs w:val="24"/>
              </w:rPr>
              <w:t xml:space="preserve">a、大气防护距离 </w:t>
            </w:r>
          </w:p>
          <w:p>
            <w:pPr>
              <w:pStyle w:val="9"/>
              <w:spacing w:line="360" w:lineRule="auto"/>
              <w:ind w:firstLine="480" w:firstLineChars="200"/>
              <w:rPr>
                <w:b w:val="0"/>
                <w:bCs w:val="0"/>
                <w:snapToGrid w:val="0"/>
                <w:szCs w:val="24"/>
              </w:rPr>
            </w:pPr>
            <w:r>
              <w:rPr>
                <w:b w:val="0"/>
                <w:bCs w:val="0"/>
                <w:snapToGrid w:val="0"/>
                <w:szCs w:val="24"/>
              </w:rPr>
              <w:t>大气环境防护距离是指为保护人群健康，减少正常排放条件下大气污染物对居住区的环境影响，在项目厂界以外设置的环境防护距离。本项目的大气环境防护距离按照《环境影响评价技术导则</w:t>
            </w:r>
            <w:r>
              <w:rPr>
                <w:rFonts w:eastAsia="Times New Roman"/>
                <w:b w:val="0"/>
                <w:bCs w:val="0"/>
                <w:snapToGrid w:val="0"/>
                <w:szCs w:val="24"/>
              </w:rPr>
              <w:t>-</w:t>
            </w:r>
            <w:r>
              <w:rPr>
                <w:b w:val="0"/>
                <w:bCs w:val="0"/>
                <w:snapToGrid w:val="0"/>
                <w:szCs w:val="24"/>
              </w:rPr>
              <w:t xml:space="preserve">大气环境》 </w:t>
            </w:r>
            <w:r>
              <w:rPr>
                <w:rFonts w:eastAsia="Times New Roman"/>
                <w:b w:val="0"/>
                <w:bCs w:val="0"/>
                <w:snapToGrid w:val="0"/>
                <w:szCs w:val="24"/>
              </w:rPr>
              <w:t>HJ2.2-20</w:t>
            </w:r>
            <w:r>
              <w:rPr>
                <w:rFonts w:hint="eastAsia"/>
                <w:b w:val="0"/>
                <w:bCs w:val="0"/>
                <w:snapToGrid w:val="0"/>
                <w:szCs w:val="24"/>
              </w:rPr>
              <w:t>1</w:t>
            </w:r>
            <w:r>
              <w:rPr>
                <w:rFonts w:eastAsia="Times New Roman"/>
                <w:b w:val="0"/>
                <w:bCs w:val="0"/>
                <w:snapToGrid w:val="0"/>
                <w:szCs w:val="24"/>
              </w:rPr>
              <w:t>8</w:t>
            </w:r>
            <w:r>
              <w:rPr>
                <w:b w:val="0"/>
                <w:bCs w:val="0"/>
                <w:snapToGrid w:val="0"/>
                <w:szCs w:val="24"/>
              </w:rPr>
              <w:t>推荐的计算模式进行计算。本项目计算结果为无超标点，不需要设置大气环境防护距离。</w:t>
            </w:r>
            <w:r>
              <w:rPr>
                <w:b w:val="0"/>
                <w:bCs w:val="0"/>
                <w:szCs w:val="24"/>
              </w:rPr>
              <w:t>本项目无组织排放的</w:t>
            </w:r>
            <w:r>
              <w:rPr>
                <w:rFonts w:hint="eastAsia"/>
                <w:b w:val="0"/>
                <w:bCs w:val="0"/>
                <w:szCs w:val="24"/>
              </w:rPr>
              <w:t>颗粒物、</w:t>
            </w:r>
            <w:r>
              <w:rPr>
                <w:b w:val="0"/>
                <w:bCs w:val="0"/>
                <w:szCs w:val="24"/>
              </w:rPr>
              <w:t>非甲烷总烃不会对周围敏感点造成影响。</w:t>
            </w:r>
          </w:p>
          <w:p>
            <w:pPr>
              <w:pStyle w:val="9"/>
              <w:spacing w:line="360" w:lineRule="auto"/>
              <w:ind w:firstLine="480" w:firstLineChars="200"/>
              <w:rPr>
                <w:szCs w:val="24"/>
              </w:rPr>
            </w:pPr>
            <w:r>
              <w:rPr>
                <w:b w:val="0"/>
                <w:bCs w:val="0"/>
                <w:szCs w:val="24"/>
              </w:rPr>
              <w:t>b、卫生防护距离</w:t>
            </w:r>
            <w:r>
              <w:rPr>
                <w:szCs w:val="24"/>
              </w:rPr>
              <w:t xml:space="preserve"> </w:t>
            </w:r>
          </w:p>
          <w:p>
            <w:pPr>
              <w:spacing w:line="360" w:lineRule="auto"/>
              <w:ind w:firstLine="480" w:firstLineChars="200"/>
              <w:rPr>
                <w:sz w:val="24"/>
              </w:rPr>
            </w:pPr>
            <w:r>
              <w:rPr>
                <w:sz w:val="24"/>
              </w:rPr>
              <w:t>根据《制定地方大气污染物排放标准的技术方法》（GB/T13201-91），以颗粒物、非甲烷总烃作为评价因子，工业企业的卫生防护距离计算如下：</w:t>
            </w:r>
          </w:p>
          <w:p>
            <w:pPr>
              <w:spacing w:line="360" w:lineRule="auto"/>
              <w:jc w:val="center"/>
            </w:pPr>
            <w:r>
              <w:rPr>
                <w:position w:val="-30"/>
              </w:rPr>
              <w:drawing>
                <wp:inline distT="0" distB="0" distL="114300" distR="114300">
                  <wp:extent cx="1714500" cy="431800"/>
                  <wp:effectExtent l="0" t="0" r="0" b="571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6"/>
                          <a:stretch>
                            <a:fillRect/>
                          </a:stretch>
                        </pic:blipFill>
                        <pic:spPr>
                          <a:xfrm>
                            <a:off x="0" y="0"/>
                            <a:ext cx="1714500" cy="431800"/>
                          </a:xfrm>
                          <a:prstGeom prst="rect">
                            <a:avLst/>
                          </a:prstGeom>
                          <a:noFill/>
                          <a:ln w="9525">
                            <a:noFill/>
                          </a:ln>
                        </pic:spPr>
                      </pic:pic>
                    </a:graphicData>
                  </a:graphic>
                </wp:inline>
              </w:drawing>
            </w:r>
          </w:p>
          <w:p>
            <w:pPr>
              <w:spacing w:line="360" w:lineRule="auto"/>
              <w:ind w:firstLine="480" w:firstLineChars="200"/>
              <w:rPr>
                <w:sz w:val="24"/>
              </w:rPr>
            </w:pPr>
            <w:r>
              <w:rPr>
                <w:sz w:val="24"/>
              </w:rPr>
              <w:t>C</w:t>
            </w:r>
            <w:r>
              <w:rPr>
                <w:sz w:val="24"/>
                <w:vertAlign w:val="subscript"/>
              </w:rPr>
              <w:t>m</w:t>
            </w:r>
            <w:r>
              <w:rPr>
                <w:sz w:val="24"/>
              </w:rPr>
              <w:t>—标准浓度限值，mg/m</w:t>
            </w:r>
            <w:r>
              <w:rPr>
                <w:sz w:val="24"/>
                <w:vertAlign w:val="superscript"/>
              </w:rPr>
              <w:t>3</w:t>
            </w:r>
            <w:r>
              <w:rPr>
                <w:sz w:val="24"/>
              </w:rPr>
              <w:t>；</w:t>
            </w:r>
          </w:p>
          <w:p>
            <w:pPr>
              <w:spacing w:line="360" w:lineRule="auto"/>
              <w:ind w:firstLine="480" w:firstLineChars="200"/>
              <w:rPr>
                <w:sz w:val="24"/>
              </w:rPr>
            </w:pPr>
            <w:r>
              <w:rPr>
                <w:sz w:val="24"/>
              </w:rPr>
              <w:t>L—工业企业所需卫生防护距离，m；</w:t>
            </w:r>
          </w:p>
          <w:p>
            <w:pPr>
              <w:spacing w:line="360" w:lineRule="auto"/>
              <w:ind w:firstLine="480" w:firstLineChars="200"/>
              <w:rPr>
                <w:sz w:val="24"/>
              </w:rPr>
            </w:pPr>
            <w:r>
              <w:rPr>
                <w:sz w:val="24"/>
              </w:rPr>
              <w:t>r—有害气体无组织排放源所在生产单元的等效半径，m。根据该生产单元占地面积S(m</w:t>
            </w:r>
            <w:r>
              <w:rPr>
                <w:sz w:val="24"/>
                <w:vertAlign w:val="superscript"/>
              </w:rPr>
              <w:t>2</w:t>
            </w:r>
            <w:r>
              <w:rPr>
                <w:sz w:val="24"/>
              </w:rPr>
              <w:t>)计算，r=（S/π）</w:t>
            </w:r>
            <w:r>
              <w:rPr>
                <w:sz w:val="24"/>
                <w:vertAlign w:val="superscript"/>
              </w:rPr>
              <w:t>0.5</w:t>
            </w:r>
            <w:r>
              <w:rPr>
                <w:sz w:val="24"/>
              </w:rPr>
              <w:t>；</w:t>
            </w:r>
          </w:p>
          <w:p>
            <w:pPr>
              <w:spacing w:line="360" w:lineRule="auto"/>
              <w:ind w:firstLine="480" w:firstLineChars="200"/>
              <w:rPr>
                <w:sz w:val="24"/>
              </w:rPr>
            </w:pPr>
            <w:r>
              <w:rPr>
                <w:sz w:val="24"/>
              </w:rPr>
              <w:t>A、B、C、D——卫生防护距离计算系数，无因次，根据工业企业所在地区近五年平均风速及工业企业大气污染源构成类别从下表查取。</w:t>
            </w:r>
          </w:p>
          <w:p>
            <w:pPr>
              <w:spacing w:line="360" w:lineRule="auto"/>
              <w:ind w:firstLine="480" w:firstLineChars="200"/>
              <w:rPr>
                <w:sz w:val="24"/>
              </w:rPr>
            </w:pPr>
            <w:r>
              <w:rPr>
                <w:sz w:val="24"/>
              </w:rPr>
              <w:t>Qc——工业企业有害气体无组织排放量可以达到的控制水平，kg·h</w:t>
            </w:r>
            <w:r>
              <w:rPr>
                <w:sz w:val="24"/>
                <w:vertAlign w:val="superscript"/>
              </w:rPr>
              <w:t>-1</w:t>
            </w:r>
            <w:r>
              <w:rPr>
                <w:sz w:val="24"/>
              </w:rPr>
              <w:t>。</w:t>
            </w:r>
          </w:p>
          <w:p>
            <w:pPr>
              <w:spacing w:line="360" w:lineRule="auto"/>
              <w:ind w:firstLine="480" w:firstLineChars="200"/>
              <w:rPr>
                <w:rFonts w:eastAsia="黑体"/>
                <w:sz w:val="24"/>
              </w:rPr>
            </w:pPr>
            <w:r>
              <w:rPr>
                <w:sz w:val="24"/>
              </w:rPr>
              <w:t>根据工程分析，厂区平面布置、当地气象资料及环境质量标准限值，确定本项目卫生防护距离计算所需具体参数数值及计算结果，见表</w:t>
            </w:r>
            <w:r>
              <w:rPr>
                <w:rFonts w:hint="eastAsia"/>
                <w:sz w:val="24"/>
              </w:rPr>
              <w:t>2</w:t>
            </w:r>
            <w:r>
              <w:rPr>
                <w:rFonts w:hint="eastAsia"/>
                <w:sz w:val="24"/>
                <w:lang w:val="en-US" w:eastAsia="zh-CN"/>
              </w:rPr>
              <w:t>8</w:t>
            </w:r>
            <w:r>
              <w:rPr>
                <w:sz w:val="24"/>
              </w:rPr>
              <w:t>。</w:t>
            </w:r>
          </w:p>
          <w:p>
            <w:pPr>
              <w:jc w:val="center"/>
              <w:rPr>
                <w:rFonts w:eastAsia="黑体"/>
                <w:sz w:val="24"/>
              </w:rPr>
            </w:pPr>
            <w:r>
              <w:rPr>
                <w:rFonts w:eastAsia="黑体"/>
                <w:sz w:val="24"/>
              </w:rPr>
              <w:t>表</w:t>
            </w:r>
            <w:r>
              <w:rPr>
                <w:rFonts w:hint="eastAsia" w:eastAsia="黑体"/>
                <w:sz w:val="24"/>
              </w:rPr>
              <w:t>2</w:t>
            </w:r>
            <w:r>
              <w:rPr>
                <w:rFonts w:hint="eastAsia" w:eastAsia="黑体"/>
                <w:sz w:val="24"/>
                <w:lang w:val="en-US" w:eastAsia="zh-CN"/>
              </w:rPr>
              <w:t>8</w:t>
            </w:r>
            <w:r>
              <w:rPr>
                <w:rFonts w:eastAsia="黑体"/>
                <w:sz w:val="24"/>
              </w:rPr>
              <w:t xml:space="preserve">  卫生防护距离计算参数一览表</w:t>
            </w:r>
          </w:p>
          <w:tbl>
            <w:tblPr>
              <w:tblStyle w:val="23"/>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679"/>
              <w:gridCol w:w="1031"/>
              <w:gridCol w:w="581"/>
              <w:gridCol w:w="570"/>
              <w:gridCol w:w="690"/>
              <w:gridCol w:w="593"/>
              <w:gridCol w:w="630"/>
              <w:gridCol w:w="1140"/>
              <w:gridCol w:w="810"/>
              <w:gridCol w:w="9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restart"/>
                  <w:vAlign w:val="center"/>
                </w:tcPr>
                <w:p>
                  <w:pPr>
                    <w:jc w:val="center"/>
                    <w:rPr>
                      <w:szCs w:val="21"/>
                    </w:rPr>
                  </w:pPr>
                  <w:r>
                    <w:rPr>
                      <w:szCs w:val="21"/>
                    </w:rPr>
                    <w:t>污染源</w:t>
                  </w:r>
                </w:p>
              </w:tc>
              <w:tc>
                <w:tcPr>
                  <w:tcW w:w="679" w:type="dxa"/>
                  <w:vMerge w:val="restart"/>
                  <w:vAlign w:val="center"/>
                </w:tcPr>
                <w:p>
                  <w:pPr>
                    <w:jc w:val="center"/>
                    <w:rPr>
                      <w:szCs w:val="21"/>
                    </w:rPr>
                  </w:pPr>
                  <w:r>
                    <w:rPr>
                      <w:szCs w:val="21"/>
                    </w:rPr>
                    <w:t>有害气体名称</w:t>
                  </w:r>
                </w:p>
              </w:tc>
              <w:tc>
                <w:tcPr>
                  <w:tcW w:w="1031" w:type="dxa"/>
                  <w:vMerge w:val="restart"/>
                  <w:vAlign w:val="center"/>
                </w:tcPr>
                <w:p>
                  <w:pPr>
                    <w:jc w:val="center"/>
                    <w:rPr>
                      <w:szCs w:val="21"/>
                    </w:rPr>
                  </w:pPr>
                  <w:r>
                    <w:rPr>
                      <w:szCs w:val="21"/>
                    </w:rPr>
                    <w:t>无组织排放量Q</w:t>
                  </w:r>
                  <w:r>
                    <w:rPr>
                      <w:szCs w:val="21"/>
                      <w:vertAlign w:val="subscript"/>
                    </w:rPr>
                    <w:t>c</w:t>
                  </w:r>
                  <w:r>
                    <w:rPr>
                      <w:szCs w:val="21"/>
                    </w:rPr>
                    <w:t>（kg/h）</w:t>
                  </w:r>
                </w:p>
              </w:tc>
              <w:tc>
                <w:tcPr>
                  <w:tcW w:w="3064" w:type="dxa"/>
                  <w:gridSpan w:val="5"/>
                  <w:vAlign w:val="center"/>
                </w:tcPr>
                <w:p>
                  <w:pPr>
                    <w:jc w:val="center"/>
                    <w:rPr>
                      <w:szCs w:val="21"/>
                    </w:rPr>
                  </w:pPr>
                  <w:r>
                    <w:rPr>
                      <w:szCs w:val="21"/>
                    </w:rPr>
                    <w:t>参数值</w:t>
                  </w:r>
                </w:p>
              </w:tc>
              <w:tc>
                <w:tcPr>
                  <w:tcW w:w="1140" w:type="dxa"/>
                  <w:vMerge w:val="restart"/>
                  <w:vAlign w:val="center"/>
                </w:tcPr>
                <w:p>
                  <w:pPr>
                    <w:jc w:val="center"/>
                    <w:rPr>
                      <w:szCs w:val="21"/>
                    </w:rPr>
                  </w:pPr>
                  <w:r>
                    <w:rPr>
                      <w:szCs w:val="21"/>
                    </w:rPr>
                    <w:t>标准值C</w:t>
                  </w:r>
                  <w:r>
                    <w:rPr>
                      <w:szCs w:val="21"/>
                      <w:vertAlign w:val="subscript"/>
                    </w:rPr>
                    <w:t>m</w:t>
                  </w:r>
                  <w:r>
                    <w:rPr>
                      <w:szCs w:val="21"/>
                    </w:rPr>
                    <w:t>（</w:t>
                  </w:r>
                  <w:r>
                    <w:t>mg/m</w:t>
                  </w:r>
                  <w:r>
                    <w:rPr>
                      <w:vertAlign w:val="superscript"/>
                    </w:rPr>
                    <w:t>3</w:t>
                  </w:r>
                  <w:r>
                    <w:rPr>
                      <w:szCs w:val="21"/>
                    </w:rPr>
                    <w:t>）</w:t>
                  </w:r>
                </w:p>
              </w:tc>
              <w:tc>
                <w:tcPr>
                  <w:tcW w:w="810" w:type="dxa"/>
                  <w:vMerge w:val="restart"/>
                  <w:vAlign w:val="center"/>
                </w:tcPr>
                <w:p>
                  <w:pPr>
                    <w:jc w:val="center"/>
                    <w:rPr>
                      <w:szCs w:val="21"/>
                    </w:rPr>
                  </w:pPr>
                  <w:r>
                    <w:rPr>
                      <w:szCs w:val="21"/>
                    </w:rPr>
                    <w:t>计算结果</w:t>
                  </w:r>
                </w:p>
                <w:p>
                  <w:pPr>
                    <w:jc w:val="center"/>
                    <w:rPr>
                      <w:szCs w:val="21"/>
                    </w:rPr>
                  </w:pPr>
                  <w:r>
                    <w:rPr>
                      <w:szCs w:val="21"/>
                    </w:rPr>
                    <w:t>（m）</w:t>
                  </w:r>
                </w:p>
              </w:tc>
              <w:tc>
                <w:tcPr>
                  <w:tcW w:w="943" w:type="dxa"/>
                  <w:vMerge w:val="restart"/>
                  <w:vAlign w:val="center"/>
                </w:tcPr>
                <w:p>
                  <w:pPr>
                    <w:jc w:val="center"/>
                    <w:rPr>
                      <w:szCs w:val="21"/>
                    </w:rPr>
                  </w:pPr>
                  <w:r>
                    <w:rPr>
                      <w:szCs w:val="21"/>
                    </w:rPr>
                    <w:t>卫生防护距离</w:t>
                  </w:r>
                </w:p>
                <w:p>
                  <w:pPr>
                    <w:jc w:val="center"/>
                    <w:rPr>
                      <w:szCs w:val="21"/>
                    </w:rPr>
                  </w:pPr>
                  <w:r>
                    <w:rPr>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vAlign w:val="center"/>
                </w:tcPr>
                <w:p>
                  <w:pPr>
                    <w:jc w:val="center"/>
                    <w:rPr>
                      <w:szCs w:val="21"/>
                    </w:rPr>
                  </w:pPr>
                </w:p>
              </w:tc>
              <w:tc>
                <w:tcPr>
                  <w:tcW w:w="679" w:type="dxa"/>
                  <w:vMerge w:val="continue"/>
                  <w:vAlign w:val="center"/>
                </w:tcPr>
                <w:p>
                  <w:pPr>
                    <w:jc w:val="center"/>
                    <w:rPr>
                      <w:szCs w:val="21"/>
                    </w:rPr>
                  </w:pPr>
                </w:p>
              </w:tc>
              <w:tc>
                <w:tcPr>
                  <w:tcW w:w="1031" w:type="dxa"/>
                  <w:vMerge w:val="continue"/>
                  <w:vAlign w:val="center"/>
                </w:tcPr>
                <w:p>
                  <w:pPr>
                    <w:jc w:val="center"/>
                    <w:rPr>
                      <w:szCs w:val="21"/>
                    </w:rPr>
                  </w:pPr>
                </w:p>
              </w:tc>
              <w:tc>
                <w:tcPr>
                  <w:tcW w:w="581" w:type="dxa"/>
                  <w:vAlign w:val="center"/>
                </w:tcPr>
                <w:p>
                  <w:pPr>
                    <w:jc w:val="center"/>
                    <w:rPr>
                      <w:szCs w:val="21"/>
                    </w:rPr>
                  </w:pPr>
                  <w:r>
                    <w:rPr>
                      <w:szCs w:val="21"/>
                    </w:rPr>
                    <w:t>S</w:t>
                  </w:r>
                </w:p>
              </w:tc>
              <w:tc>
                <w:tcPr>
                  <w:tcW w:w="570" w:type="dxa"/>
                  <w:vAlign w:val="center"/>
                </w:tcPr>
                <w:p>
                  <w:pPr>
                    <w:jc w:val="center"/>
                    <w:rPr>
                      <w:szCs w:val="21"/>
                    </w:rPr>
                  </w:pPr>
                  <w:r>
                    <w:rPr>
                      <w:szCs w:val="21"/>
                    </w:rPr>
                    <w:t>A</w:t>
                  </w:r>
                </w:p>
              </w:tc>
              <w:tc>
                <w:tcPr>
                  <w:tcW w:w="690" w:type="dxa"/>
                  <w:vAlign w:val="center"/>
                </w:tcPr>
                <w:p>
                  <w:pPr>
                    <w:jc w:val="center"/>
                    <w:rPr>
                      <w:szCs w:val="21"/>
                    </w:rPr>
                  </w:pPr>
                  <w:r>
                    <w:rPr>
                      <w:szCs w:val="21"/>
                    </w:rPr>
                    <w:t>B</w:t>
                  </w:r>
                </w:p>
              </w:tc>
              <w:tc>
                <w:tcPr>
                  <w:tcW w:w="593" w:type="dxa"/>
                  <w:vAlign w:val="center"/>
                </w:tcPr>
                <w:p>
                  <w:pPr>
                    <w:jc w:val="center"/>
                    <w:rPr>
                      <w:szCs w:val="21"/>
                    </w:rPr>
                  </w:pPr>
                  <w:r>
                    <w:rPr>
                      <w:szCs w:val="21"/>
                    </w:rPr>
                    <w:t>C</w:t>
                  </w:r>
                </w:p>
              </w:tc>
              <w:tc>
                <w:tcPr>
                  <w:tcW w:w="630" w:type="dxa"/>
                  <w:vAlign w:val="center"/>
                </w:tcPr>
                <w:p>
                  <w:pPr>
                    <w:jc w:val="center"/>
                    <w:rPr>
                      <w:szCs w:val="21"/>
                    </w:rPr>
                  </w:pPr>
                  <w:r>
                    <w:rPr>
                      <w:szCs w:val="21"/>
                    </w:rPr>
                    <w:t>D</w:t>
                  </w:r>
                </w:p>
              </w:tc>
              <w:tc>
                <w:tcPr>
                  <w:tcW w:w="1140" w:type="dxa"/>
                  <w:vMerge w:val="continue"/>
                  <w:vAlign w:val="center"/>
                </w:tcPr>
                <w:p>
                  <w:pPr>
                    <w:jc w:val="center"/>
                    <w:rPr>
                      <w:szCs w:val="21"/>
                    </w:rPr>
                  </w:pPr>
                </w:p>
              </w:tc>
              <w:tc>
                <w:tcPr>
                  <w:tcW w:w="810" w:type="dxa"/>
                  <w:vMerge w:val="continue"/>
                  <w:vAlign w:val="center"/>
                </w:tcPr>
                <w:p>
                  <w:pPr>
                    <w:jc w:val="center"/>
                    <w:rPr>
                      <w:szCs w:val="21"/>
                    </w:rPr>
                  </w:pPr>
                </w:p>
              </w:tc>
              <w:tc>
                <w:tcPr>
                  <w:tcW w:w="943" w:type="dxa"/>
                  <w:vMerge w:val="continue"/>
                  <w:vAlign w:val="center"/>
                </w:tcPr>
                <w:p>
                  <w:pPr>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7" w:type="dxa"/>
                  <w:vAlign w:val="center"/>
                </w:tcPr>
                <w:p>
                  <w:pPr>
                    <w:widowControl/>
                    <w:jc w:val="center"/>
                    <w:rPr>
                      <w:rFonts w:hint="eastAsia" w:eastAsia="宋体"/>
                      <w:szCs w:val="21"/>
                      <w:lang w:eastAsia="zh-CN"/>
                    </w:rPr>
                  </w:pPr>
                  <w:r>
                    <w:rPr>
                      <w:rFonts w:hint="eastAsia"/>
                      <w:szCs w:val="21"/>
                    </w:rPr>
                    <w:t>注塑、吹塑</w:t>
                  </w:r>
                </w:p>
              </w:tc>
              <w:tc>
                <w:tcPr>
                  <w:tcW w:w="679" w:type="dxa"/>
                  <w:vAlign w:val="center"/>
                </w:tcPr>
                <w:p>
                  <w:pPr>
                    <w:jc w:val="center"/>
                    <w:rPr>
                      <w:szCs w:val="21"/>
                    </w:rPr>
                  </w:pPr>
                  <w:r>
                    <w:rPr>
                      <w:rFonts w:hint="eastAsia"/>
                      <w:szCs w:val="21"/>
                    </w:rPr>
                    <w:t>非甲烷总烃</w:t>
                  </w:r>
                </w:p>
              </w:tc>
              <w:tc>
                <w:tcPr>
                  <w:tcW w:w="1031" w:type="dxa"/>
                  <w:vAlign w:val="center"/>
                </w:tcPr>
                <w:p>
                  <w:pPr>
                    <w:jc w:val="center"/>
                    <w:rPr>
                      <w:color w:val="FF0000"/>
                      <w:szCs w:val="21"/>
                    </w:rPr>
                  </w:pPr>
                  <w:r>
                    <w:rPr>
                      <w:rFonts w:hint="eastAsia"/>
                      <w:color w:val="000000" w:themeColor="text1"/>
                      <w:szCs w:val="21"/>
                      <w:lang w:val="en-US" w:eastAsia="zh-CN"/>
                      <w14:textFill>
                        <w14:solidFill>
                          <w14:schemeClr w14:val="tx1"/>
                        </w14:solidFill>
                      </w14:textFill>
                    </w:rPr>
                    <w:t>0.000933</w:t>
                  </w:r>
                </w:p>
              </w:tc>
              <w:tc>
                <w:tcPr>
                  <w:tcW w:w="581" w:type="dxa"/>
                  <w:vAlign w:val="center"/>
                </w:tcPr>
                <w:p>
                  <w:pPr>
                    <w:jc w:val="center"/>
                    <w:rPr>
                      <w:szCs w:val="21"/>
                    </w:rPr>
                  </w:pPr>
                  <w:r>
                    <w:rPr>
                      <w:rFonts w:hint="eastAsia"/>
                      <w:szCs w:val="21"/>
                    </w:rPr>
                    <w:t>400</w:t>
                  </w:r>
                </w:p>
              </w:tc>
              <w:tc>
                <w:tcPr>
                  <w:tcW w:w="570" w:type="dxa"/>
                  <w:vAlign w:val="center"/>
                </w:tcPr>
                <w:p>
                  <w:pPr>
                    <w:jc w:val="center"/>
                    <w:rPr>
                      <w:szCs w:val="21"/>
                    </w:rPr>
                  </w:pPr>
                  <w:r>
                    <w:rPr>
                      <w:szCs w:val="21"/>
                    </w:rPr>
                    <w:t>470</w:t>
                  </w:r>
                </w:p>
              </w:tc>
              <w:tc>
                <w:tcPr>
                  <w:tcW w:w="690" w:type="dxa"/>
                  <w:vAlign w:val="center"/>
                </w:tcPr>
                <w:p>
                  <w:pPr>
                    <w:jc w:val="center"/>
                    <w:rPr>
                      <w:szCs w:val="21"/>
                    </w:rPr>
                  </w:pPr>
                  <w:r>
                    <w:rPr>
                      <w:szCs w:val="21"/>
                    </w:rPr>
                    <w:t>0.021</w:t>
                  </w:r>
                </w:p>
              </w:tc>
              <w:tc>
                <w:tcPr>
                  <w:tcW w:w="593" w:type="dxa"/>
                  <w:vAlign w:val="center"/>
                </w:tcPr>
                <w:p>
                  <w:pPr>
                    <w:jc w:val="center"/>
                    <w:rPr>
                      <w:szCs w:val="21"/>
                    </w:rPr>
                  </w:pPr>
                  <w:r>
                    <w:rPr>
                      <w:szCs w:val="21"/>
                    </w:rPr>
                    <w:t>1.85</w:t>
                  </w:r>
                </w:p>
              </w:tc>
              <w:tc>
                <w:tcPr>
                  <w:tcW w:w="630" w:type="dxa"/>
                  <w:vAlign w:val="center"/>
                </w:tcPr>
                <w:p>
                  <w:pPr>
                    <w:jc w:val="center"/>
                    <w:rPr>
                      <w:szCs w:val="21"/>
                    </w:rPr>
                  </w:pPr>
                  <w:r>
                    <w:rPr>
                      <w:szCs w:val="21"/>
                    </w:rPr>
                    <w:t>0.84</w:t>
                  </w:r>
                </w:p>
              </w:tc>
              <w:tc>
                <w:tcPr>
                  <w:tcW w:w="1140" w:type="dxa"/>
                  <w:vAlign w:val="center"/>
                </w:tcPr>
                <w:p>
                  <w:pPr>
                    <w:jc w:val="center"/>
                    <w:rPr>
                      <w:szCs w:val="21"/>
                    </w:rPr>
                  </w:pPr>
                  <w:r>
                    <w:rPr>
                      <w:rFonts w:hint="eastAsia"/>
                      <w:szCs w:val="21"/>
                    </w:rPr>
                    <w:t>1.2</w:t>
                  </w:r>
                </w:p>
              </w:tc>
              <w:tc>
                <w:tcPr>
                  <w:tcW w:w="810"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0.038</w:t>
                  </w:r>
                </w:p>
              </w:tc>
              <w:tc>
                <w:tcPr>
                  <w:tcW w:w="943" w:type="dxa"/>
                  <w:vAlign w:val="center"/>
                </w:tcPr>
                <w:p>
                  <w:pPr>
                    <w:jc w:val="center"/>
                    <w:rPr>
                      <w:szCs w:val="21"/>
                    </w:rPr>
                  </w:pPr>
                  <w:r>
                    <w:rPr>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7" w:type="dxa"/>
                  <w:vAlign w:val="center"/>
                </w:tcPr>
                <w:p>
                  <w:pPr>
                    <w:widowControl/>
                    <w:jc w:val="center"/>
                    <w:rPr>
                      <w:rFonts w:hint="eastAsia" w:eastAsia="宋体"/>
                      <w:szCs w:val="21"/>
                      <w:lang w:eastAsia="zh-CN"/>
                    </w:rPr>
                  </w:pPr>
                  <w:r>
                    <w:rPr>
                      <w:rFonts w:hint="eastAsia"/>
                      <w:szCs w:val="21"/>
                    </w:rPr>
                    <w:t>破碎</w:t>
                  </w:r>
                </w:p>
              </w:tc>
              <w:tc>
                <w:tcPr>
                  <w:tcW w:w="679" w:type="dxa"/>
                  <w:vAlign w:val="center"/>
                </w:tcPr>
                <w:p>
                  <w:pPr>
                    <w:jc w:val="center"/>
                    <w:rPr>
                      <w:szCs w:val="21"/>
                    </w:rPr>
                  </w:pPr>
                  <w:r>
                    <w:rPr>
                      <w:rFonts w:hint="eastAsia"/>
                      <w:szCs w:val="21"/>
                    </w:rPr>
                    <w:t>颗粒物</w:t>
                  </w:r>
                </w:p>
              </w:tc>
              <w:tc>
                <w:tcPr>
                  <w:tcW w:w="1031" w:type="dxa"/>
                  <w:vAlign w:val="center"/>
                </w:tcPr>
                <w:p>
                  <w:pPr>
                    <w:jc w:val="center"/>
                    <w:rPr>
                      <w:color w:val="FF0000"/>
                      <w:szCs w:val="21"/>
                    </w:rPr>
                  </w:pPr>
                  <w:r>
                    <w:rPr>
                      <w:rFonts w:hint="eastAsia"/>
                      <w:color w:val="000000" w:themeColor="text1"/>
                      <w:szCs w:val="21"/>
                      <w14:textFill>
                        <w14:solidFill>
                          <w14:schemeClr w14:val="tx1"/>
                        </w14:solidFill>
                      </w14:textFill>
                    </w:rPr>
                    <w:t>0.000</w:t>
                  </w:r>
                  <w:r>
                    <w:rPr>
                      <w:rFonts w:hint="eastAsia"/>
                      <w:color w:val="000000" w:themeColor="text1"/>
                      <w:szCs w:val="21"/>
                      <w:lang w:val="en-US" w:eastAsia="zh-CN"/>
                      <w14:textFill>
                        <w14:solidFill>
                          <w14:schemeClr w14:val="tx1"/>
                        </w14:solidFill>
                      </w14:textFill>
                    </w:rPr>
                    <w:t>267</w:t>
                  </w:r>
                </w:p>
              </w:tc>
              <w:tc>
                <w:tcPr>
                  <w:tcW w:w="581" w:type="dxa"/>
                  <w:vAlign w:val="center"/>
                </w:tcPr>
                <w:p>
                  <w:pPr>
                    <w:jc w:val="center"/>
                    <w:rPr>
                      <w:szCs w:val="21"/>
                    </w:rPr>
                  </w:pPr>
                  <w:r>
                    <w:rPr>
                      <w:rFonts w:hint="eastAsia"/>
                      <w:szCs w:val="21"/>
                    </w:rPr>
                    <w:t>400</w:t>
                  </w:r>
                </w:p>
              </w:tc>
              <w:tc>
                <w:tcPr>
                  <w:tcW w:w="570" w:type="dxa"/>
                  <w:vAlign w:val="center"/>
                </w:tcPr>
                <w:p>
                  <w:pPr>
                    <w:jc w:val="center"/>
                    <w:rPr>
                      <w:szCs w:val="21"/>
                    </w:rPr>
                  </w:pPr>
                  <w:r>
                    <w:rPr>
                      <w:szCs w:val="21"/>
                    </w:rPr>
                    <w:t>470</w:t>
                  </w:r>
                </w:p>
              </w:tc>
              <w:tc>
                <w:tcPr>
                  <w:tcW w:w="690" w:type="dxa"/>
                  <w:vAlign w:val="center"/>
                </w:tcPr>
                <w:p>
                  <w:pPr>
                    <w:jc w:val="center"/>
                    <w:rPr>
                      <w:szCs w:val="21"/>
                    </w:rPr>
                  </w:pPr>
                  <w:r>
                    <w:rPr>
                      <w:szCs w:val="21"/>
                    </w:rPr>
                    <w:t>0.021</w:t>
                  </w:r>
                </w:p>
              </w:tc>
              <w:tc>
                <w:tcPr>
                  <w:tcW w:w="593" w:type="dxa"/>
                  <w:vAlign w:val="center"/>
                </w:tcPr>
                <w:p>
                  <w:pPr>
                    <w:jc w:val="center"/>
                    <w:rPr>
                      <w:szCs w:val="21"/>
                    </w:rPr>
                  </w:pPr>
                  <w:r>
                    <w:rPr>
                      <w:szCs w:val="21"/>
                    </w:rPr>
                    <w:t>1.85</w:t>
                  </w:r>
                </w:p>
              </w:tc>
              <w:tc>
                <w:tcPr>
                  <w:tcW w:w="630" w:type="dxa"/>
                  <w:vAlign w:val="center"/>
                </w:tcPr>
                <w:p>
                  <w:pPr>
                    <w:jc w:val="center"/>
                    <w:rPr>
                      <w:szCs w:val="21"/>
                    </w:rPr>
                  </w:pPr>
                  <w:r>
                    <w:rPr>
                      <w:szCs w:val="21"/>
                    </w:rPr>
                    <w:t>0.84</w:t>
                  </w:r>
                </w:p>
              </w:tc>
              <w:tc>
                <w:tcPr>
                  <w:tcW w:w="1140" w:type="dxa"/>
                  <w:vAlign w:val="center"/>
                </w:tcPr>
                <w:p>
                  <w:pPr>
                    <w:jc w:val="center"/>
                    <w:rPr>
                      <w:szCs w:val="21"/>
                    </w:rPr>
                  </w:pPr>
                  <w:r>
                    <w:rPr>
                      <w:rFonts w:hint="eastAsia"/>
                      <w:szCs w:val="21"/>
                    </w:rPr>
                    <w:t>0.45</w:t>
                  </w:r>
                </w:p>
              </w:tc>
              <w:tc>
                <w:tcPr>
                  <w:tcW w:w="810"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0.028</w:t>
                  </w:r>
                </w:p>
              </w:tc>
              <w:tc>
                <w:tcPr>
                  <w:tcW w:w="943" w:type="dxa"/>
                  <w:vAlign w:val="center"/>
                </w:tcPr>
                <w:p>
                  <w:pPr>
                    <w:jc w:val="center"/>
                    <w:rPr>
                      <w:szCs w:val="21"/>
                    </w:rPr>
                  </w:pPr>
                  <w:r>
                    <w:rPr>
                      <w:rFonts w:hint="eastAsia"/>
                      <w:szCs w:val="21"/>
                    </w:rPr>
                    <w:t>50</w:t>
                  </w:r>
                </w:p>
              </w:tc>
            </w:tr>
          </w:tbl>
          <w:p>
            <w:pPr>
              <w:spacing w:line="360" w:lineRule="auto"/>
              <w:ind w:firstLine="480" w:firstLineChars="200"/>
              <w:rPr>
                <w:b/>
              </w:rPr>
            </w:pPr>
            <w:r>
              <w:rPr>
                <w:snapToGrid w:val="0"/>
                <w:kern w:val="0"/>
                <w:sz w:val="24"/>
              </w:rPr>
              <w:t>由表</w:t>
            </w:r>
            <w:r>
              <w:rPr>
                <w:rFonts w:hint="eastAsia"/>
                <w:snapToGrid w:val="0"/>
                <w:kern w:val="0"/>
                <w:sz w:val="24"/>
              </w:rPr>
              <w:t>27</w:t>
            </w:r>
            <w:r>
              <w:rPr>
                <w:snapToGrid w:val="0"/>
                <w:kern w:val="0"/>
                <w:sz w:val="24"/>
              </w:rPr>
              <w:t>可知，项目应设卫生防护距离为</w:t>
            </w:r>
            <w:r>
              <w:rPr>
                <w:rFonts w:hint="eastAsia"/>
                <w:snapToGrid w:val="0"/>
                <w:color w:val="000000" w:themeColor="text1"/>
                <w:kern w:val="0"/>
                <w:sz w:val="24"/>
                <w14:textFill>
                  <w14:solidFill>
                    <w14:schemeClr w14:val="tx1"/>
                  </w14:solidFill>
                </w14:textFill>
              </w:rPr>
              <w:t>100</w:t>
            </w:r>
            <w:r>
              <w:rPr>
                <w:rFonts w:eastAsia="Times New Roman"/>
                <w:snapToGrid w:val="0"/>
                <w:kern w:val="0"/>
                <w:sz w:val="24"/>
              </w:rPr>
              <w:t>m</w:t>
            </w:r>
            <w:r>
              <w:rPr>
                <w:snapToGrid w:val="0"/>
                <w:kern w:val="0"/>
                <w:sz w:val="24"/>
              </w:rPr>
              <w:t>。项目卫生防护距离包络图具体见</w:t>
            </w:r>
            <w:r>
              <w:rPr>
                <w:rFonts w:hint="eastAsia"/>
                <w:snapToGrid w:val="0"/>
                <w:kern w:val="0"/>
                <w:sz w:val="24"/>
              </w:rPr>
              <w:t>附图四</w:t>
            </w:r>
            <w:r>
              <w:rPr>
                <w:snapToGrid w:val="0"/>
                <w:kern w:val="0"/>
                <w:sz w:val="24"/>
              </w:rPr>
              <w:t>。本项目卫生防护距离内主要</w:t>
            </w:r>
            <w:r>
              <w:rPr>
                <w:rFonts w:hint="eastAsia"/>
                <w:snapToGrid w:val="0"/>
                <w:kern w:val="0"/>
                <w:sz w:val="24"/>
              </w:rPr>
              <w:t>为企业和道路</w:t>
            </w:r>
            <w:r>
              <w:rPr>
                <w:snapToGrid w:val="0"/>
                <w:kern w:val="0"/>
                <w:sz w:val="24"/>
              </w:rPr>
              <w:t>，无学校、医院</w:t>
            </w:r>
            <w:r>
              <w:rPr>
                <w:rFonts w:hint="eastAsia"/>
                <w:snapToGrid w:val="0"/>
                <w:kern w:val="0"/>
                <w:sz w:val="24"/>
              </w:rPr>
              <w:t>、居住区</w:t>
            </w:r>
            <w:r>
              <w:rPr>
                <w:snapToGrid w:val="0"/>
                <w:kern w:val="0"/>
                <w:sz w:val="24"/>
              </w:rPr>
              <w:t>等敏感目标。</w:t>
            </w:r>
          </w:p>
          <w:p>
            <w:pPr>
              <w:spacing w:line="360" w:lineRule="auto"/>
              <w:rPr>
                <w:sz w:val="24"/>
              </w:rPr>
            </w:pPr>
            <w:r>
              <w:rPr>
                <w:rFonts w:hint="eastAsia"/>
                <w:b/>
                <w:bCs/>
                <w:sz w:val="24"/>
              </w:rPr>
              <w:t>二、废水环境影响分析</w:t>
            </w:r>
          </w:p>
          <w:p>
            <w:pPr>
              <w:spacing w:line="360" w:lineRule="auto"/>
              <w:ind w:firstLine="480" w:firstLineChars="200"/>
              <w:rPr>
                <w:rFonts w:hint="default" w:eastAsia="宋体"/>
                <w:sz w:val="24"/>
                <w:lang w:val="en-US" w:eastAsia="zh-CN"/>
              </w:rPr>
            </w:pPr>
            <w:r>
              <w:rPr>
                <w:rFonts w:hint="eastAsia"/>
                <w:sz w:val="24"/>
              </w:rPr>
              <w:t>本项目</w:t>
            </w:r>
            <w:r>
              <w:rPr>
                <w:rFonts w:hint="eastAsia"/>
                <w:sz w:val="24"/>
                <w:lang w:val="en-US" w:eastAsia="zh-CN"/>
              </w:rPr>
              <w:t>注塑定型过程中需使用冷却塔提供的冷源降低作业温度</w:t>
            </w:r>
            <w:r>
              <w:rPr>
                <w:rFonts w:hint="eastAsia"/>
                <w:sz w:val="24"/>
              </w:rPr>
              <w:t>。</w:t>
            </w:r>
            <w:r>
              <w:rPr>
                <w:rFonts w:hint="eastAsia"/>
                <w:sz w:val="24"/>
                <w:lang w:val="en-US" w:eastAsia="zh-CN"/>
              </w:rPr>
              <w:t>冷却水为间接冷却，且对水质要求较低，经冷却池循环使用，不对外排放。由于冷却水因高温部分蒸发，需定期补充新鲜水，用水量约48m</w:t>
            </w:r>
            <w:r>
              <w:rPr>
                <w:rFonts w:hint="eastAsia"/>
                <w:sz w:val="24"/>
                <w:vertAlign w:val="superscript"/>
                <w:lang w:val="en-US" w:eastAsia="zh-CN"/>
              </w:rPr>
              <w:t>3</w:t>
            </w:r>
            <w:r>
              <w:rPr>
                <w:rFonts w:hint="eastAsia"/>
                <w:sz w:val="24"/>
                <w:lang w:val="en-US" w:eastAsia="zh-CN"/>
              </w:rPr>
              <w:t>/a。</w:t>
            </w:r>
          </w:p>
          <w:p>
            <w:pPr>
              <w:topLinePunct/>
              <w:spacing w:line="360" w:lineRule="auto"/>
              <w:ind w:firstLine="480" w:firstLineChars="200"/>
              <w:rPr>
                <w:color w:val="000000" w:themeColor="text1"/>
                <w:sz w:val="24"/>
                <w14:textFill>
                  <w14:solidFill>
                    <w14:schemeClr w14:val="tx1"/>
                  </w14:solidFill>
                </w14:textFill>
              </w:rPr>
            </w:pPr>
            <w:r>
              <w:rPr>
                <w:rFonts w:hint="eastAsia"/>
                <w:color w:val="000000"/>
                <w:sz w:val="24"/>
              </w:rPr>
              <w:t>本项目运营期工作人员共</w:t>
            </w:r>
            <w:r>
              <w:rPr>
                <w:rFonts w:hint="eastAsia"/>
                <w:color w:val="000000"/>
                <w:sz w:val="24"/>
                <w:lang w:val="en-US" w:eastAsia="zh-CN"/>
              </w:rPr>
              <w:t>8</w:t>
            </w:r>
            <w:r>
              <w:rPr>
                <w:rFonts w:hint="eastAsia"/>
                <w:color w:val="000000"/>
                <w:sz w:val="24"/>
              </w:rPr>
              <w:t>人，年工作300天。本项目职工</w:t>
            </w:r>
            <w:r>
              <w:rPr>
                <w:rFonts w:hint="eastAsia"/>
                <w:color w:val="000000"/>
                <w:sz w:val="24"/>
                <w:lang w:eastAsia="zh-CN"/>
              </w:rPr>
              <w:t>不在厂区住宿就餐</w:t>
            </w:r>
            <w:r>
              <w:rPr>
                <w:rFonts w:hint="eastAsia"/>
                <w:color w:val="000000"/>
                <w:sz w:val="24"/>
                <w:lang w:val="en-US" w:eastAsia="zh-CN"/>
              </w:rPr>
              <w:t>，</w:t>
            </w:r>
            <w:r>
              <w:rPr>
                <w:rFonts w:hint="eastAsia"/>
                <w:color w:val="000000"/>
                <w:sz w:val="24"/>
              </w:rPr>
              <w:t>依据河南省地方标准《工业与城镇生活用水定额》（DB41/T385-2014），职工用水量按</w:t>
            </w:r>
            <w:r>
              <w:rPr>
                <w:rFonts w:hint="eastAsia"/>
                <w:color w:val="000000"/>
                <w:sz w:val="24"/>
                <w:lang w:val="en-US" w:eastAsia="zh-CN"/>
              </w:rPr>
              <w:t>40</w:t>
            </w:r>
            <w:r>
              <w:rPr>
                <w:rFonts w:hint="eastAsia"/>
                <w:color w:val="000000"/>
                <w:sz w:val="24"/>
              </w:rPr>
              <w:t>L/d·人计，则用水量为0.</w:t>
            </w:r>
            <w:r>
              <w:rPr>
                <w:rFonts w:hint="eastAsia"/>
                <w:color w:val="000000"/>
                <w:sz w:val="24"/>
                <w:lang w:val="en-US" w:eastAsia="zh-CN"/>
              </w:rPr>
              <w:t>32</w:t>
            </w:r>
            <w:r>
              <w:rPr>
                <w:rFonts w:hint="eastAsia"/>
                <w:color w:val="000000"/>
                <w:sz w:val="24"/>
              </w:rPr>
              <w:t>t/d，</w:t>
            </w:r>
            <w:r>
              <w:rPr>
                <w:rFonts w:hint="eastAsia"/>
                <w:color w:val="000000"/>
                <w:sz w:val="24"/>
                <w:lang w:val="en-US" w:eastAsia="zh-CN"/>
              </w:rPr>
              <w:t>96</w:t>
            </w:r>
            <w:r>
              <w:rPr>
                <w:rFonts w:hint="eastAsia"/>
                <w:color w:val="000000"/>
                <w:sz w:val="24"/>
              </w:rPr>
              <w:t>t/a；污水产生系数取0.8，则产生污水量为0.</w:t>
            </w:r>
            <w:r>
              <w:rPr>
                <w:rFonts w:hint="eastAsia"/>
                <w:color w:val="000000"/>
                <w:sz w:val="24"/>
                <w:lang w:val="en-US" w:eastAsia="zh-CN"/>
              </w:rPr>
              <w:t>256</w:t>
            </w:r>
            <w:r>
              <w:rPr>
                <w:rFonts w:hint="eastAsia"/>
                <w:color w:val="000000"/>
                <w:sz w:val="24"/>
              </w:rPr>
              <w:t>t/d，</w:t>
            </w:r>
            <w:r>
              <w:rPr>
                <w:rFonts w:hint="eastAsia"/>
                <w:color w:val="000000"/>
                <w:sz w:val="24"/>
                <w:lang w:val="en-US" w:eastAsia="zh-CN"/>
              </w:rPr>
              <w:t>76.8</w:t>
            </w:r>
            <w:r>
              <w:rPr>
                <w:rFonts w:hint="eastAsia"/>
                <w:color w:val="000000"/>
                <w:sz w:val="24"/>
              </w:rPr>
              <w:t>t/a。污水中污染物的浓度及产生量</w:t>
            </w:r>
            <w:r>
              <w:rPr>
                <w:rFonts w:hint="eastAsia"/>
                <w:color w:val="000000" w:themeColor="text1"/>
                <w:sz w:val="24"/>
                <w14:textFill>
                  <w14:solidFill>
                    <w14:schemeClr w14:val="tx1"/>
                  </w14:solidFill>
                </w14:textFill>
              </w:rPr>
              <w:t>为COD 300mg/L 0.0</w:t>
            </w:r>
            <w:r>
              <w:rPr>
                <w:rFonts w:hint="eastAsia"/>
                <w:color w:val="000000" w:themeColor="text1"/>
                <w:sz w:val="24"/>
                <w:lang w:val="en-US" w:eastAsia="zh-CN"/>
                <w14:textFill>
                  <w14:solidFill>
                    <w14:schemeClr w14:val="tx1"/>
                  </w14:solidFill>
                </w14:textFill>
              </w:rPr>
              <w:t>230</w:t>
            </w:r>
            <w:r>
              <w:rPr>
                <w:rFonts w:hint="eastAsia"/>
                <w:color w:val="000000" w:themeColor="text1"/>
                <w:sz w:val="24"/>
                <w14:textFill>
                  <w14:solidFill>
                    <w14:schemeClr w14:val="tx1"/>
                  </w14:solidFill>
                </w14:textFill>
              </w:rPr>
              <w:t>t/a、BOD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 xml:space="preserve"> 180mg/L 0.0</w:t>
            </w:r>
            <w:r>
              <w:rPr>
                <w:rFonts w:hint="eastAsia"/>
                <w:color w:val="000000" w:themeColor="text1"/>
                <w:sz w:val="24"/>
                <w:lang w:val="en-US" w:eastAsia="zh-CN"/>
                <w14:textFill>
                  <w14:solidFill>
                    <w14:schemeClr w14:val="tx1"/>
                  </w14:solidFill>
                </w14:textFill>
              </w:rPr>
              <w:t>138</w:t>
            </w:r>
            <w:r>
              <w:rPr>
                <w:rFonts w:hint="eastAsia"/>
                <w:color w:val="000000" w:themeColor="text1"/>
                <w:sz w:val="24"/>
                <w14:textFill>
                  <w14:solidFill>
                    <w14:schemeClr w14:val="tx1"/>
                  </w14:solidFill>
                </w14:textFill>
              </w:rPr>
              <w:t>t/a、SS 220mg/L 0.01</w:t>
            </w:r>
            <w:r>
              <w:rPr>
                <w:rFonts w:hint="eastAsia"/>
                <w:color w:val="000000" w:themeColor="text1"/>
                <w:sz w:val="24"/>
                <w:lang w:val="en-US" w:eastAsia="zh-CN"/>
                <w14:textFill>
                  <w14:solidFill>
                    <w14:schemeClr w14:val="tx1"/>
                  </w14:solidFill>
                </w14:textFill>
              </w:rPr>
              <w:t>70</w:t>
            </w:r>
            <w:r>
              <w:rPr>
                <w:rFonts w:hint="eastAsia"/>
                <w:color w:val="000000" w:themeColor="text1"/>
                <w:sz w:val="24"/>
                <w14:textFill>
                  <w14:solidFill>
                    <w14:schemeClr w14:val="tx1"/>
                  </w14:solidFill>
                </w14:textFill>
              </w:rPr>
              <w:t>t/a、NH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 25mg/L 0.00</w:t>
            </w:r>
            <w:r>
              <w:rPr>
                <w:rFonts w:hint="eastAsia"/>
                <w:color w:val="000000" w:themeColor="text1"/>
                <w:sz w:val="24"/>
                <w:lang w:val="en-US" w:eastAsia="zh-CN"/>
                <w14:textFill>
                  <w14:solidFill>
                    <w14:schemeClr w14:val="tx1"/>
                  </w14:solidFill>
                </w14:textFill>
              </w:rPr>
              <w:t>19</w:t>
            </w:r>
            <w:r>
              <w:rPr>
                <w:rFonts w:hint="eastAsia"/>
                <w:color w:val="000000" w:themeColor="text1"/>
                <w:sz w:val="24"/>
                <w14:textFill>
                  <w14:solidFill>
                    <w14:schemeClr w14:val="tx1"/>
                  </w14:solidFill>
                </w14:textFill>
              </w:rPr>
              <w:t>t/a、TP 2.5mg/L 0.000</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t/a，</w:t>
            </w:r>
            <w:r>
              <w:rPr>
                <w:snapToGrid w:val="0"/>
                <w:kern w:val="0"/>
                <w:sz w:val="24"/>
              </w:rPr>
              <w:t>经</w:t>
            </w:r>
            <w:r>
              <w:rPr>
                <w:rFonts w:hint="eastAsia"/>
                <w:snapToGrid w:val="0"/>
                <w:kern w:val="0"/>
                <w:sz w:val="24"/>
              </w:rPr>
              <w:t>化粪池</w:t>
            </w:r>
            <w:r>
              <w:rPr>
                <w:snapToGrid w:val="0"/>
                <w:kern w:val="0"/>
                <w:sz w:val="24"/>
              </w:rPr>
              <w:t>处理后</w:t>
            </w:r>
            <w:r>
              <w:rPr>
                <w:rFonts w:hint="eastAsia"/>
                <w:snapToGrid w:val="0"/>
                <w:kern w:val="0"/>
                <w:sz w:val="24"/>
              </w:rPr>
              <w:t>污染物浓度及产生量</w:t>
            </w:r>
            <w:r>
              <w:rPr>
                <w:snapToGrid w:val="0"/>
                <w:kern w:val="0"/>
                <w:sz w:val="24"/>
              </w:rPr>
              <w:t>为</w:t>
            </w:r>
            <w:r>
              <w:rPr>
                <w:snapToGrid w:val="0"/>
                <w:color w:val="000000" w:themeColor="text1"/>
                <w:kern w:val="0"/>
                <w:sz w:val="24"/>
                <w14:textFill>
                  <w14:solidFill>
                    <w14:schemeClr w14:val="tx1"/>
                  </w14:solidFill>
                </w14:textFill>
              </w:rPr>
              <w:t>COD 2</w:t>
            </w:r>
            <w:r>
              <w:rPr>
                <w:rFonts w:hint="eastAsia"/>
                <w:snapToGrid w:val="0"/>
                <w:color w:val="000000" w:themeColor="text1"/>
                <w:kern w:val="0"/>
                <w:sz w:val="24"/>
                <w14:textFill>
                  <w14:solidFill>
                    <w14:schemeClr w14:val="tx1"/>
                  </w14:solidFill>
                </w14:textFill>
              </w:rPr>
              <w:t>55</w:t>
            </w:r>
            <w:r>
              <w:rPr>
                <w:snapToGrid w:val="0"/>
                <w:color w:val="000000" w:themeColor="text1"/>
                <w:kern w:val="0"/>
                <w:sz w:val="24"/>
                <w14:textFill>
                  <w14:solidFill>
                    <w14:schemeClr w14:val="tx1"/>
                  </w14:solidFill>
                </w14:textFill>
              </w:rPr>
              <w:t>mg/L</w:t>
            </w:r>
            <w:r>
              <w:rPr>
                <w:rFonts w:hint="eastAsia"/>
                <w:snapToGrid w:val="0"/>
                <w:color w:val="000000" w:themeColor="text1"/>
                <w:kern w:val="0"/>
                <w:sz w:val="24"/>
                <w14:textFill>
                  <w14:solidFill>
                    <w14:schemeClr w14:val="tx1"/>
                  </w14:solidFill>
                </w14:textFill>
              </w:rPr>
              <w:t xml:space="preserve"> 0.01</w:t>
            </w:r>
            <w:r>
              <w:rPr>
                <w:rFonts w:hint="eastAsia"/>
                <w:snapToGrid w:val="0"/>
                <w:color w:val="000000" w:themeColor="text1"/>
                <w:kern w:val="0"/>
                <w:sz w:val="24"/>
                <w:lang w:val="en-US" w:eastAsia="zh-CN"/>
                <w14:textFill>
                  <w14:solidFill>
                    <w14:schemeClr w14:val="tx1"/>
                  </w14:solidFill>
                </w14:textFill>
              </w:rPr>
              <w:t>96</w:t>
            </w:r>
            <w:r>
              <w:rPr>
                <w:rFonts w:hint="eastAsia"/>
                <w:color w:val="000000" w:themeColor="text1"/>
                <w:sz w:val="24"/>
                <w14:textFill>
                  <w14:solidFill>
                    <w14:schemeClr w14:val="tx1"/>
                  </w14:solidFill>
                </w14:textFill>
              </w:rPr>
              <w:t>t/a</w:t>
            </w:r>
            <w:r>
              <w:rPr>
                <w:snapToGrid w:val="0"/>
                <w:color w:val="000000" w:themeColor="text1"/>
                <w:kern w:val="0"/>
                <w:sz w:val="24"/>
                <w14:textFill>
                  <w14:solidFill>
                    <w14:schemeClr w14:val="tx1"/>
                  </w14:solidFill>
                </w14:textFill>
              </w:rPr>
              <w:t>、BOD</w:t>
            </w:r>
            <w:r>
              <w:rPr>
                <w:snapToGrid w:val="0"/>
                <w:color w:val="000000" w:themeColor="text1"/>
                <w:kern w:val="0"/>
                <w:sz w:val="24"/>
                <w:vertAlign w:val="subscript"/>
                <w14:textFill>
                  <w14:solidFill>
                    <w14:schemeClr w14:val="tx1"/>
                  </w14:solidFill>
                </w14:textFill>
              </w:rPr>
              <w:t>5</w:t>
            </w:r>
            <w:r>
              <w:rPr>
                <w:snapToGrid w:val="0"/>
                <w:color w:val="000000" w:themeColor="text1"/>
                <w:kern w:val="0"/>
                <w:sz w:val="24"/>
                <w14:textFill>
                  <w14:solidFill>
                    <w14:schemeClr w14:val="tx1"/>
                  </w14:solidFill>
                </w14:textFill>
              </w:rPr>
              <w:t xml:space="preserve"> 1</w:t>
            </w:r>
            <w:r>
              <w:rPr>
                <w:rFonts w:hint="eastAsia"/>
                <w:snapToGrid w:val="0"/>
                <w:color w:val="000000" w:themeColor="text1"/>
                <w:kern w:val="0"/>
                <w:sz w:val="24"/>
                <w14:textFill>
                  <w14:solidFill>
                    <w14:schemeClr w14:val="tx1"/>
                  </w14:solidFill>
                </w14:textFill>
              </w:rPr>
              <w:t>6</w:t>
            </w:r>
            <w:r>
              <w:rPr>
                <w:snapToGrid w:val="0"/>
                <w:color w:val="000000" w:themeColor="text1"/>
                <w:kern w:val="0"/>
                <w:sz w:val="24"/>
                <w14:textFill>
                  <w14:solidFill>
                    <w14:schemeClr w14:val="tx1"/>
                  </w14:solidFill>
                </w14:textFill>
              </w:rPr>
              <w:t>4mg/L</w:t>
            </w:r>
            <w:r>
              <w:rPr>
                <w:rFonts w:hint="eastAsia"/>
                <w:snapToGrid w:val="0"/>
                <w:color w:val="000000" w:themeColor="text1"/>
                <w:kern w:val="0"/>
                <w:sz w:val="24"/>
                <w14:textFill>
                  <w14:solidFill>
                    <w14:schemeClr w14:val="tx1"/>
                  </w14:solidFill>
                </w14:textFill>
              </w:rPr>
              <w:t xml:space="preserve"> 0.0</w:t>
            </w:r>
            <w:r>
              <w:rPr>
                <w:rFonts w:hint="eastAsia"/>
                <w:snapToGrid w:val="0"/>
                <w:color w:val="000000" w:themeColor="text1"/>
                <w:kern w:val="0"/>
                <w:sz w:val="24"/>
                <w:lang w:val="en-US" w:eastAsia="zh-CN"/>
                <w14:textFill>
                  <w14:solidFill>
                    <w14:schemeClr w14:val="tx1"/>
                  </w14:solidFill>
                </w14:textFill>
              </w:rPr>
              <w:t>126</w:t>
            </w:r>
            <w:r>
              <w:rPr>
                <w:rFonts w:hint="eastAsia"/>
                <w:color w:val="000000" w:themeColor="text1"/>
                <w:sz w:val="24"/>
                <w14:textFill>
                  <w14:solidFill>
                    <w14:schemeClr w14:val="tx1"/>
                  </w14:solidFill>
                </w14:textFill>
              </w:rPr>
              <w:t>t/a</w:t>
            </w:r>
            <w:r>
              <w:rPr>
                <w:snapToGrid w:val="0"/>
                <w:color w:val="000000" w:themeColor="text1"/>
                <w:kern w:val="0"/>
                <w:sz w:val="24"/>
                <w14:textFill>
                  <w14:solidFill>
                    <w14:schemeClr w14:val="tx1"/>
                  </w14:solidFill>
                </w14:textFill>
              </w:rPr>
              <w:t>、SS 154mg/L</w:t>
            </w:r>
            <w:r>
              <w:rPr>
                <w:rFonts w:hint="eastAsia"/>
                <w:snapToGrid w:val="0"/>
                <w:color w:val="000000" w:themeColor="text1"/>
                <w:kern w:val="0"/>
                <w:sz w:val="24"/>
                <w14:textFill>
                  <w14:solidFill>
                    <w14:schemeClr w14:val="tx1"/>
                  </w14:solidFill>
                </w14:textFill>
              </w:rPr>
              <w:t xml:space="preserve"> 0.0</w:t>
            </w:r>
            <w:r>
              <w:rPr>
                <w:rFonts w:hint="eastAsia"/>
                <w:snapToGrid w:val="0"/>
                <w:color w:val="000000" w:themeColor="text1"/>
                <w:kern w:val="0"/>
                <w:sz w:val="24"/>
                <w:lang w:val="en-US" w:eastAsia="zh-CN"/>
                <w14:textFill>
                  <w14:solidFill>
                    <w14:schemeClr w14:val="tx1"/>
                  </w14:solidFill>
                </w14:textFill>
              </w:rPr>
              <w:t>118</w:t>
            </w:r>
            <w:r>
              <w:rPr>
                <w:rFonts w:hint="eastAsia"/>
                <w:color w:val="000000" w:themeColor="text1"/>
                <w:sz w:val="24"/>
                <w14:textFill>
                  <w14:solidFill>
                    <w14:schemeClr w14:val="tx1"/>
                  </w14:solidFill>
                </w14:textFill>
              </w:rPr>
              <w:t>t/a、NH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 25mg/L 0.001</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t/a、TP 2.5mg/L 0.000</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t/a。</w:t>
            </w:r>
          </w:p>
          <w:p>
            <w:pPr>
              <w:pStyle w:val="102"/>
              <w:spacing w:line="360" w:lineRule="auto"/>
              <w:ind w:firstLine="480"/>
              <w:rPr>
                <w:snapToGrid w:val="0"/>
                <w:color w:val="000000" w:themeColor="text1"/>
                <w:kern w:val="21"/>
                <w:szCs w:val="24"/>
                <w14:textFill>
                  <w14:solidFill>
                    <w14:schemeClr w14:val="tx1"/>
                  </w14:solidFill>
                </w14:textFill>
              </w:rPr>
            </w:pPr>
            <w:r>
              <w:rPr>
                <w:rFonts w:hint="eastAsia"/>
                <w:kern w:val="21"/>
                <w:szCs w:val="24"/>
              </w:rPr>
              <w:t>本项目位于新乡经济技术产业集聚区，</w:t>
            </w:r>
            <w:r>
              <w:rPr>
                <w:rFonts w:hint="eastAsia"/>
                <w:color w:val="000000" w:themeColor="text1"/>
                <w:kern w:val="21"/>
                <w:szCs w:val="24"/>
                <w14:textFill>
                  <w14:solidFill>
                    <w14:schemeClr w14:val="tx1"/>
                  </w14:solidFill>
                </w14:textFill>
              </w:rPr>
              <w:t>在贾屯污水处理厂的收水范围之内，</w:t>
            </w:r>
            <w:r>
              <w:rPr>
                <w:color w:val="000000" w:themeColor="text1"/>
                <w:kern w:val="21"/>
                <w:szCs w:val="24"/>
                <w14:textFill>
                  <w14:solidFill>
                    <w14:schemeClr w14:val="tx1"/>
                  </w14:solidFill>
                </w14:textFill>
              </w:rPr>
              <w:t>生活污水经化粪池处理后排放的污水水质满足</w:t>
            </w:r>
            <w:r>
              <w:rPr>
                <w:rFonts w:hint="eastAsia"/>
                <w:snapToGrid w:val="0"/>
                <w:color w:val="000000" w:themeColor="text1"/>
                <w:kern w:val="21"/>
                <w:szCs w:val="24"/>
                <w14:textFill>
                  <w14:solidFill>
                    <w14:schemeClr w14:val="tx1"/>
                  </w14:solidFill>
                </w14:textFill>
              </w:rPr>
              <w:t>贾屯污水处理厂</w:t>
            </w:r>
            <w:r>
              <w:rPr>
                <w:snapToGrid w:val="0"/>
                <w:color w:val="000000" w:themeColor="text1"/>
                <w:kern w:val="21"/>
                <w:szCs w:val="24"/>
                <w14:textFill>
                  <w14:solidFill>
                    <w14:schemeClr w14:val="tx1"/>
                  </w14:solidFill>
                </w14:textFill>
              </w:rPr>
              <w:t>收水水质</w:t>
            </w:r>
            <w:r>
              <w:rPr>
                <w:rFonts w:hint="eastAsia"/>
                <w:snapToGrid w:val="0"/>
                <w:color w:val="000000" w:themeColor="text1"/>
                <w:kern w:val="21"/>
                <w:szCs w:val="24"/>
                <w14:textFill>
                  <w14:solidFill>
                    <w14:schemeClr w14:val="tx1"/>
                  </w14:solidFill>
                </w14:textFill>
              </w:rPr>
              <w:t>要求</w:t>
            </w:r>
            <w:r>
              <w:rPr>
                <w:color w:val="000000" w:themeColor="text1"/>
                <w:kern w:val="21"/>
                <w:szCs w:val="24"/>
                <w14:textFill>
                  <w14:solidFill>
                    <w14:schemeClr w14:val="tx1"/>
                  </w14:solidFill>
                </w14:textFill>
              </w:rPr>
              <w:t>（</w:t>
            </w:r>
            <w:r>
              <w:rPr>
                <w:rFonts w:eastAsia="Times New Roman"/>
                <w:color w:val="000000" w:themeColor="text1"/>
                <w:kern w:val="21"/>
                <w:szCs w:val="24"/>
                <w14:textFill>
                  <w14:solidFill>
                    <w14:schemeClr w14:val="tx1"/>
                  </w14:solidFill>
                </w14:textFill>
              </w:rPr>
              <w:t xml:space="preserve">COD </w:t>
            </w:r>
            <w:r>
              <w:rPr>
                <w:color w:val="000000" w:themeColor="text1"/>
                <w:kern w:val="21"/>
                <w:szCs w:val="24"/>
                <w14:textFill>
                  <w14:solidFill>
                    <w14:schemeClr w14:val="tx1"/>
                  </w14:solidFill>
                </w14:textFill>
              </w:rPr>
              <w:t>≤</w:t>
            </w:r>
            <w:r>
              <w:rPr>
                <w:rFonts w:hint="eastAsia"/>
                <w:color w:val="000000" w:themeColor="text1"/>
                <w:kern w:val="21"/>
                <w:szCs w:val="24"/>
                <w14:textFill>
                  <w14:solidFill>
                    <w14:schemeClr w14:val="tx1"/>
                  </w14:solidFill>
                </w14:textFill>
              </w:rPr>
              <w:t>450</w:t>
            </w:r>
            <w:r>
              <w:rPr>
                <w:rFonts w:eastAsia="Times New Roman"/>
                <w:color w:val="000000" w:themeColor="text1"/>
                <w:kern w:val="21"/>
                <w:szCs w:val="24"/>
                <w14:textFill>
                  <w14:solidFill>
                    <w14:schemeClr w14:val="tx1"/>
                  </w14:solidFill>
                </w14:textFill>
              </w:rPr>
              <w:t>mg/L</w:t>
            </w:r>
            <w:r>
              <w:rPr>
                <w:color w:val="000000" w:themeColor="text1"/>
                <w:kern w:val="21"/>
                <w:szCs w:val="24"/>
                <w14:textFill>
                  <w14:solidFill>
                    <w14:schemeClr w14:val="tx1"/>
                  </w14:solidFill>
                </w14:textFill>
              </w:rPr>
              <w:t>、</w:t>
            </w:r>
            <w:r>
              <w:rPr>
                <w:rFonts w:hint="eastAsia"/>
                <w:color w:val="000000" w:themeColor="text1"/>
                <w:kern w:val="21"/>
                <w:szCs w:val="24"/>
                <w14:textFill>
                  <w14:solidFill>
                    <w14:schemeClr w14:val="tx1"/>
                  </w14:solidFill>
                </w14:textFill>
              </w:rPr>
              <w:t>BOD</w:t>
            </w:r>
            <w:r>
              <w:rPr>
                <w:rFonts w:hint="eastAsia"/>
                <w:color w:val="000000" w:themeColor="text1"/>
                <w:kern w:val="21"/>
                <w:szCs w:val="24"/>
                <w:vertAlign w:val="subscript"/>
                <w14:textFill>
                  <w14:solidFill>
                    <w14:schemeClr w14:val="tx1"/>
                  </w14:solidFill>
                </w14:textFill>
              </w:rPr>
              <w:t>5</w:t>
            </w:r>
            <w:r>
              <w:rPr>
                <w:color w:val="000000" w:themeColor="text1"/>
                <w:kern w:val="21"/>
                <w:szCs w:val="24"/>
                <w14:textFill>
                  <w14:solidFill>
                    <w14:schemeClr w14:val="tx1"/>
                  </w14:solidFill>
                </w14:textFill>
              </w:rPr>
              <w:t>≤</w:t>
            </w:r>
            <w:r>
              <w:rPr>
                <w:rFonts w:hint="eastAsia"/>
                <w:color w:val="000000" w:themeColor="text1"/>
                <w:kern w:val="21"/>
                <w:szCs w:val="24"/>
                <w14:textFill>
                  <w14:solidFill>
                    <w14:schemeClr w14:val="tx1"/>
                  </w14:solidFill>
                </w14:textFill>
              </w:rPr>
              <w:t>180mg/L、SS</w:t>
            </w:r>
            <w:r>
              <w:rPr>
                <w:color w:val="000000" w:themeColor="text1"/>
                <w:kern w:val="21"/>
                <w:szCs w:val="24"/>
                <w14:textFill>
                  <w14:solidFill>
                    <w14:schemeClr w14:val="tx1"/>
                  </w14:solidFill>
                </w14:textFill>
              </w:rPr>
              <w:t>≤</w:t>
            </w:r>
            <w:r>
              <w:rPr>
                <w:rFonts w:hint="eastAsia"/>
                <w:color w:val="000000" w:themeColor="text1"/>
                <w:kern w:val="21"/>
                <w:szCs w:val="24"/>
                <w14:textFill>
                  <w14:solidFill>
                    <w14:schemeClr w14:val="tx1"/>
                  </w14:solidFill>
                </w14:textFill>
              </w:rPr>
              <w:t>350</w:t>
            </w:r>
            <w:r>
              <w:rPr>
                <w:rFonts w:eastAsia="Times New Roman"/>
                <w:color w:val="000000" w:themeColor="text1"/>
                <w:kern w:val="21"/>
                <w:szCs w:val="24"/>
                <w14:textFill>
                  <w14:solidFill>
                    <w14:schemeClr w14:val="tx1"/>
                  </w14:solidFill>
                </w14:textFill>
              </w:rPr>
              <w:t>mg/L</w:t>
            </w:r>
            <w:r>
              <w:rPr>
                <w:rFonts w:hint="eastAsia"/>
                <w:color w:val="000000" w:themeColor="text1"/>
                <w:kern w:val="21"/>
                <w:szCs w:val="24"/>
                <w14:textFill>
                  <w14:solidFill>
                    <w14:schemeClr w14:val="tx1"/>
                  </w14:solidFill>
                </w14:textFill>
              </w:rPr>
              <w:t>、</w:t>
            </w:r>
            <w:r>
              <w:rPr>
                <w:rFonts w:eastAsia="Times New Roman"/>
                <w:color w:val="000000" w:themeColor="text1"/>
                <w:kern w:val="21"/>
                <w:szCs w:val="24"/>
                <w14:textFill>
                  <w14:solidFill>
                    <w14:schemeClr w14:val="tx1"/>
                  </w14:solidFill>
                </w14:textFill>
              </w:rPr>
              <w:t>NH</w:t>
            </w:r>
            <w:r>
              <w:rPr>
                <w:rFonts w:eastAsia="Times New Roman"/>
                <w:color w:val="000000" w:themeColor="text1"/>
                <w:kern w:val="21"/>
                <w:szCs w:val="24"/>
                <w:vertAlign w:val="subscript"/>
                <w14:textFill>
                  <w14:solidFill>
                    <w14:schemeClr w14:val="tx1"/>
                  </w14:solidFill>
                </w14:textFill>
              </w:rPr>
              <w:t>3</w:t>
            </w:r>
            <w:r>
              <w:rPr>
                <w:rFonts w:eastAsia="Times New Roman"/>
                <w:color w:val="000000" w:themeColor="text1"/>
                <w:kern w:val="21"/>
                <w:szCs w:val="24"/>
                <w14:textFill>
                  <w14:solidFill>
                    <w14:schemeClr w14:val="tx1"/>
                  </w14:solidFill>
                </w14:textFill>
              </w:rPr>
              <w:t>-N</w:t>
            </w:r>
            <w:r>
              <w:rPr>
                <w:color w:val="000000" w:themeColor="text1"/>
                <w:kern w:val="21"/>
                <w:szCs w:val="24"/>
                <w14:textFill>
                  <w14:solidFill>
                    <w14:schemeClr w14:val="tx1"/>
                  </w14:solidFill>
                </w14:textFill>
              </w:rPr>
              <w:t>≤</w:t>
            </w:r>
            <w:r>
              <w:rPr>
                <w:rFonts w:hint="eastAsia"/>
                <w:color w:val="000000" w:themeColor="text1"/>
                <w:kern w:val="21"/>
                <w:szCs w:val="24"/>
                <w14:textFill>
                  <w14:solidFill>
                    <w14:schemeClr w14:val="tx1"/>
                  </w14:solidFill>
                </w14:textFill>
              </w:rPr>
              <w:t>35</w:t>
            </w:r>
            <w:r>
              <w:rPr>
                <w:rFonts w:eastAsia="Times New Roman"/>
                <w:color w:val="000000" w:themeColor="text1"/>
                <w:kern w:val="21"/>
                <w:szCs w:val="24"/>
                <w14:textFill>
                  <w14:solidFill>
                    <w14:schemeClr w14:val="tx1"/>
                  </w14:solidFill>
                </w14:textFill>
              </w:rPr>
              <w:t>mg/L</w:t>
            </w:r>
            <w:r>
              <w:rPr>
                <w:rFonts w:hint="eastAsia"/>
                <w:color w:val="000000" w:themeColor="text1"/>
                <w:kern w:val="21"/>
                <w:szCs w:val="24"/>
                <w14:textFill>
                  <w14:solidFill>
                    <w14:schemeClr w14:val="tx1"/>
                  </w14:solidFill>
                </w14:textFill>
              </w:rPr>
              <w:t>、TP</w:t>
            </w:r>
            <w:r>
              <w:rPr>
                <w:color w:val="000000" w:themeColor="text1"/>
                <w:kern w:val="21"/>
                <w:szCs w:val="24"/>
                <w14:textFill>
                  <w14:solidFill>
                    <w14:schemeClr w14:val="tx1"/>
                  </w14:solidFill>
                </w14:textFill>
              </w:rPr>
              <w:t>≤</w:t>
            </w:r>
            <w:r>
              <w:rPr>
                <w:rFonts w:hint="eastAsia"/>
                <w:color w:val="000000" w:themeColor="text1"/>
                <w:kern w:val="21"/>
                <w:szCs w:val="24"/>
                <w14:textFill>
                  <w14:solidFill>
                    <w14:schemeClr w14:val="tx1"/>
                  </w14:solidFill>
                </w14:textFill>
              </w:rPr>
              <w:t>6</w:t>
            </w:r>
            <w:r>
              <w:rPr>
                <w:rFonts w:eastAsia="Times New Roman"/>
                <w:color w:val="000000" w:themeColor="text1"/>
                <w:kern w:val="21"/>
                <w:szCs w:val="24"/>
                <w14:textFill>
                  <w14:solidFill>
                    <w14:schemeClr w14:val="tx1"/>
                  </w14:solidFill>
                </w14:textFill>
              </w:rPr>
              <w:t>mg/L</w:t>
            </w:r>
            <w:r>
              <w:rPr>
                <w:color w:val="000000" w:themeColor="text1"/>
                <w:kern w:val="21"/>
                <w:szCs w:val="24"/>
                <w14:textFill>
                  <w14:solidFill>
                    <w14:schemeClr w14:val="tx1"/>
                  </w14:solidFill>
                </w14:textFill>
              </w:rPr>
              <w:t>）</w:t>
            </w:r>
            <w:r>
              <w:rPr>
                <w:snapToGrid w:val="0"/>
                <w:color w:val="000000" w:themeColor="text1"/>
                <w:kern w:val="21"/>
                <w:szCs w:val="24"/>
                <w14:textFill>
                  <w14:solidFill>
                    <w14:schemeClr w14:val="tx1"/>
                  </w14:solidFill>
                </w14:textFill>
              </w:rPr>
              <w:t>。</w:t>
            </w:r>
            <w:r>
              <w:rPr>
                <w:rFonts w:hint="eastAsia"/>
                <w:color w:val="000000" w:themeColor="text1"/>
                <w:kern w:val="21"/>
                <w:szCs w:val="24"/>
                <w14:textFill>
                  <w14:solidFill>
                    <w14:schemeClr w14:val="tx1"/>
                  </w14:solidFill>
                </w14:textFill>
              </w:rPr>
              <w:t>生活污水经厂区污水管网汇入化粪池进行预处理，通过市政污水管网，进入贾屯污水处理厂作进一步处理，</w:t>
            </w:r>
            <w:r>
              <w:rPr>
                <w:snapToGrid w:val="0"/>
                <w:color w:val="000000" w:themeColor="text1"/>
                <w:kern w:val="21"/>
                <w:szCs w:val="24"/>
                <w14:textFill>
                  <w14:solidFill>
                    <w14:schemeClr w14:val="tx1"/>
                  </w14:solidFill>
                </w14:textFill>
              </w:rPr>
              <w:t>进一步处理后外排入</w:t>
            </w:r>
            <w:r>
              <w:rPr>
                <w:rFonts w:hint="eastAsia"/>
                <w:snapToGrid w:val="0"/>
                <w:color w:val="000000" w:themeColor="text1"/>
                <w:kern w:val="21"/>
                <w:szCs w:val="24"/>
                <w14:textFill>
                  <w14:solidFill>
                    <w14:schemeClr w14:val="tx1"/>
                  </w14:solidFill>
                </w14:textFill>
              </w:rPr>
              <w:t>东孟姜女河</w:t>
            </w:r>
            <w:r>
              <w:rPr>
                <w:snapToGrid w:val="0"/>
                <w:color w:val="000000" w:themeColor="text1"/>
                <w:kern w:val="21"/>
                <w:szCs w:val="24"/>
                <w14:textFill>
                  <w14:solidFill>
                    <w14:schemeClr w14:val="tx1"/>
                  </w14:solidFill>
                </w14:textFill>
              </w:rPr>
              <w:t>。</w:t>
            </w:r>
          </w:p>
          <w:p>
            <w:pPr>
              <w:spacing w:line="360" w:lineRule="auto"/>
              <w:ind w:firstLine="480" w:firstLineChars="200"/>
              <w:rPr>
                <w:color w:val="000000" w:themeColor="text1"/>
                <w:kern w:val="21"/>
                <w:sz w:val="24"/>
                <w14:textFill>
                  <w14:solidFill>
                    <w14:schemeClr w14:val="tx1"/>
                  </w14:solidFill>
                </w14:textFill>
              </w:rPr>
            </w:pPr>
            <w:r>
              <w:rPr>
                <w:rFonts w:hint="eastAsia"/>
                <w:color w:val="000000" w:themeColor="text1"/>
                <w:kern w:val="21"/>
                <w:sz w:val="24"/>
                <w14:textFill>
                  <w14:solidFill>
                    <w14:schemeClr w14:val="tx1"/>
                  </w14:solidFill>
                </w14:textFill>
              </w:rPr>
              <w:t>本项目废水进入贾屯污水处理厂的可行性分析：</w:t>
            </w:r>
          </w:p>
          <w:p>
            <w:pPr>
              <w:spacing w:line="360" w:lineRule="auto"/>
              <w:ind w:firstLine="480" w:firstLineChars="200"/>
              <w:rPr>
                <w:color w:val="000000" w:themeColor="text1"/>
                <w:kern w:val="21"/>
                <w:sz w:val="24"/>
                <w14:textFill>
                  <w14:solidFill>
                    <w14:schemeClr w14:val="tx1"/>
                  </w14:solidFill>
                </w14:textFill>
              </w:rPr>
            </w:pPr>
            <w:r>
              <w:rPr>
                <w:rFonts w:hint="eastAsia"/>
                <w:color w:val="000000" w:themeColor="text1"/>
                <w:kern w:val="21"/>
                <w:sz w:val="24"/>
                <w14:textFill>
                  <w14:solidFill>
                    <w14:schemeClr w14:val="tx1"/>
                  </w14:solidFill>
                </w14:textFill>
              </w:rPr>
              <w:t>贾屯污水处理厂位于新乡市和平路以西、东孟姜女河以北、规划静泉路以南、劳动街以东，设计规模30万m</w:t>
            </w:r>
            <w:r>
              <w:rPr>
                <w:rFonts w:hint="eastAsia"/>
                <w:color w:val="000000" w:themeColor="text1"/>
                <w:kern w:val="21"/>
                <w:sz w:val="24"/>
                <w:vertAlign w:val="superscript"/>
                <w14:textFill>
                  <w14:solidFill>
                    <w14:schemeClr w14:val="tx1"/>
                  </w14:solidFill>
                </w14:textFill>
              </w:rPr>
              <w:t>3</w:t>
            </w:r>
            <w:r>
              <w:rPr>
                <w:rFonts w:hint="eastAsia"/>
                <w:color w:val="000000" w:themeColor="text1"/>
                <w:kern w:val="21"/>
                <w:sz w:val="24"/>
                <w14:textFill>
                  <w14:solidFill>
                    <w14:schemeClr w14:val="tx1"/>
                  </w14:solidFill>
                </w14:textFill>
              </w:rPr>
              <w:t>/d（一期工程15万m</w:t>
            </w:r>
            <w:r>
              <w:rPr>
                <w:rFonts w:hint="eastAsia"/>
                <w:color w:val="000000" w:themeColor="text1"/>
                <w:kern w:val="21"/>
                <w:sz w:val="24"/>
                <w:vertAlign w:val="superscript"/>
                <w14:textFill>
                  <w14:solidFill>
                    <w14:schemeClr w14:val="tx1"/>
                  </w14:solidFill>
                </w14:textFill>
              </w:rPr>
              <w:t>3</w:t>
            </w:r>
            <w:r>
              <w:rPr>
                <w:rFonts w:hint="eastAsia"/>
                <w:color w:val="000000" w:themeColor="text1"/>
                <w:kern w:val="21"/>
                <w:sz w:val="24"/>
                <w14:textFill>
                  <w14:solidFill>
                    <w14:schemeClr w14:val="tx1"/>
                  </w14:solidFill>
                </w14:textFill>
              </w:rPr>
              <w:t>/d），收水范围为赵定排以南的新乡市高新技术开发区、东南区（含高新区）和新乡县东部排水分区、纸制品工业园区、朗公庙镇，总计服务面积93.4km</w:t>
            </w:r>
            <w:r>
              <w:rPr>
                <w:rFonts w:hint="eastAsia"/>
                <w:color w:val="000000" w:themeColor="text1"/>
                <w:kern w:val="21"/>
                <w:sz w:val="24"/>
                <w:vertAlign w:val="superscript"/>
                <w14:textFill>
                  <w14:solidFill>
                    <w14:schemeClr w14:val="tx1"/>
                  </w14:solidFill>
                </w14:textFill>
              </w:rPr>
              <w:t>2</w:t>
            </w:r>
            <w:r>
              <w:rPr>
                <w:rFonts w:hint="eastAsia"/>
                <w:color w:val="000000" w:themeColor="text1"/>
                <w:kern w:val="21"/>
                <w:sz w:val="24"/>
                <w14:textFill>
                  <w14:solidFill>
                    <w14:schemeClr w14:val="tx1"/>
                  </w14:solidFill>
                </w14:textFill>
              </w:rPr>
              <w:t>。污水处理厂采用“厌氧酸化+A</w:t>
            </w:r>
            <w:r>
              <w:rPr>
                <w:rFonts w:hint="eastAsia"/>
                <w:color w:val="000000" w:themeColor="text1"/>
                <w:kern w:val="21"/>
                <w:sz w:val="24"/>
                <w:vertAlign w:val="superscript"/>
                <w14:textFill>
                  <w14:solidFill>
                    <w14:schemeClr w14:val="tx1"/>
                  </w14:solidFill>
                </w14:textFill>
              </w:rPr>
              <w:t>2</w:t>
            </w:r>
            <w:r>
              <w:rPr>
                <w:rFonts w:hint="eastAsia"/>
                <w:color w:val="000000" w:themeColor="text1"/>
                <w:kern w:val="21"/>
                <w:sz w:val="24"/>
                <w14:textFill>
                  <w14:solidFill>
                    <w14:schemeClr w14:val="tx1"/>
                  </w14:solidFill>
                </w14:textFill>
              </w:rPr>
              <w:t>/O+沉淀+过滤”处理工艺。设计进水水质为：</w:t>
            </w:r>
            <w:r>
              <w:rPr>
                <w:rFonts w:eastAsia="Times New Roman"/>
                <w:color w:val="000000" w:themeColor="text1"/>
                <w:kern w:val="21"/>
                <w:sz w:val="24"/>
                <w14:textFill>
                  <w14:solidFill>
                    <w14:schemeClr w14:val="tx1"/>
                  </w14:solidFill>
                </w14:textFill>
              </w:rPr>
              <w:t xml:space="preserve">COD </w:t>
            </w:r>
            <w:r>
              <w:rPr>
                <w:color w:val="000000" w:themeColor="text1"/>
                <w:kern w:val="21"/>
                <w:sz w:val="24"/>
                <w14:textFill>
                  <w14:solidFill>
                    <w14:schemeClr w14:val="tx1"/>
                  </w14:solidFill>
                </w14:textFill>
              </w:rPr>
              <w:t>≤</w:t>
            </w:r>
            <w:r>
              <w:rPr>
                <w:rFonts w:hint="eastAsia"/>
                <w:color w:val="000000" w:themeColor="text1"/>
                <w:kern w:val="21"/>
                <w:sz w:val="24"/>
                <w14:textFill>
                  <w14:solidFill>
                    <w14:schemeClr w14:val="tx1"/>
                  </w14:solidFill>
                </w14:textFill>
              </w:rPr>
              <w:t>450</w:t>
            </w:r>
            <w:r>
              <w:rPr>
                <w:rFonts w:eastAsia="Times New Roman"/>
                <w:color w:val="000000" w:themeColor="text1"/>
                <w:kern w:val="21"/>
                <w:sz w:val="24"/>
                <w14:textFill>
                  <w14:solidFill>
                    <w14:schemeClr w14:val="tx1"/>
                  </w14:solidFill>
                </w14:textFill>
              </w:rPr>
              <w:t>mg/L</w:t>
            </w:r>
            <w:r>
              <w:rPr>
                <w:color w:val="000000" w:themeColor="text1"/>
                <w:kern w:val="21"/>
                <w:sz w:val="24"/>
                <w14:textFill>
                  <w14:solidFill>
                    <w14:schemeClr w14:val="tx1"/>
                  </w14:solidFill>
                </w14:textFill>
              </w:rPr>
              <w:t>、</w:t>
            </w:r>
            <w:r>
              <w:rPr>
                <w:rFonts w:hint="eastAsia"/>
                <w:color w:val="000000" w:themeColor="text1"/>
                <w:kern w:val="21"/>
                <w:sz w:val="24"/>
                <w14:textFill>
                  <w14:solidFill>
                    <w14:schemeClr w14:val="tx1"/>
                  </w14:solidFill>
                </w14:textFill>
              </w:rPr>
              <w:t>BOD</w:t>
            </w:r>
            <w:r>
              <w:rPr>
                <w:rFonts w:hint="eastAsia"/>
                <w:color w:val="000000" w:themeColor="text1"/>
                <w:kern w:val="21"/>
                <w:sz w:val="24"/>
                <w:vertAlign w:val="subscript"/>
                <w14:textFill>
                  <w14:solidFill>
                    <w14:schemeClr w14:val="tx1"/>
                  </w14:solidFill>
                </w14:textFill>
              </w:rPr>
              <w:t>5</w:t>
            </w:r>
            <w:r>
              <w:rPr>
                <w:color w:val="000000" w:themeColor="text1"/>
                <w:kern w:val="21"/>
                <w:sz w:val="24"/>
                <w14:textFill>
                  <w14:solidFill>
                    <w14:schemeClr w14:val="tx1"/>
                  </w14:solidFill>
                </w14:textFill>
              </w:rPr>
              <w:t>≤</w:t>
            </w:r>
            <w:r>
              <w:rPr>
                <w:rFonts w:hint="eastAsia"/>
                <w:color w:val="000000" w:themeColor="text1"/>
                <w:kern w:val="21"/>
                <w:sz w:val="24"/>
                <w14:textFill>
                  <w14:solidFill>
                    <w14:schemeClr w14:val="tx1"/>
                  </w14:solidFill>
                </w14:textFill>
              </w:rPr>
              <w:t>180mg/L、SS</w:t>
            </w:r>
            <w:r>
              <w:rPr>
                <w:color w:val="000000" w:themeColor="text1"/>
                <w:kern w:val="21"/>
                <w:sz w:val="24"/>
                <w14:textFill>
                  <w14:solidFill>
                    <w14:schemeClr w14:val="tx1"/>
                  </w14:solidFill>
                </w14:textFill>
              </w:rPr>
              <w:t>≤</w:t>
            </w:r>
            <w:r>
              <w:rPr>
                <w:rFonts w:hint="eastAsia"/>
                <w:color w:val="000000" w:themeColor="text1"/>
                <w:kern w:val="21"/>
                <w:sz w:val="24"/>
                <w14:textFill>
                  <w14:solidFill>
                    <w14:schemeClr w14:val="tx1"/>
                  </w14:solidFill>
                </w14:textFill>
              </w:rPr>
              <w:t>350</w:t>
            </w:r>
            <w:r>
              <w:rPr>
                <w:rFonts w:eastAsia="Times New Roman"/>
                <w:color w:val="000000" w:themeColor="text1"/>
                <w:kern w:val="21"/>
                <w:sz w:val="24"/>
                <w14:textFill>
                  <w14:solidFill>
                    <w14:schemeClr w14:val="tx1"/>
                  </w14:solidFill>
                </w14:textFill>
              </w:rPr>
              <w:t>mg/L</w:t>
            </w:r>
            <w:r>
              <w:rPr>
                <w:rFonts w:hint="eastAsia"/>
                <w:color w:val="000000" w:themeColor="text1"/>
                <w:kern w:val="21"/>
                <w:sz w:val="24"/>
                <w14:textFill>
                  <w14:solidFill>
                    <w14:schemeClr w14:val="tx1"/>
                  </w14:solidFill>
                </w14:textFill>
              </w:rPr>
              <w:t>、</w:t>
            </w:r>
            <w:r>
              <w:rPr>
                <w:rFonts w:eastAsia="Times New Roman"/>
                <w:color w:val="000000" w:themeColor="text1"/>
                <w:kern w:val="21"/>
                <w:sz w:val="24"/>
                <w14:textFill>
                  <w14:solidFill>
                    <w14:schemeClr w14:val="tx1"/>
                  </w14:solidFill>
                </w14:textFill>
              </w:rPr>
              <w:t>NH</w:t>
            </w:r>
            <w:r>
              <w:rPr>
                <w:rFonts w:eastAsia="Times New Roman"/>
                <w:color w:val="000000" w:themeColor="text1"/>
                <w:kern w:val="21"/>
                <w:sz w:val="24"/>
                <w:vertAlign w:val="subscript"/>
                <w14:textFill>
                  <w14:solidFill>
                    <w14:schemeClr w14:val="tx1"/>
                  </w14:solidFill>
                </w14:textFill>
              </w:rPr>
              <w:t>3</w:t>
            </w:r>
            <w:r>
              <w:rPr>
                <w:rFonts w:eastAsia="Times New Roman"/>
                <w:color w:val="000000" w:themeColor="text1"/>
                <w:kern w:val="21"/>
                <w:sz w:val="24"/>
                <w14:textFill>
                  <w14:solidFill>
                    <w14:schemeClr w14:val="tx1"/>
                  </w14:solidFill>
                </w14:textFill>
              </w:rPr>
              <w:t>-N</w:t>
            </w:r>
            <w:r>
              <w:rPr>
                <w:color w:val="000000" w:themeColor="text1"/>
                <w:kern w:val="21"/>
                <w:sz w:val="24"/>
                <w14:textFill>
                  <w14:solidFill>
                    <w14:schemeClr w14:val="tx1"/>
                  </w14:solidFill>
                </w14:textFill>
              </w:rPr>
              <w:t>≤</w:t>
            </w:r>
            <w:r>
              <w:rPr>
                <w:rFonts w:hint="eastAsia"/>
                <w:color w:val="000000" w:themeColor="text1"/>
                <w:kern w:val="21"/>
                <w:sz w:val="24"/>
                <w14:textFill>
                  <w14:solidFill>
                    <w14:schemeClr w14:val="tx1"/>
                  </w14:solidFill>
                </w14:textFill>
              </w:rPr>
              <w:t>35</w:t>
            </w:r>
            <w:r>
              <w:rPr>
                <w:rFonts w:eastAsia="Times New Roman"/>
                <w:color w:val="000000" w:themeColor="text1"/>
                <w:kern w:val="21"/>
                <w:sz w:val="24"/>
                <w14:textFill>
                  <w14:solidFill>
                    <w14:schemeClr w14:val="tx1"/>
                  </w14:solidFill>
                </w14:textFill>
              </w:rPr>
              <w:t>mg/L</w:t>
            </w:r>
            <w:r>
              <w:rPr>
                <w:rFonts w:hint="eastAsia"/>
                <w:color w:val="000000" w:themeColor="text1"/>
                <w:kern w:val="21"/>
                <w:sz w:val="24"/>
                <w14:textFill>
                  <w14:solidFill>
                    <w14:schemeClr w14:val="tx1"/>
                  </w14:solidFill>
                </w14:textFill>
              </w:rPr>
              <w:t>、TP</w:t>
            </w:r>
            <w:r>
              <w:rPr>
                <w:color w:val="000000" w:themeColor="text1"/>
                <w:kern w:val="21"/>
                <w:sz w:val="24"/>
                <w14:textFill>
                  <w14:solidFill>
                    <w14:schemeClr w14:val="tx1"/>
                  </w14:solidFill>
                </w14:textFill>
              </w:rPr>
              <w:t>≤</w:t>
            </w:r>
            <w:r>
              <w:rPr>
                <w:rFonts w:hint="eastAsia"/>
                <w:color w:val="000000" w:themeColor="text1"/>
                <w:kern w:val="21"/>
                <w:sz w:val="24"/>
                <w14:textFill>
                  <w14:solidFill>
                    <w14:schemeClr w14:val="tx1"/>
                  </w14:solidFill>
                </w14:textFill>
              </w:rPr>
              <w:t>6</w:t>
            </w:r>
            <w:r>
              <w:rPr>
                <w:rFonts w:eastAsia="Times New Roman"/>
                <w:color w:val="000000" w:themeColor="text1"/>
                <w:kern w:val="21"/>
                <w:sz w:val="24"/>
                <w14:textFill>
                  <w14:solidFill>
                    <w14:schemeClr w14:val="tx1"/>
                  </w14:solidFill>
                </w14:textFill>
              </w:rPr>
              <w:t>mg/L</w:t>
            </w:r>
            <w:r>
              <w:rPr>
                <w:rFonts w:hint="eastAsia"/>
                <w:color w:val="000000" w:themeColor="text1"/>
                <w:kern w:val="21"/>
                <w:sz w:val="24"/>
                <w14:textFill>
                  <w14:solidFill>
                    <w14:schemeClr w14:val="tx1"/>
                  </w14:solidFill>
                </w14:textFill>
              </w:rPr>
              <w:t>，出水水质执行《城镇污水处理厂污染物排放标准》（GB18918-2002）一级A标准（COD</w:t>
            </w:r>
            <w:r>
              <w:rPr>
                <w:color w:val="000000" w:themeColor="text1"/>
                <w:kern w:val="21"/>
                <w:sz w:val="24"/>
                <w14:textFill>
                  <w14:solidFill>
                    <w14:schemeClr w14:val="tx1"/>
                  </w14:solidFill>
                </w14:textFill>
              </w:rPr>
              <w:t>≤</w:t>
            </w:r>
            <w:r>
              <w:rPr>
                <w:rFonts w:hint="eastAsia"/>
                <w:color w:val="000000" w:themeColor="text1"/>
                <w:kern w:val="21"/>
                <w:sz w:val="24"/>
                <w14:textFill>
                  <w14:solidFill>
                    <w14:schemeClr w14:val="tx1"/>
                  </w14:solidFill>
                </w14:textFill>
              </w:rPr>
              <w:t>50</w:t>
            </w:r>
            <w:r>
              <w:rPr>
                <w:rFonts w:eastAsia="Times New Roman"/>
                <w:color w:val="000000" w:themeColor="text1"/>
                <w:kern w:val="21"/>
                <w:sz w:val="24"/>
                <w14:textFill>
                  <w14:solidFill>
                    <w14:schemeClr w14:val="tx1"/>
                  </w14:solidFill>
                </w14:textFill>
              </w:rPr>
              <w:t>mg/L</w:t>
            </w:r>
            <w:r>
              <w:rPr>
                <w:rFonts w:hint="eastAsia"/>
                <w:color w:val="000000" w:themeColor="text1"/>
                <w:kern w:val="21"/>
                <w:sz w:val="24"/>
                <w14:textFill>
                  <w14:solidFill>
                    <w14:schemeClr w14:val="tx1"/>
                  </w14:solidFill>
                </w14:textFill>
              </w:rPr>
              <w:t>、</w:t>
            </w:r>
            <w:r>
              <w:rPr>
                <w:rFonts w:eastAsia="Times New Roman"/>
                <w:color w:val="000000" w:themeColor="text1"/>
                <w:kern w:val="21"/>
                <w:sz w:val="24"/>
                <w14:textFill>
                  <w14:solidFill>
                    <w14:schemeClr w14:val="tx1"/>
                  </w14:solidFill>
                </w14:textFill>
              </w:rPr>
              <w:t>NH</w:t>
            </w:r>
            <w:r>
              <w:rPr>
                <w:rFonts w:eastAsia="Times New Roman"/>
                <w:color w:val="000000" w:themeColor="text1"/>
                <w:kern w:val="21"/>
                <w:sz w:val="24"/>
                <w:vertAlign w:val="subscript"/>
                <w14:textFill>
                  <w14:solidFill>
                    <w14:schemeClr w14:val="tx1"/>
                  </w14:solidFill>
                </w14:textFill>
              </w:rPr>
              <w:t>3</w:t>
            </w:r>
            <w:r>
              <w:rPr>
                <w:rFonts w:eastAsia="Times New Roman"/>
                <w:color w:val="000000" w:themeColor="text1"/>
                <w:kern w:val="21"/>
                <w:sz w:val="24"/>
                <w14:textFill>
                  <w14:solidFill>
                    <w14:schemeClr w14:val="tx1"/>
                  </w14:solidFill>
                </w14:textFill>
              </w:rPr>
              <w:t>-N</w:t>
            </w:r>
            <w:r>
              <w:rPr>
                <w:color w:val="000000" w:themeColor="text1"/>
                <w:kern w:val="21"/>
                <w:sz w:val="24"/>
                <w14:textFill>
                  <w14:solidFill>
                    <w14:schemeClr w14:val="tx1"/>
                  </w14:solidFill>
                </w14:textFill>
              </w:rPr>
              <w:t>≤</w:t>
            </w:r>
            <w:r>
              <w:rPr>
                <w:rFonts w:hint="eastAsia"/>
                <w:color w:val="000000" w:themeColor="text1"/>
                <w:kern w:val="21"/>
                <w:sz w:val="24"/>
                <w14:textFill>
                  <w14:solidFill>
                    <w14:schemeClr w14:val="tx1"/>
                  </w14:solidFill>
                </w14:textFill>
              </w:rPr>
              <w:t>5</w:t>
            </w:r>
            <w:r>
              <w:rPr>
                <w:rFonts w:eastAsia="Times New Roman"/>
                <w:color w:val="000000" w:themeColor="text1"/>
                <w:kern w:val="21"/>
                <w:sz w:val="24"/>
                <w14:textFill>
                  <w14:solidFill>
                    <w14:schemeClr w14:val="tx1"/>
                  </w14:solidFill>
                </w14:textFill>
              </w:rPr>
              <w:t>mg/L</w:t>
            </w:r>
            <w:r>
              <w:rPr>
                <w:rFonts w:hint="eastAsia"/>
                <w:color w:val="000000" w:themeColor="text1"/>
                <w:kern w:val="21"/>
                <w:sz w:val="24"/>
                <w14:textFill>
                  <w14:solidFill>
                    <w14:schemeClr w14:val="tx1"/>
                  </w14:solidFill>
                </w14:textFill>
              </w:rPr>
              <w:t>、TP</w:t>
            </w:r>
            <w:r>
              <w:rPr>
                <w:color w:val="000000" w:themeColor="text1"/>
                <w:kern w:val="21"/>
                <w:sz w:val="24"/>
                <w14:textFill>
                  <w14:solidFill>
                    <w14:schemeClr w14:val="tx1"/>
                  </w14:solidFill>
                </w14:textFill>
              </w:rPr>
              <w:t>≤</w:t>
            </w:r>
            <w:r>
              <w:rPr>
                <w:rFonts w:hint="eastAsia"/>
                <w:color w:val="000000" w:themeColor="text1"/>
                <w:kern w:val="21"/>
                <w:sz w:val="24"/>
                <w14:textFill>
                  <w14:solidFill>
                    <w14:schemeClr w14:val="tx1"/>
                  </w14:solidFill>
                </w14:textFill>
              </w:rPr>
              <w:t>0.5</w:t>
            </w:r>
            <w:r>
              <w:rPr>
                <w:rFonts w:eastAsia="Times New Roman"/>
                <w:color w:val="000000" w:themeColor="text1"/>
                <w:kern w:val="21"/>
                <w:sz w:val="24"/>
                <w14:textFill>
                  <w14:solidFill>
                    <w14:schemeClr w14:val="tx1"/>
                  </w14:solidFill>
                </w14:textFill>
              </w:rPr>
              <w:t>mg/L</w:t>
            </w:r>
            <w:r>
              <w:rPr>
                <w:rFonts w:hint="eastAsia"/>
                <w:color w:val="000000" w:themeColor="text1"/>
                <w:kern w:val="21"/>
                <w:sz w:val="24"/>
                <w14:textFill>
                  <w14:solidFill>
                    <w14:schemeClr w14:val="tx1"/>
                  </w14:solidFill>
                </w14:textFill>
              </w:rPr>
              <w:t>），处理达标后，排入东孟姜女河。</w:t>
            </w:r>
          </w:p>
          <w:p>
            <w:pPr>
              <w:spacing w:line="360" w:lineRule="auto"/>
              <w:ind w:firstLine="480" w:firstLineChars="200"/>
              <w:rPr>
                <w:color w:val="000000" w:themeColor="text1"/>
                <w:kern w:val="21"/>
                <w:sz w:val="24"/>
                <w14:textFill>
                  <w14:solidFill>
                    <w14:schemeClr w14:val="tx1"/>
                  </w14:solidFill>
                </w14:textFill>
              </w:rPr>
            </w:pPr>
            <w:r>
              <w:rPr>
                <w:rFonts w:hint="eastAsia"/>
                <w:color w:val="000000" w:themeColor="text1"/>
                <w:kern w:val="21"/>
                <w:sz w:val="24"/>
                <w14:textFill>
                  <w14:solidFill>
                    <w14:schemeClr w14:val="tx1"/>
                  </w14:solidFill>
                </w14:textFill>
              </w:rPr>
              <w:t>本项目水污染物总量控制指标按贾屯污水处理厂出水浓度计算，出水水质为</w:t>
            </w:r>
            <w:r>
              <w:rPr>
                <w:rFonts w:eastAsia="TimesNewRomanPSMT"/>
                <w:color w:val="000000" w:themeColor="text1"/>
                <w:kern w:val="21"/>
                <w:sz w:val="24"/>
                <w14:textFill>
                  <w14:solidFill>
                    <w14:schemeClr w14:val="tx1"/>
                  </w14:solidFill>
                </w14:textFill>
              </w:rPr>
              <w:t>COD</w:t>
            </w:r>
            <w:r>
              <w:rPr>
                <w:color w:val="000000" w:themeColor="text1"/>
                <w:kern w:val="21"/>
                <w:sz w:val="24"/>
                <w14:textFill>
                  <w14:solidFill>
                    <w14:schemeClr w14:val="tx1"/>
                  </w14:solidFill>
                </w14:textFill>
              </w:rPr>
              <w:t xml:space="preserve"> </w:t>
            </w:r>
            <w:r>
              <w:rPr>
                <w:rFonts w:hint="eastAsia"/>
                <w:color w:val="000000" w:themeColor="text1"/>
                <w:kern w:val="21"/>
                <w:sz w:val="24"/>
                <w14:textFill>
                  <w14:solidFill>
                    <w14:schemeClr w14:val="tx1"/>
                  </w14:solidFill>
                </w14:textFill>
              </w:rPr>
              <w:t>50</w:t>
            </w:r>
            <w:r>
              <w:rPr>
                <w:color w:val="000000" w:themeColor="text1"/>
                <w:kern w:val="21"/>
                <w:sz w:val="24"/>
                <w14:textFill>
                  <w14:solidFill>
                    <w14:schemeClr w14:val="tx1"/>
                  </w14:solidFill>
                </w14:textFill>
              </w:rPr>
              <w:t>mg/L</w:t>
            </w:r>
            <w:r>
              <w:rPr>
                <w:rFonts w:eastAsia="MicrosoftYaHei"/>
                <w:color w:val="000000" w:themeColor="text1"/>
                <w:kern w:val="21"/>
                <w:sz w:val="24"/>
                <w14:textFill>
                  <w14:solidFill>
                    <w14:schemeClr w14:val="tx1"/>
                  </w14:solidFill>
                </w14:textFill>
              </w:rPr>
              <w:t>、</w:t>
            </w:r>
            <w:r>
              <w:rPr>
                <w:rFonts w:eastAsia="TimesNewRomanPSMT"/>
                <w:color w:val="000000" w:themeColor="text1"/>
                <w:kern w:val="21"/>
                <w:sz w:val="24"/>
                <w14:textFill>
                  <w14:solidFill>
                    <w14:schemeClr w14:val="tx1"/>
                  </w14:solidFill>
                </w14:textFill>
              </w:rPr>
              <w:t>NH</w:t>
            </w:r>
            <w:r>
              <w:rPr>
                <w:rFonts w:eastAsia="TimesNewRomanPSMT"/>
                <w:color w:val="000000" w:themeColor="text1"/>
                <w:kern w:val="21"/>
                <w:sz w:val="24"/>
                <w:vertAlign w:val="subscript"/>
                <w14:textFill>
                  <w14:solidFill>
                    <w14:schemeClr w14:val="tx1"/>
                  </w14:solidFill>
                </w14:textFill>
              </w:rPr>
              <w:t>3</w:t>
            </w:r>
            <w:r>
              <w:rPr>
                <w:rFonts w:eastAsia="TimesNewRomanPSMT"/>
                <w:color w:val="000000" w:themeColor="text1"/>
                <w:kern w:val="21"/>
                <w:sz w:val="24"/>
                <w14:textFill>
                  <w14:solidFill>
                    <w14:schemeClr w14:val="tx1"/>
                  </w14:solidFill>
                </w14:textFill>
              </w:rPr>
              <w:t>-N</w:t>
            </w:r>
            <w:r>
              <w:rPr>
                <w:rFonts w:hint="eastAsia"/>
                <w:color w:val="000000" w:themeColor="text1"/>
                <w:kern w:val="21"/>
                <w:sz w:val="24"/>
                <w14:textFill>
                  <w14:solidFill>
                    <w14:schemeClr w14:val="tx1"/>
                  </w14:solidFill>
                </w14:textFill>
              </w:rPr>
              <w:t xml:space="preserve"> 5</w:t>
            </w:r>
            <w:r>
              <w:rPr>
                <w:rFonts w:eastAsia="TimesNewRomanPSMT"/>
                <w:color w:val="000000" w:themeColor="text1"/>
                <w:kern w:val="21"/>
                <w:sz w:val="24"/>
                <w14:textFill>
                  <w14:solidFill>
                    <w14:schemeClr w14:val="tx1"/>
                  </w14:solidFill>
                </w14:textFill>
              </w:rPr>
              <w:t>mg/</w:t>
            </w:r>
            <w:r>
              <w:rPr>
                <w:rFonts w:hint="eastAsia"/>
                <w:color w:val="000000" w:themeColor="text1"/>
                <w:kern w:val="21"/>
                <w:sz w:val="24"/>
                <w14:textFill>
                  <w14:solidFill>
                    <w14:schemeClr w14:val="tx1"/>
                  </w14:solidFill>
                </w14:textFill>
              </w:rPr>
              <w:t>L、TP 0.5</w:t>
            </w:r>
            <w:r>
              <w:rPr>
                <w:rFonts w:eastAsia="TimesNewRomanPSMT"/>
                <w:color w:val="000000" w:themeColor="text1"/>
                <w:kern w:val="21"/>
                <w:sz w:val="24"/>
                <w14:textFill>
                  <w14:solidFill>
                    <w14:schemeClr w14:val="tx1"/>
                  </w14:solidFill>
                </w14:textFill>
              </w:rPr>
              <w:t>mg/</w:t>
            </w:r>
            <w:r>
              <w:rPr>
                <w:rFonts w:hint="eastAsia"/>
                <w:color w:val="000000" w:themeColor="text1"/>
                <w:kern w:val="21"/>
                <w:sz w:val="24"/>
                <w14:textFill>
                  <w14:solidFill>
                    <w14:schemeClr w14:val="tx1"/>
                  </w14:solidFill>
                </w14:textFill>
              </w:rPr>
              <w:t>L，本项目废水排放总量为</w:t>
            </w:r>
            <w:r>
              <w:rPr>
                <w:rFonts w:hint="eastAsia"/>
                <w:snapToGrid w:val="0"/>
                <w:color w:val="000000" w:themeColor="text1"/>
                <w:kern w:val="21"/>
                <w:sz w:val="24"/>
                <w:lang w:val="en-US" w:eastAsia="zh-CN"/>
                <w14:textFill>
                  <w14:solidFill>
                    <w14:schemeClr w14:val="tx1"/>
                  </w14:solidFill>
                </w14:textFill>
              </w:rPr>
              <w:t>76.8</w:t>
            </w:r>
            <w:r>
              <w:rPr>
                <w:rFonts w:hint="eastAsia"/>
                <w:color w:val="000000" w:themeColor="text1"/>
                <w:kern w:val="21"/>
                <w:sz w:val="24"/>
                <w14:textFill>
                  <w14:solidFill>
                    <w14:schemeClr w14:val="tx1"/>
                  </w14:solidFill>
                </w14:textFill>
              </w:rPr>
              <w:t>t/a，则本项目建议总量控制指标为COD</w:t>
            </w:r>
            <w:r>
              <w:rPr>
                <w:rFonts w:hint="eastAsia"/>
                <w:color w:val="000000" w:themeColor="text1"/>
                <w:kern w:val="21"/>
                <w:sz w:val="24"/>
                <w:lang w:val="en-US" w:eastAsia="zh-CN"/>
                <w14:textFill>
                  <w14:solidFill>
                    <w14:schemeClr w14:val="tx1"/>
                  </w14:solidFill>
                </w14:textFill>
              </w:rPr>
              <w:t xml:space="preserve"> </w:t>
            </w:r>
            <w:r>
              <w:rPr>
                <w:rFonts w:hint="eastAsia"/>
                <w:snapToGrid w:val="0"/>
                <w:color w:val="000000" w:themeColor="text1"/>
                <w:kern w:val="0"/>
                <w:sz w:val="24"/>
                <w14:textFill>
                  <w14:solidFill>
                    <w14:schemeClr w14:val="tx1"/>
                  </w14:solidFill>
                </w14:textFill>
              </w:rPr>
              <w:t>0.</w:t>
            </w:r>
            <w:r>
              <w:rPr>
                <w:rFonts w:hint="eastAsia"/>
                <w:snapToGrid w:val="0"/>
                <w:color w:val="000000" w:themeColor="text1"/>
                <w:kern w:val="0"/>
                <w:sz w:val="24"/>
                <w:lang w:val="en-US" w:eastAsia="zh-CN"/>
                <w14:textFill>
                  <w14:solidFill>
                    <w14:schemeClr w14:val="tx1"/>
                  </w14:solidFill>
                </w14:textFill>
              </w:rPr>
              <w:t>0038</w:t>
            </w:r>
            <w:r>
              <w:rPr>
                <w:rFonts w:hint="eastAsia"/>
                <w:color w:val="000000" w:themeColor="text1"/>
                <w:kern w:val="21"/>
                <w:sz w:val="24"/>
                <w14:textFill>
                  <w14:solidFill>
                    <w14:schemeClr w14:val="tx1"/>
                  </w14:solidFill>
                </w14:textFill>
              </w:rPr>
              <w:t>t/a、NH</w:t>
            </w:r>
            <w:r>
              <w:rPr>
                <w:rFonts w:hint="eastAsia"/>
                <w:color w:val="000000" w:themeColor="text1"/>
                <w:kern w:val="21"/>
                <w:sz w:val="24"/>
                <w:vertAlign w:val="subscript"/>
                <w14:textFill>
                  <w14:solidFill>
                    <w14:schemeClr w14:val="tx1"/>
                  </w14:solidFill>
                </w14:textFill>
              </w:rPr>
              <w:t>3</w:t>
            </w:r>
            <w:r>
              <w:rPr>
                <w:rFonts w:hint="eastAsia"/>
                <w:color w:val="000000" w:themeColor="text1"/>
                <w:kern w:val="21"/>
                <w:sz w:val="24"/>
                <w14:textFill>
                  <w14:solidFill>
                    <w14:schemeClr w14:val="tx1"/>
                  </w14:solidFill>
                </w14:textFill>
              </w:rPr>
              <w:t xml:space="preserve">-N </w:t>
            </w:r>
            <w:r>
              <w:rPr>
                <w:rFonts w:hint="eastAsia"/>
                <w:color w:val="000000" w:themeColor="text1"/>
                <w:sz w:val="24"/>
                <w14:textFill>
                  <w14:solidFill>
                    <w14:schemeClr w14:val="tx1"/>
                  </w14:solidFill>
                </w14:textFill>
              </w:rPr>
              <w:t>0.00</w:t>
            </w:r>
            <w:r>
              <w:rPr>
                <w:rFonts w:hint="eastAsia"/>
                <w:color w:val="000000" w:themeColor="text1"/>
                <w:sz w:val="24"/>
                <w:lang w:val="en-US" w:eastAsia="zh-CN"/>
                <w14:textFill>
                  <w14:solidFill>
                    <w14:schemeClr w14:val="tx1"/>
                  </w14:solidFill>
                </w14:textFill>
              </w:rPr>
              <w:t>04</w:t>
            </w:r>
            <w:r>
              <w:rPr>
                <w:rFonts w:hint="eastAsia"/>
                <w:color w:val="000000" w:themeColor="text1"/>
                <w:kern w:val="21"/>
                <w:sz w:val="24"/>
                <w14:textFill>
                  <w14:solidFill>
                    <w14:schemeClr w14:val="tx1"/>
                  </w14:solidFill>
                </w14:textFill>
              </w:rPr>
              <w:t xml:space="preserve">t/a、TP </w:t>
            </w:r>
            <w:r>
              <w:rPr>
                <w:rFonts w:hint="eastAsia"/>
                <w:color w:val="000000" w:themeColor="text1"/>
                <w:sz w:val="24"/>
                <w14:textFill>
                  <w14:solidFill>
                    <w14:schemeClr w14:val="tx1"/>
                  </w14:solidFill>
                </w14:textFill>
              </w:rPr>
              <w:t>0.000</w:t>
            </w:r>
            <w:r>
              <w:rPr>
                <w:rFonts w:hint="eastAsia"/>
                <w:color w:val="000000" w:themeColor="text1"/>
                <w:sz w:val="24"/>
                <w:lang w:val="en-US" w:eastAsia="zh-CN"/>
                <w14:textFill>
                  <w14:solidFill>
                    <w14:schemeClr w14:val="tx1"/>
                  </w14:solidFill>
                </w14:textFill>
              </w:rPr>
              <w:t>04</w:t>
            </w:r>
            <w:r>
              <w:rPr>
                <w:rFonts w:hint="eastAsia"/>
                <w:color w:val="000000" w:themeColor="text1"/>
                <w:kern w:val="21"/>
                <w:sz w:val="24"/>
                <w14:textFill>
                  <w14:solidFill>
                    <w14:schemeClr w14:val="tx1"/>
                  </w14:solidFill>
                </w14:textFill>
              </w:rPr>
              <w:t>t/a。</w:t>
            </w:r>
          </w:p>
          <w:p>
            <w:pPr>
              <w:spacing w:line="360" w:lineRule="auto"/>
              <w:rPr>
                <w:b/>
                <w:snapToGrid w:val="0"/>
                <w:kern w:val="0"/>
                <w:sz w:val="24"/>
              </w:rPr>
            </w:pPr>
            <w:r>
              <w:rPr>
                <w:b/>
                <w:snapToGrid w:val="0"/>
                <w:kern w:val="0"/>
                <w:sz w:val="24"/>
              </w:rPr>
              <w:t>三、噪声</w:t>
            </w:r>
            <w:r>
              <w:rPr>
                <w:rFonts w:hint="eastAsia"/>
                <w:b/>
                <w:bCs/>
                <w:sz w:val="24"/>
              </w:rPr>
              <w:t>环境影响分析</w:t>
            </w:r>
          </w:p>
          <w:p>
            <w:pPr>
              <w:spacing w:line="360" w:lineRule="auto"/>
              <w:ind w:firstLine="480" w:firstLineChars="200"/>
              <w:rPr>
                <w:snapToGrid w:val="0"/>
                <w:color w:val="000000"/>
                <w:sz w:val="24"/>
              </w:rPr>
            </w:pPr>
            <w:r>
              <w:rPr>
                <w:snapToGrid w:val="0"/>
                <w:color w:val="000000"/>
                <w:sz w:val="24"/>
              </w:rPr>
              <w:t>根据项目设备的噪声排放特点，按照《环境影响评价技术导则-声环境》HJ2.4-2009的要求，选择点声源预测模式预测噪声源排放噪声随距离的衰减变化规律。</w:t>
            </w:r>
          </w:p>
          <w:p>
            <w:pPr>
              <w:spacing w:line="360" w:lineRule="auto"/>
              <w:ind w:firstLine="480" w:firstLineChars="200"/>
              <w:rPr>
                <w:color w:val="000000"/>
                <w:sz w:val="24"/>
              </w:rPr>
            </w:pPr>
            <w:r>
              <w:rPr>
                <w:color w:val="000000"/>
                <w:sz w:val="24"/>
              </w:rPr>
              <w:sym w:font="Wingdings" w:char="F081"/>
            </w:r>
            <w:r>
              <w:rPr>
                <w:color w:val="000000"/>
                <w:sz w:val="24"/>
              </w:rPr>
              <w:t>已知 A 声功率级或者某点的 A 声级时，可以按下列公式计算距离该点声源r米处的 A 声级：</w:t>
            </w:r>
          </w:p>
          <w:p>
            <w:pPr>
              <w:spacing w:line="360" w:lineRule="auto"/>
              <w:ind w:firstLine="480" w:firstLineChars="200"/>
              <w:rPr>
                <w:color w:val="000000"/>
                <w:sz w:val="24"/>
              </w:rPr>
            </w:pPr>
            <w:r>
              <w:rPr>
                <w:color w:val="000000"/>
                <w:sz w:val="24"/>
              </w:rPr>
              <w:t xml:space="preserve">                       L</w:t>
            </w:r>
            <w:r>
              <w:rPr>
                <w:color w:val="000000"/>
                <w:sz w:val="24"/>
                <w:vertAlign w:val="subscript"/>
              </w:rPr>
              <w:t>2</w:t>
            </w:r>
            <w:r>
              <w:rPr>
                <w:color w:val="000000"/>
                <w:sz w:val="24"/>
              </w:rPr>
              <w:t>=L</w:t>
            </w:r>
            <w:r>
              <w:rPr>
                <w:color w:val="000000"/>
                <w:sz w:val="24"/>
                <w:vertAlign w:val="subscript"/>
              </w:rPr>
              <w:t>1</w:t>
            </w:r>
            <w:r>
              <w:rPr>
                <w:color w:val="000000"/>
                <w:sz w:val="24"/>
              </w:rPr>
              <w:t xml:space="preserve"> – 20lg（r</w:t>
            </w:r>
            <w:r>
              <w:rPr>
                <w:color w:val="000000"/>
                <w:sz w:val="24"/>
                <w:vertAlign w:val="subscript"/>
              </w:rPr>
              <w:t>2</w:t>
            </w:r>
            <w:r>
              <w:rPr>
                <w:color w:val="000000"/>
                <w:sz w:val="24"/>
              </w:rPr>
              <w:t>/r</w:t>
            </w:r>
            <w:r>
              <w:rPr>
                <w:color w:val="000000"/>
                <w:sz w:val="24"/>
                <w:vertAlign w:val="subscript"/>
              </w:rPr>
              <w:t>1</w:t>
            </w:r>
            <w:r>
              <w:rPr>
                <w:color w:val="000000"/>
                <w:sz w:val="24"/>
              </w:rPr>
              <w:t>）</w:t>
            </w:r>
          </w:p>
          <w:p>
            <w:pPr>
              <w:spacing w:line="360" w:lineRule="auto"/>
              <w:ind w:firstLine="480" w:firstLineChars="200"/>
              <w:rPr>
                <w:color w:val="000000"/>
                <w:sz w:val="24"/>
              </w:rPr>
            </w:pPr>
            <w:r>
              <w:rPr>
                <w:color w:val="000000"/>
                <w:sz w:val="24"/>
              </w:rPr>
              <w:t>式中： r</w:t>
            </w:r>
            <w:r>
              <w:rPr>
                <w:color w:val="000000"/>
                <w:sz w:val="24"/>
                <w:vertAlign w:val="subscript"/>
              </w:rPr>
              <w:t>1</w:t>
            </w:r>
            <w:r>
              <w:rPr>
                <w:color w:val="000000"/>
                <w:sz w:val="24"/>
              </w:rPr>
              <w:t>、r</w:t>
            </w:r>
            <w:r>
              <w:rPr>
                <w:color w:val="000000"/>
                <w:sz w:val="24"/>
                <w:vertAlign w:val="subscript"/>
              </w:rPr>
              <w:t>2</w:t>
            </w:r>
            <w:r>
              <w:rPr>
                <w:color w:val="000000"/>
                <w:sz w:val="24"/>
              </w:rPr>
              <w:t xml:space="preserve"> ——距声源距离（m），</w:t>
            </w:r>
          </w:p>
          <w:p>
            <w:pPr>
              <w:spacing w:line="360" w:lineRule="auto"/>
              <w:ind w:firstLine="1320" w:firstLineChars="550"/>
              <w:rPr>
                <w:color w:val="000000"/>
                <w:sz w:val="24"/>
              </w:rPr>
            </w:pPr>
            <w:r>
              <w:rPr>
                <w:color w:val="000000"/>
                <w:sz w:val="24"/>
              </w:rPr>
              <w:t>L</w:t>
            </w:r>
            <w:r>
              <w:rPr>
                <w:color w:val="000000"/>
                <w:sz w:val="24"/>
                <w:vertAlign w:val="subscript"/>
              </w:rPr>
              <w:t>2</w:t>
            </w:r>
            <w:r>
              <w:rPr>
                <w:color w:val="000000"/>
                <w:sz w:val="24"/>
              </w:rPr>
              <w:t>、L</w:t>
            </w:r>
            <w:r>
              <w:rPr>
                <w:color w:val="000000"/>
                <w:sz w:val="24"/>
                <w:vertAlign w:val="subscript"/>
              </w:rPr>
              <w:t>1</w:t>
            </w:r>
            <w:r>
              <w:rPr>
                <w:color w:val="000000"/>
                <w:sz w:val="24"/>
              </w:rPr>
              <w:t xml:space="preserve"> —— r</w:t>
            </w:r>
            <w:r>
              <w:rPr>
                <w:color w:val="000000"/>
                <w:sz w:val="24"/>
                <w:vertAlign w:val="subscript"/>
              </w:rPr>
              <w:t>2</w:t>
            </w:r>
            <w:r>
              <w:rPr>
                <w:color w:val="000000"/>
                <w:sz w:val="24"/>
              </w:rPr>
              <w:t xml:space="preserve"> 、r</w:t>
            </w:r>
            <w:r>
              <w:rPr>
                <w:color w:val="000000"/>
                <w:sz w:val="24"/>
                <w:vertAlign w:val="subscript"/>
              </w:rPr>
              <w:t>1</w:t>
            </w:r>
            <w:r>
              <w:rPr>
                <w:color w:val="000000"/>
                <w:sz w:val="24"/>
              </w:rPr>
              <w:t>处的声级强度。</w:t>
            </w:r>
          </w:p>
          <w:p>
            <w:pPr>
              <w:spacing w:line="360" w:lineRule="auto"/>
              <w:ind w:firstLine="480" w:firstLineChars="200"/>
              <w:rPr>
                <w:color w:val="000000"/>
                <w:sz w:val="24"/>
              </w:rPr>
            </w:pPr>
            <w:r>
              <w:rPr>
                <w:color w:val="000000"/>
                <w:sz w:val="24"/>
              </w:rPr>
              <w:sym w:font="Wingdings" w:char="0082"/>
            </w:r>
            <w:r>
              <w:rPr>
                <w:color w:val="000000"/>
                <w:sz w:val="24"/>
              </w:rPr>
              <w:t>对两个以上多个声源同时存在时，多点源叠加计算总源强，采用如下公式：两个以上多声源同时存在时，总声压级用下式计算：</w:t>
            </w:r>
          </w:p>
          <w:p>
            <w:pPr>
              <w:spacing w:line="360" w:lineRule="auto"/>
              <w:ind w:firstLine="480" w:firstLineChars="200"/>
              <w:rPr>
                <w:color w:val="000000"/>
                <w:sz w:val="24"/>
              </w:rPr>
            </w:pPr>
            <w:r>
              <w:rPr>
                <w:color w:val="000000"/>
                <w:sz w:val="24"/>
              </w:rPr>
              <w:pict>
                <v:shape id="对象 2482" o:spid="_x0000_s1045" o:spt="75" type="#_x0000_t75" style="position:absolute;left:0pt;margin-left:138.8pt;margin-top:7.7pt;height:41.45pt;width:114.05pt;mso-wrap-distance-bottom:0pt;mso-wrap-distance-top:0pt;z-index:251667456;mso-width-relative:page;mso-height-relative:page;" o:ole="t" filled="f" o:preferrelative="t" stroked="f" coordsize="21600,21600">
                  <v:path/>
                  <v:fill on="f" focussize="0,0"/>
                  <v:stroke on="f" joinstyle="miter"/>
                  <v:imagedata r:id="rId8" o:title=""/>
                  <o:lock v:ext="edit" aspectratio="t"/>
                  <w10:wrap type="topAndBottom"/>
                </v:shape>
                <o:OLEObject Type="Embed" ProgID="Equation.3" ShapeID="对象 2482" DrawAspect="Content" ObjectID="_1468075725" r:id="rId7">
                  <o:LockedField>false</o:LockedField>
                </o:OLEObject>
              </w:pict>
            </w:r>
          </w:p>
          <w:p>
            <w:pPr>
              <w:spacing w:line="360" w:lineRule="auto"/>
              <w:ind w:firstLine="480" w:firstLineChars="200"/>
              <w:rPr>
                <w:color w:val="000000"/>
                <w:sz w:val="24"/>
              </w:rPr>
            </w:pPr>
            <w:r>
              <w:rPr>
                <w:color w:val="000000"/>
                <w:sz w:val="24"/>
              </w:rPr>
              <w:drawing>
                <wp:anchor distT="0" distB="0" distL="114300" distR="114300" simplePos="0" relativeHeight="251648000" behindDoc="0" locked="1" layoutInCell="0" allowOverlap="1">
                  <wp:simplePos x="0" y="0"/>
                  <wp:positionH relativeFrom="page">
                    <wp:posOffset>-39630985</wp:posOffset>
                  </wp:positionH>
                  <wp:positionV relativeFrom="page">
                    <wp:posOffset>-635</wp:posOffset>
                  </wp:positionV>
                  <wp:extent cx="39630350" cy="0"/>
                  <wp:effectExtent l="0" t="0" r="0" b="0"/>
                  <wp:wrapSquare wrapText="bothSides"/>
                  <wp:docPr id="1"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24"/>
                          <pic:cNvPicPr>
                            <a:picLocks noChangeAspect="1"/>
                          </pic:cNvPicPr>
                        </pic:nvPicPr>
                        <pic:blipFill>
                          <a:blip r:embed="rId8"/>
                          <a:stretch>
                            <a:fillRect/>
                          </a:stretch>
                        </pic:blipFill>
                        <pic:spPr>
                          <a:xfrm>
                            <a:off x="0" y="0"/>
                            <a:ext cx="39630350" cy="0"/>
                          </a:xfrm>
                          <a:prstGeom prst="rect">
                            <a:avLst/>
                          </a:prstGeom>
                          <a:noFill/>
                          <a:ln w="9525">
                            <a:noFill/>
                          </a:ln>
                        </pic:spPr>
                      </pic:pic>
                    </a:graphicData>
                  </a:graphic>
                </wp:anchor>
              </w:drawing>
            </w:r>
            <w:r>
              <w:rPr>
                <w:color w:val="000000"/>
                <w:sz w:val="24"/>
              </w:rPr>
              <w:t>式中：L ——总声压级[dB（A）]；</w:t>
            </w:r>
          </w:p>
          <w:p>
            <w:pPr>
              <w:spacing w:line="360" w:lineRule="auto"/>
              <w:ind w:firstLine="480" w:firstLineChars="200"/>
              <w:rPr>
                <w:color w:val="000000"/>
                <w:sz w:val="24"/>
              </w:rPr>
            </w:pPr>
            <w:r>
              <w:rPr>
                <w:color w:val="000000"/>
                <w:sz w:val="24"/>
              </w:rPr>
              <w:tab/>
            </w:r>
            <w:r>
              <w:rPr>
                <w:color w:val="000000"/>
                <w:sz w:val="24"/>
              </w:rPr>
              <w:t xml:space="preserve">   Li ——第i个声源的声压级；</w:t>
            </w:r>
            <w:r>
              <w:rPr>
                <w:color w:val="000000"/>
                <w:sz w:val="24"/>
              </w:rPr>
              <w:tab/>
            </w:r>
            <w:r>
              <w:rPr>
                <w:color w:val="000000"/>
                <w:sz w:val="24"/>
              </w:rPr>
              <w:tab/>
            </w:r>
            <w:r>
              <w:rPr>
                <w:color w:val="000000"/>
                <w:sz w:val="24"/>
              </w:rPr>
              <w:tab/>
            </w:r>
          </w:p>
          <w:p>
            <w:pPr>
              <w:spacing w:line="360" w:lineRule="auto"/>
              <w:rPr>
                <w:color w:val="000000"/>
                <w:sz w:val="24"/>
              </w:rPr>
            </w:pPr>
            <w:r>
              <w:rPr>
                <w:color w:val="000000"/>
                <w:sz w:val="24"/>
              </w:rPr>
              <w:t xml:space="preserve">          n ——声源个数。</w:t>
            </w:r>
          </w:p>
          <w:p>
            <w:pPr>
              <w:spacing w:line="360" w:lineRule="auto"/>
              <w:ind w:firstLine="480" w:firstLineChars="200"/>
              <w:rPr>
                <w:color w:val="000000"/>
                <w:sz w:val="24"/>
              </w:rPr>
            </w:pPr>
            <w:r>
              <w:rPr>
                <w:color w:val="000000"/>
                <w:sz w:val="24"/>
              </w:rPr>
              <w:t>项目高噪声设备噪音源强见表</w:t>
            </w:r>
            <w:r>
              <w:rPr>
                <w:rFonts w:hint="eastAsia"/>
                <w:color w:val="000000"/>
                <w:sz w:val="24"/>
              </w:rPr>
              <w:t>2</w:t>
            </w:r>
            <w:r>
              <w:rPr>
                <w:rFonts w:hint="eastAsia"/>
                <w:color w:val="000000"/>
                <w:sz w:val="24"/>
                <w:lang w:val="en-US" w:eastAsia="zh-CN"/>
              </w:rPr>
              <w:t>9</w:t>
            </w:r>
            <w:r>
              <w:rPr>
                <w:color w:val="000000"/>
                <w:sz w:val="24"/>
              </w:rPr>
              <w:t>。</w:t>
            </w:r>
          </w:p>
          <w:p>
            <w:pPr>
              <w:jc w:val="center"/>
              <w:rPr>
                <w:rFonts w:eastAsia="黑体"/>
                <w:color w:val="000000"/>
                <w:sz w:val="24"/>
              </w:rPr>
            </w:pPr>
            <w:r>
              <w:rPr>
                <w:rFonts w:eastAsia="黑体"/>
                <w:color w:val="000000"/>
                <w:sz w:val="24"/>
              </w:rPr>
              <w:t>表</w:t>
            </w:r>
            <w:r>
              <w:rPr>
                <w:rFonts w:hint="eastAsia" w:eastAsia="黑体"/>
                <w:color w:val="000000"/>
                <w:sz w:val="24"/>
              </w:rPr>
              <w:t>2</w:t>
            </w:r>
            <w:r>
              <w:rPr>
                <w:rFonts w:hint="eastAsia" w:eastAsia="黑体"/>
                <w:color w:val="000000"/>
                <w:sz w:val="24"/>
                <w:lang w:val="en-US" w:eastAsia="zh-CN"/>
              </w:rPr>
              <w:t>9</w:t>
            </w:r>
            <w:r>
              <w:rPr>
                <w:rFonts w:hint="eastAsia" w:eastAsia="黑体"/>
                <w:color w:val="000000"/>
                <w:sz w:val="24"/>
              </w:rPr>
              <w:t xml:space="preserve">  </w:t>
            </w:r>
            <w:r>
              <w:rPr>
                <w:rFonts w:eastAsia="黑体"/>
                <w:color w:val="000000"/>
                <w:sz w:val="24"/>
              </w:rPr>
              <w:t>项目高噪声设备噪音源强一览表</w:t>
            </w:r>
          </w:p>
          <w:tbl>
            <w:tblPr>
              <w:tblStyle w:val="23"/>
              <w:tblW w:w="8504"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50"/>
              <w:gridCol w:w="1753"/>
              <w:gridCol w:w="765"/>
              <w:gridCol w:w="1755"/>
              <w:gridCol w:w="1713"/>
              <w:gridCol w:w="1768"/>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0" w:type="dxa"/>
                  <w:vAlign w:val="center"/>
                </w:tcPr>
                <w:p>
                  <w:pPr>
                    <w:jc w:val="center"/>
                    <w:rPr>
                      <w:caps/>
                      <w:szCs w:val="21"/>
                    </w:rPr>
                  </w:pPr>
                  <w:r>
                    <w:rPr>
                      <w:caps/>
                      <w:szCs w:val="21"/>
                    </w:rPr>
                    <w:t>序号</w:t>
                  </w:r>
                </w:p>
              </w:tc>
              <w:tc>
                <w:tcPr>
                  <w:tcW w:w="1753" w:type="dxa"/>
                  <w:vAlign w:val="center"/>
                </w:tcPr>
                <w:p>
                  <w:pPr>
                    <w:jc w:val="center"/>
                    <w:rPr>
                      <w:caps/>
                      <w:szCs w:val="21"/>
                    </w:rPr>
                  </w:pPr>
                  <w:r>
                    <w:rPr>
                      <w:caps/>
                      <w:szCs w:val="21"/>
                    </w:rPr>
                    <w:t>设备名称</w:t>
                  </w:r>
                </w:p>
              </w:tc>
              <w:tc>
                <w:tcPr>
                  <w:tcW w:w="765" w:type="dxa"/>
                  <w:vAlign w:val="center"/>
                </w:tcPr>
                <w:p>
                  <w:pPr>
                    <w:jc w:val="center"/>
                    <w:rPr>
                      <w:caps/>
                      <w:szCs w:val="21"/>
                    </w:rPr>
                  </w:pPr>
                  <w:r>
                    <w:rPr>
                      <w:caps/>
                      <w:szCs w:val="21"/>
                    </w:rPr>
                    <w:t>数量</w:t>
                  </w:r>
                </w:p>
              </w:tc>
              <w:tc>
                <w:tcPr>
                  <w:tcW w:w="1755" w:type="dxa"/>
                  <w:vAlign w:val="center"/>
                </w:tcPr>
                <w:p>
                  <w:pPr>
                    <w:jc w:val="center"/>
                    <w:rPr>
                      <w:caps/>
                      <w:szCs w:val="21"/>
                    </w:rPr>
                  </w:pPr>
                  <w:r>
                    <w:rPr>
                      <w:rFonts w:hint="eastAsia"/>
                      <w:spacing w:val="1"/>
                      <w:szCs w:val="21"/>
                    </w:rPr>
                    <w:t>单台设备</w:t>
                  </w:r>
                  <w:r>
                    <w:rPr>
                      <w:spacing w:val="1"/>
                      <w:szCs w:val="21"/>
                    </w:rPr>
                    <w:t>声压级</w:t>
                  </w:r>
                  <w:r>
                    <w:rPr>
                      <w:spacing w:val="-16"/>
                      <w:szCs w:val="21"/>
                    </w:rPr>
                    <w:t xml:space="preserve"> </w:t>
                  </w:r>
                  <w:r>
                    <w:rPr>
                      <w:rFonts w:eastAsia="Times New Roman"/>
                      <w:szCs w:val="21"/>
                    </w:rPr>
                    <w:t>dB</w:t>
                  </w:r>
                  <w:r>
                    <w:rPr>
                      <w:szCs w:val="21"/>
                    </w:rPr>
                    <w:t>（</w:t>
                  </w:r>
                  <w:r>
                    <w:rPr>
                      <w:rFonts w:eastAsia="Times New Roman"/>
                      <w:szCs w:val="21"/>
                    </w:rPr>
                    <w:t>A</w:t>
                  </w:r>
                  <w:r>
                    <w:rPr>
                      <w:szCs w:val="21"/>
                    </w:rPr>
                    <w:t>）</w:t>
                  </w:r>
                </w:p>
              </w:tc>
              <w:tc>
                <w:tcPr>
                  <w:tcW w:w="1713" w:type="dxa"/>
                  <w:vAlign w:val="center"/>
                </w:tcPr>
                <w:p>
                  <w:pPr>
                    <w:pStyle w:val="92"/>
                    <w:jc w:val="center"/>
                    <w:rPr>
                      <w:rFonts w:ascii="Times New Roman" w:hAnsi="Times New Roman"/>
                      <w:caps/>
                      <w:sz w:val="21"/>
                      <w:szCs w:val="21"/>
                    </w:rPr>
                  </w:pPr>
                  <w:r>
                    <w:rPr>
                      <w:rFonts w:ascii="Times New Roman" w:hAnsi="Times New Roman"/>
                      <w:caps/>
                      <w:sz w:val="21"/>
                      <w:szCs w:val="21"/>
                    </w:rPr>
                    <w:t>治理措施</w:t>
                  </w:r>
                </w:p>
              </w:tc>
              <w:tc>
                <w:tcPr>
                  <w:tcW w:w="1768" w:type="dxa"/>
                  <w:vAlign w:val="center"/>
                </w:tcPr>
                <w:p>
                  <w:pPr>
                    <w:tabs>
                      <w:tab w:val="left" w:pos="8370"/>
                      <w:tab w:val="left" w:pos="8600"/>
                    </w:tabs>
                    <w:jc w:val="center"/>
                    <w:rPr>
                      <w:spacing w:val="2"/>
                      <w:szCs w:val="21"/>
                    </w:rPr>
                  </w:pPr>
                  <w:r>
                    <w:rPr>
                      <w:rFonts w:hint="eastAsia"/>
                      <w:spacing w:val="1"/>
                      <w:szCs w:val="21"/>
                    </w:rPr>
                    <w:t>单台设备</w:t>
                  </w:r>
                  <w:r>
                    <w:rPr>
                      <w:bCs/>
                      <w:szCs w:val="21"/>
                    </w:rPr>
                    <w:t>治理后源强</w:t>
                  </w:r>
                  <w:r>
                    <w:rPr>
                      <w:rFonts w:eastAsia="Times New Roman"/>
                      <w:szCs w:val="21"/>
                    </w:rPr>
                    <w:t>dB</w:t>
                  </w:r>
                  <w:r>
                    <w:rPr>
                      <w:szCs w:val="21"/>
                    </w:rPr>
                    <w:t>（</w:t>
                  </w:r>
                  <w:r>
                    <w:rPr>
                      <w:rFonts w:eastAsia="Times New Roman"/>
                      <w:szCs w:val="21"/>
                    </w:rPr>
                    <w:t>A</w:t>
                  </w:r>
                  <w:r>
                    <w:rPr>
                      <w:szCs w:val="21"/>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0" w:type="dxa"/>
                  <w:vAlign w:val="center"/>
                </w:tcPr>
                <w:p>
                  <w:pPr>
                    <w:jc w:val="center"/>
                    <w:rPr>
                      <w:szCs w:val="21"/>
                    </w:rPr>
                  </w:pPr>
                  <w:r>
                    <w:rPr>
                      <w:szCs w:val="21"/>
                    </w:rPr>
                    <w:t>1</w:t>
                  </w:r>
                </w:p>
              </w:tc>
              <w:tc>
                <w:tcPr>
                  <w:tcW w:w="1753" w:type="dxa"/>
                  <w:vAlign w:val="center"/>
                </w:tcPr>
                <w:p>
                  <w:pPr>
                    <w:widowControl/>
                    <w:jc w:val="center"/>
                    <w:textAlignment w:val="center"/>
                    <w:rPr>
                      <w:szCs w:val="21"/>
                    </w:rPr>
                  </w:pPr>
                  <w:r>
                    <w:rPr>
                      <w:rFonts w:hint="eastAsia"/>
                      <w:szCs w:val="21"/>
                    </w:rPr>
                    <w:t>注塑机</w:t>
                  </w:r>
                </w:p>
              </w:tc>
              <w:tc>
                <w:tcPr>
                  <w:tcW w:w="765" w:type="dxa"/>
                  <w:vAlign w:val="center"/>
                </w:tcPr>
                <w:p>
                  <w:pPr>
                    <w:jc w:val="center"/>
                    <w:rPr>
                      <w:szCs w:val="21"/>
                    </w:rPr>
                  </w:pPr>
                  <w:r>
                    <w:rPr>
                      <w:rFonts w:hint="eastAsia"/>
                      <w:caps/>
                      <w:szCs w:val="21"/>
                    </w:rPr>
                    <w:t>2</w:t>
                  </w:r>
                  <w:r>
                    <w:rPr>
                      <w:caps/>
                      <w:szCs w:val="21"/>
                    </w:rPr>
                    <w:t>台</w:t>
                  </w:r>
                </w:p>
              </w:tc>
              <w:tc>
                <w:tcPr>
                  <w:tcW w:w="1755" w:type="dxa"/>
                  <w:vAlign w:val="center"/>
                </w:tcPr>
                <w:p>
                  <w:pPr>
                    <w:pStyle w:val="92"/>
                    <w:jc w:val="center"/>
                    <w:rPr>
                      <w:rFonts w:ascii="Times New Roman" w:hAnsi="Times New Roman"/>
                      <w:sz w:val="21"/>
                      <w:szCs w:val="21"/>
                      <w:lang w:eastAsia="zh-CN"/>
                    </w:rPr>
                  </w:pPr>
                  <w:r>
                    <w:rPr>
                      <w:rFonts w:hint="eastAsia" w:ascii="Times New Roman" w:hAnsi="Times New Roman"/>
                      <w:sz w:val="21"/>
                      <w:szCs w:val="21"/>
                      <w:lang w:eastAsia="zh-CN"/>
                    </w:rPr>
                    <w:t>70</w:t>
                  </w:r>
                </w:p>
              </w:tc>
              <w:tc>
                <w:tcPr>
                  <w:tcW w:w="1713" w:type="dxa"/>
                  <w:vMerge w:val="restart"/>
                  <w:vAlign w:val="center"/>
                </w:tcPr>
                <w:p>
                  <w:pPr>
                    <w:jc w:val="center"/>
                    <w:rPr>
                      <w:szCs w:val="21"/>
                    </w:rPr>
                  </w:pPr>
                  <w:r>
                    <w:rPr>
                      <w:bCs/>
                      <w:szCs w:val="21"/>
                    </w:rPr>
                    <w:t>优选低噪声设备、</w:t>
                  </w:r>
                  <w:r>
                    <w:rPr>
                      <w:szCs w:val="21"/>
                    </w:rPr>
                    <w:t>基础减振、厂房隔音</w:t>
                  </w:r>
                </w:p>
              </w:tc>
              <w:tc>
                <w:tcPr>
                  <w:tcW w:w="1768" w:type="dxa"/>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0" w:type="dxa"/>
                  <w:vAlign w:val="center"/>
                </w:tcPr>
                <w:p>
                  <w:pPr>
                    <w:jc w:val="center"/>
                    <w:rPr>
                      <w:szCs w:val="21"/>
                    </w:rPr>
                  </w:pPr>
                  <w:r>
                    <w:rPr>
                      <w:szCs w:val="21"/>
                    </w:rPr>
                    <w:t>2</w:t>
                  </w:r>
                </w:p>
              </w:tc>
              <w:tc>
                <w:tcPr>
                  <w:tcW w:w="1753" w:type="dxa"/>
                  <w:vAlign w:val="center"/>
                </w:tcPr>
                <w:p>
                  <w:pPr>
                    <w:widowControl/>
                    <w:jc w:val="center"/>
                    <w:textAlignment w:val="center"/>
                    <w:rPr>
                      <w:szCs w:val="21"/>
                    </w:rPr>
                  </w:pPr>
                  <w:r>
                    <w:rPr>
                      <w:rFonts w:hint="eastAsia" w:ascii="宋体" w:hAnsi="宋体" w:cs="宋体"/>
                      <w:color w:val="000000"/>
                      <w:kern w:val="0"/>
                      <w:sz w:val="22"/>
                      <w:szCs w:val="22"/>
                      <w:lang w:val="en-US" w:eastAsia="zh-CN" w:bidi="ar"/>
                    </w:rPr>
                    <w:t>挤出</w:t>
                  </w:r>
                  <w:r>
                    <w:rPr>
                      <w:rFonts w:hint="eastAsia" w:ascii="宋体" w:hAnsi="宋体" w:cs="宋体"/>
                      <w:color w:val="000000"/>
                      <w:kern w:val="0"/>
                      <w:sz w:val="22"/>
                      <w:szCs w:val="22"/>
                      <w:lang w:bidi="ar"/>
                    </w:rPr>
                    <w:t>机</w:t>
                  </w:r>
                </w:p>
              </w:tc>
              <w:tc>
                <w:tcPr>
                  <w:tcW w:w="765" w:type="dxa"/>
                  <w:vAlign w:val="center"/>
                </w:tcPr>
                <w:p>
                  <w:pPr>
                    <w:jc w:val="center"/>
                    <w:rPr>
                      <w:szCs w:val="21"/>
                    </w:rPr>
                  </w:pPr>
                  <w:r>
                    <w:rPr>
                      <w:rFonts w:hint="eastAsia"/>
                      <w:lang w:val="en-US" w:eastAsia="zh-CN"/>
                    </w:rPr>
                    <w:t>3</w:t>
                  </w:r>
                  <w:r>
                    <w:rPr>
                      <w:rFonts w:hint="eastAsia"/>
                    </w:rPr>
                    <w:t>台</w:t>
                  </w:r>
                </w:p>
              </w:tc>
              <w:tc>
                <w:tcPr>
                  <w:tcW w:w="1755" w:type="dxa"/>
                  <w:vAlign w:val="center"/>
                </w:tcPr>
                <w:p>
                  <w:pPr>
                    <w:pStyle w:val="92"/>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75</w:t>
                  </w:r>
                </w:p>
              </w:tc>
              <w:tc>
                <w:tcPr>
                  <w:tcW w:w="1713" w:type="dxa"/>
                  <w:vMerge w:val="continue"/>
                  <w:vAlign w:val="center"/>
                </w:tcPr>
                <w:p>
                  <w:pPr>
                    <w:pStyle w:val="92"/>
                    <w:jc w:val="center"/>
                    <w:rPr>
                      <w:rFonts w:ascii="Times New Roman" w:hAnsi="Times New Roman"/>
                      <w:sz w:val="21"/>
                      <w:szCs w:val="21"/>
                      <w:lang w:eastAsia="zh-CN"/>
                    </w:rPr>
                  </w:pPr>
                </w:p>
              </w:tc>
              <w:tc>
                <w:tcPr>
                  <w:tcW w:w="1768" w:type="dxa"/>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0" w:type="dxa"/>
                  <w:vAlign w:val="center"/>
                </w:tcPr>
                <w:p>
                  <w:pPr>
                    <w:jc w:val="center"/>
                    <w:rPr>
                      <w:szCs w:val="21"/>
                    </w:rPr>
                  </w:pPr>
                  <w:r>
                    <w:rPr>
                      <w:szCs w:val="21"/>
                    </w:rPr>
                    <w:t>3</w:t>
                  </w:r>
                </w:p>
              </w:tc>
              <w:tc>
                <w:tcPr>
                  <w:tcW w:w="1753" w:type="dxa"/>
                  <w:vAlign w:val="center"/>
                </w:tcPr>
                <w:p>
                  <w:pPr>
                    <w:widowControl/>
                    <w:jc w:val="center"/>
                    <w:textAlignment w:val="center"/>
                    <w:rPr>
                      <w:szCs w:val="21"/>
                    </w:rPr>
                  </w:pPr>
                  <w:r>
                    <w:rPr>
                      <w:rFonts w:hint="eastAsia" w:ascii="宋体" w:hAnsi="宋体" w:cs="宋体"/>
                      <w:color w:val="000000"/>
                      <w:kern w:val="0"/>
                      <w:sz w:val="22"/>
                      <w:szCs w:val="22"/>
                      <w:lang w:bidi="ar"/>
                    </w:rPr>
                    <w:t>破碎机</w:t>
                  </w:r>
                </w:p>
              </w:tc>
              <w:tc>
                <w:tcPr>
                  <w:tcW w:w="765" w:type="dxa"/>
                  <w:vAlign w:val="center"/>
                </w:tcPr>
                <w:p>
                  <w:pPr>
                    <w:jc w:val="center"/>
                    <w:rPr>
                      <w:szCs w:val="21"/>
                    </w:rPr>
                  </w:pPr>
                  <w:r>
                    <w:rPr>
                      <w:rFonts w:hint="eastAsia"/>
                    </w:rPr>
                    <w:t>1台</w:t>
                  </w:r>
                </w:p>
              </w:tc>
              <w:tc>
                <w:tcPr>
                  <w:tcW w:w="1755" w:type="dxa"/>
                  <w:vAlign w:val="center"/>
                </w:tcPr>
                <w:p>
                  <w:pPr>
                    <w:pStyle w:val="92"/>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70</w:t>
                  </w:r>
                </w:p>
              </w:tc>
              <w:tc>
                <w:tcPr>
                  <w:tcW w:w="1713" w:type="dxa"/>
                  <w:vMerge w:val="continue"/>
                  <w:vAlign w:val="center"/>
                </w:tcPr>
                <w:p>
                  <w:pPr>
                    <w:pStyle w:val="92"/>
                    <w:jc w:val="center"/>
                    <w:rPr>
                      <w:rFonts w:ascii="Times New Roman" w:hAnsi="Times New Roman"/>
                      <w:sz w:val="21"/>
                      <w:szCs w:val="21"/>
                      <w:lang w:eastAsia="zh-CN"/>
                    </w:rPr>
                  </w:pPr>
                </w:p>
              </w:tc>
              <w:tc>
                <w:tcPr>
                  <w:tcW w:w="1768" w:type="dxa"/>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0" w:type="dxa"/>
                  <w:vAlign w:val="center"/>
                </w:tcPr>
                <w:p>
                  <w:pPr>
                    <w:jc w:val="center"/>
                    <w:rPr>
                      <w:rFonts w:hint="eastAsia" w:eastAsia="宋体"/>
                      <w:szCs w:val="21"/>
                      <w:lang w:val="en-US" w:eastAsia="zh-CN"/>
                    </w:rPr>
                  </w:pPr>
                  <w:r>
                    <w:rPr>
                      <w:rFonts w:hint="eastAsia"/>
                      <w:szCs w:val="21"/>
                      <w:lang w:val="en-US" w:eastAsia="zh-CN"/>
                    </w:rPr>
                    <w:t>4</w:t>
                  </w:r>
                </w:p>
              </w:tc>
              <w:tc>
                <w:tcPr>
                  <w:tcW w:w="1753" w:type="dxa"/>
                  <w:vAlign w:val="center"/>
                </w:tcPr>
                <w:p>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搅拌机</w:t>
                  </w:r>
                </w:p>
              </w:tc>
              <w:tc>
                <w:tcPr>
                  <w:tcW w:w="765" w:type="dxa"/>
                  <w:vAlign w:val="center"/>
                </w:tcPr>
                <w:p>
                  <w:pPr>
                    <w:jc w:val="center"/>
                    <w:rPr>
                      <w:rFonts w:hint="default" w:eastAsia="宋体"/>
                      <w:lang w:val="en-US" w:eastAsia="zh-CN"/>
                    </w:rPr>
                  </w:pPr>
                  <w:r>
                    <w:rPr>
                      <w:rFonts w:hint="eastAsia"/>
                      <w:lang w:val="en-US" w:eastAsia="zh-CN"/>
                    </w:rPr>
                    <w:t>1台</w:t>
                  </w:r>
                </w:p>
              </w:tc>
              <w:tc>
                <w:tcPr>
                  <w:tcW w:w="1755" w:type="dxa"/>
                  <w:vAlign w:val="center"/>
                </w:tcPr>
                <w:p>
                  <w:pPr>
                    <w:pStyle w:val="92"/>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70</w:t>
                  </w:r>
                </w:p>
              </w:tc>
              <w:tc>
                <w:tcPr>
                  <w:tcW w:w="1713" w:type="dxa"/>
                  <w:vMerge w:val="continue"/>
                  <w:vAlign w:val="center"/>
                </w:tcPr>
                <w:p>
                  <w:pPr>
                    <w:pStyle w:val="92"/>
                    <w:jc w:val="center"/>
                    <w:rPr>
                      <w:rFonts w:ascii="Times New Roman" w:hAnsi="Times New Roman"/>
                      <w:sz w:val="21"/>
                      <w:szCs w:val="21"/>
                      <w:lang w:eastAsia="zh-CN"/>
                    </w:rPr>
                  </w:pPr>
                </w:p>
              </w:tc>
              <w:tc>
                <w:tcPr>
                  <w:tcW w:w="1768" w:type="dxa"/>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50" w:type="dxa"/>
                  <w:vAlign w:val="center"/>
                </w:tcPr>
                <w:p>
                  <w:pPr>
                    <w:jc w:val="center"/>
                    <w:rPr>
                      <w:rFonts w:hint="eastAsia" w:eastAsia="宋体"/>
                      <w:szCs w:val="21"/>
                      <w:lang w:val="en-US" w:eastAsia="zh-CN"/>
                    </w:rPr>
                  </w:pPr>
                  <w:r>
                    <w:rPr>
                      <w:rFonts w:hint="eastAsia"/>
                      <w:szCs w:val="21"/>
                      <w:lang w:val="en-US" w:eastAsia="zh-CN"/>
                    </w:rPr>
                    <w:t>5</w:t>
                  </w:r>
                </w:p>
              </w:tc>
              <w:tc>
                <w:tcPr>
                  <w:tcW w:w="1753" w:type="dxa"/>
                  <w:vAlign w:val="center"/>
                </w:tcPr>
                <w:p>
                  <w:pPr>
                    <w:widowControl/>
                    <w:jc w:val="center"/>
                    <w:textAlignment w:val="center"/>
                    <w:rPr>
                      <w:rFonts w:hint="eastAsia"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吹瓶机</w:t>
                  </w:r>
                </w:p>
              </w:tc>
              <w:tc>
                <w:tcPr>
                  <w:tcW w:w="765" w:type="dxa"/>
                  <w:vAlign w:val="center"/>
                </w:tcPr>
                <w:p>
                  <w:pPr>
                    <w:jc w:val="center"/>
                    <w:rPr>
                      <w:rFonts w:hint="default"/>
                      <w:lang w:val="en-US" w:eastAsia="zh-CN"/>
                    </w:rPr>
                  </w:pPr>
                  <w:r>
                    <w:rPr>
                      <w:rFonts w:hint="eastAsia"/>
                      <w:lang w:val="en-US" w:eastAsia="zh-CN"/>
                    </w:rPr>
                    <w:t>2台</w:t>
                  </w:r>
                </w:p>
              </w:tc>
              <w:tc>
                <w:tcPr>
                  <w:tcW w:w="1755" w:type="dxa"/>
                  <w:vAlign w:val="center"/>
                </w:tcPr>
                <w:p>
                  <w:pPr>
                    <w:pStyle w:val="92"/>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75</w:t>
                  </w:r>
                </w:p>
              </w:tc>
              <w:tc>
                <w:tcPr>
                  <w:tcW w:w="1713" w:type="dxa"/>
                  <w:vMerge w:val="continue"/>
                  <w:vAlign w:val="center"/>
                </w:tcPr>
                <w:p>
                  <w:pPr>
                    <w:pStyle w:val="92"/>
                    <w:jc w:val="center"/>
                    <w:rPr>
                      <w:rFonts w:ascii="Times New Roman" w:hAnsi="Times New Roman"/>
                      <w:sz w:val="21"/>
                      <w:szCs w:val="21"/>
                      <w:lang w:eastAsia="zh-CN"/>
                    </w:rPr>
                  </w:pPr>
                </w:p>
              </w:tc>
              <w:tc>
                <w:tcPr>
                  <w:tcW w:w="1768" w:type="dxa"/>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r>
          </w:tbl>
          <w:p>
            <w:pPr>
              <w:spacing w:line="360" w:lineRule="auto"/>
              <w:ind w:firstLine="480" w:firstLineChars="200"/>
            </w:pPr>
            <w:r>
              <w:rPr>
                <w:color w:val="000000"/>
                <w:sz w:val="24"/>
              </w:rPr>
              <w:t>经厂房隔声等措施降噪后，生产设备同时运行时，并经距离衰减后，对厂界及敏感点的影响见表</w:t>
            </w:r>
            <w:r>
              <w:rPr>
                <w:rFonts w:hint="eastAsia"/>
                <w:sz w:val="24"/>
                <w:lang w:val="en-US" w:eastAsia="zh-CN"/>
              </w:rPr>
              <w:t>30</w:t>
            </w:r>
            <w:r>
              <w:rPr>
                <w:sz w:val="24"/>
              </w:rPr>
              <w:t>所示：</w:t>
            </w:r>
          </w:p>
          <w:p>
            <w:pPr>
              <w:jc w:val="center"/>
              <w:rPr>
                <w:rFonts w:eastAsia="黑体"/>
                <w:color w:val="000000"/>
                <w:sz w:val="24"/>
              </w:rPr>
            </w:pPr>
            <w:r>
              <w:rPr>
                <w:rFonts w:eastAsia="黑体"/>
                <w:color w:val="000000"/>
                <w:sz w:val="24"/>
              </w:rPr>
              <w:t>表</w:t>
            </w:r>
            <w:r>
              <w:rPr>
                <w:rFonts w:hint="eastAsia" w:eastAsia="黑体"/>
                <w:color w:val="000000"/>
                <w:sz w:val="24"/>
                <w:lang w:val="en-US" w:eastAsia="zh-CN"/>
              </w:rPr>
              <w:t>30</w:t>
            </w:r>
            <w:r>
              <w:rPr>
                <w:rFonts w:hint="eastAsia" w:eastAsia="黑体"/>
                <w:color w:val="000000"/>
                <w:sz w:val="24"/>
              </w:rPr>
              <w:t xml:space="preserve"> </w:t>
            </w:r>
            <w:r>
              <w:rPr>
                <w:rFonts w:eastAsia="黑体"/>
                <w:color w:val="000000"/>
                <w:sz w:val="24"/>
              </w:rPr>
              <w:t xml:space="preserve"> 项目各厂界噪声贡献值</w:t>
            </w:r>
          </w:p>
          <w:tbl>
            <w:tblPr>
              <w:tblStyle w:val="23"/>
              <w:tblW w:w="8504"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32"/>
              <w:gridCol w:w="1528"/>
              <w:gridCol w:w="1950"/>
              <w:gridCol w:w="1707"/>
              <w:gridCol w:w="138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14" w:hRule="atLeast"/>
                <w:jc w:val="center"/>
              </w:trPr>
              <w:tc>
                <w:tcPr>
                  <w:tcW w:w="1932" w:type="dxa"/>
                  <w:tcBorders>
                    <w:tl2br w:val="nil"/>
                    <w:tr2bl w:val="nil"/>
                  </w:tcBorders>
                  <w:vAlign w:val="center"/>
                </w:tcPr>
                <w:p>
                  <w:pPr>
                    <w:widowControl/>
                    <w:ind w:right="420"/>
                    <w:jc w:val="center"/>
                    <w:rPr>
                      <w:kern w:val="0"/>
                      <w:szCs w:val="21"/>
                    </w:rPr>
                  </w:pPr>
                </w:p>
                <w:p>
                  <w:pPr>
                    <w:widowControl/>
                    <w:ind w:right="420"/>
                    <w:jc w:val="center"/>
                    <w:rPr>
                      <w:kern w:val="0"/>
                      <w:szCs w:val="21"/>
                    </w:rPr>
                  </w:pPr>
                  <w:r>
                    <w:rPr>
                      <w:kern w:val="0"/>
                      <w:szCs w:val="21"/>
                    </w:rPr>
                    <w:t>监测点位</w:t>
                  </w:r>
                </w:p>
                <w:p>
                  <w:pPr>
                    <w:widowControl/>
                    <w:jc w:val="center"/>
                    <w:rPr>
                      <w:kern w:val="0"/>
                      <w:szCs w:val="21"/>
                    </w:rPr>
                  </w:pPr>
                  <w:r>
                    <w:rPr>
                      <w:kern w:val="0"/>
                      <w:szCs w:val="21"/>
                    </w:rPr>
                    <w:t>项目</w:t>
                  </w:r>
                </w:p>
                <w:p>
                  <w:pPr>
                    <w:widowControl/>
                    <w:ind w:right="420"/>
                    <w:jc w:val="center"/>
                    <w:rPr>
                      <w:kern w:val="0"/>
                      <w:szCs w:val="21"/>
                    </w:rPr>
                  </w:pPr>
                </w:p>
              </w:tc>
              <w:tc>
                <w:tcPr>
                  <w:tcW w:w="1528" w:type="dxa"/>
                  <w:tcBorders>
                    <w:tl2br w:val="nil"/>
                    <w:tr2bl w:val="nil"/>
                  </w:tcBorders>
                  <w:vAlign w:val="center"/>
                </w:tcPr>
                <w:p>
                  <w:pPr>
                    <w:widowControl/>
                    <w:jc w:val="center"/>
                    <w:rPr>
                      <w:kern w:val="0"/>
                      <w:szCs w:val="21"/>
                    </w:rPr>
                  </w:pPr>
                  <w:r>
                    <w:rPr>
                      <w:kern w:val="0"/>
                      <w:szCs w:val="21"/>
                    </w:rPr>
                    <w:t>距厂界距离（m）</w:t>
                  </w:r>
                </w:p>
              </w:tc>
              <w:tc>
                <w:tcPr>
                  <w:tcW w:w="1950" w:type="dxa"/>
                  <w:tcBorders>
                    <w:tl2br w:val="nil"/>
                    <w:tr2bl w:val="nil"/>
                  </w:tcBorders>
                  <w:vAlign w:val="center"/>
                </w:tcPr>
                <w:p>
                  <w:pPr>
                    <w:widowControl/>
                    <w:jc w:val="center"/>
                    <w:rPr>
                      <w:kern w:val="0"/>
                      <w:szCs w:val="21"/>
                    </w:rPr>
                  </w:pPr>
                  <w:r>
                    <w:rPr>
                      <w:kern w:val="0"/>
                      <w:szCs w:val="21"/>
                    </w:rPr>
                    <w:t>贡献值dB(A)</w:t>
                  </w:r>
                </w:p>
              </w:tc>
              <w:tc>
                <w:tcPr>
                  <w:tcW w:w="1707" w:type="dxa"/>
                  <w:tcBorders>
                    <w:tl2br w:val="nil"/>
                    <w:tr2bl w:val="nil"/>
                  </w:tcBorders>
                  <w:vAlign w:val="center"/>
                </w:tcPr>
                <w:p>
                  <w:pPr>
                    <w:widowControl/>
                    <w:jc w:val="center"/>
                    <w:rPr>
                      <w:kern w:val="0"/>
                      <w:szCs w:val="21"/>
                    </w:rPr>
                  </w:pPr>
                  <w:r>
                    <w:rPr>
                      <w:kern w:val="0"/>
                      <w:szCs w:val="21"/>
                    </w:rPr>
                    <w:t>标准</w:t>
                  </w:r>
                </w:p>
                <w:p>
                  <w:pPr>
                    <w:widowControl/>
                    <w:jc w:val="center"/>
                    <w:rPr>
                      <w:kern w:val="0"/>
                      <w:szCs w:val="21"/>
                    </w:rPr>
                  </w:pPr>
                  <w:r>
                    <w:rPr>
                      <w:kern w:val="0"/>
                      <w:szCs w:val="21"/>
                    </w:rPr>
                    <w:t>dB(A)</w:t>
                  </w:r>
                </w:p>
              </w:tc>
              <w:tc>
                <w:tcPr>
                  <w:tcW w:w="1387" w:type="dxa"/>
                  <w:tcBorders>
                    <w:tl2br w:val="nil"/>
                    <w:tr2bl w:val="nil"/>
                  </w:tcBorders>
                  <w:vAlign w:val="center"/>
                </w:tcPr>
                <w:p>
                  <w:pPr>
                    <w:widowControl/>
                    <w:jc w:val="center"/>
                    <w:rPr>
                      <w:kern w:val="0"/>
                      <w:szCs w:val="21"/>
                    </w:rPr>
                  </w:pPr>
                  <w:r>
                    <w:rPr>
                      <w:kern w:val="0"/>
                      <w:szCs w:val="21"/>
                    </w:rPr>
                    <w:t>达标分析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932" w:type="dxa"/>
                  <w:tcBorders>
                    <w:tl2br w:val="nil"/>
                    <w:tr2bl w:val="nil"/>
                  </w:tcBorders>
                  <w:vAlign w:val="center"/>
                </w:tcPr>
                <w:p>
                  <w:pPr>
                    <w:widowControl/>
                    <w:spacing w:line="76" w:lineRule="atLeast"/>
                    <w:jc w:val="center"/>
                    <w:rPr>
                      <w:kern w:val="0"/>
                      <w:szCs w:val="21"/>
                    </w:rPr>
                  </w:pPr>
                  <w:r>
                    <w:rPr>
                      <w:kern w:val="0"/>
                      <w:szCs w:val="21"/>
                    </w:rPr>
                    <w:t>东厂界</w:t>
                  </w:r>
                </w:p>
              </w:tc>
              <w:tc>
                <w:tcPr>
                  <w:tcW w:w="1528"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p>
              </w:tc>
              <w:tc>
                <w:tcPr>
                  <w:tcW w:w="1950" w:type="dxa"/>
                  <w:tcBorders>
                    <w:tl2br w:val="nil"/>
                    <w:tr2bl w:val="nil"/>
                  </w:tcBorders>
                  <w:vAlign w:val="center"/>
                </w:tcPr>
                <w:p>
                  <w:pPr>
                    <w:widowControl/>
                    <w:spacing w:line="76" w:lineRule="atLeas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w:t>
                  </w:r>
                </w:p>
              </w:tc>
              <w:tc>
                <w:tcPr>
                  <w:tcW w:w="1707" w:type="dxa"/>
                  <w:vMerge w:val="restart"/>
                  <w:tcBorders>
                    <w:tl2br w:val="nil"/>
                    <w:tr2bl w:val="nil"/>
                  </w:tcBorders>
                  <w:vAlign w:val="center"/>
                </w:tcPr>
                <w:p>
                  <w:pPr>
                    <w:widowControl/>
                    <w:spacing w:line="76" w:lineRule="atLeast"/>
                    <w:jc w:val="center"/>
                    <w:rPr>
                      <w:kern w:val="0"/>
                      <w:szCs w:val="21"/>
                    </w:rPr>
                  </w:pPr>
                  <w:r>
                    <w:rPr>
                      <w:kern w:val="0"/>
                      <w:szCs w:val="21"/>
                    </w:rPr>
                    <w:t>昼间</w:t>
                  </w:r>
                  <w:r>
                    <w:rPr>
                      <w:rFonts w:hint="eastAsia"/>
                      <w:kern w:val="0"/>
                      <w:szCs w:val="21"/>
                    </w:rPr>
                    <w:t>65</w:t>
                  </w:r>
                </w:p>
              </w:tc>
              <w:tc>
                <w:tcPr>
                  <w:tcW w:w="1387" w:type="dxa"/>
                  <w:tcBorders>
                    <w:tl2br w:val="nil"/>
                    <w:tr2bl w:val="nil"/>
                  </w:tcBorders>
                  <w:vAlign w:val="center"/>
                </w:tcPr>
                <w:p>
                  <w:pPr>
                    <w:widowControl/>
                    <w:spacing w:line="76" w:lineRule="atLeast"/>
                    <w:jc w:val="center"/>
                    <w:rPr>
                      <w:kern w:val="0"/>
                      <w:szCs w:val="21"/>
                    </w:rPr>
                  </w:pPr>
                  <w:r>
                    <w:rPr>
                      <w:kern w:val="0"/>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932" w:type="dxa"/>
                  <w:tcBorders>
                    <w:tl2br w:val="nil"/>
                    <w:tr2bl w:val="nil"/>
                  </w:tcBorders>
                  <w:vAlign w:val="center"/>
                </w:tcPr>
                <w:p>
                  <w:pPr>
                    <w:widowControl/>
                    <w:spacing w:line="76" w:lineRule="atLeast"/>
                    <w:jc w:val="center"/>
                    <w:rPr>
                      <w:kern w:val="0"/>
                      <w:szCs w:val="21"/>
                    </w:rPr>
                  </w:pPr>
                  <w:r>
                    <w:rPr>
                      <w:kern w:val="0"/>
                      <w:szCs w:val="21"/>
                    </w:rPr>
                    <w:t>西厂界</w:t>
                  </w:r>
                </w:p>
              </w:tc>
              <w:tc>
                <w:tcPr>
                  <w:tcW w:w="1528" w:type="dxa"/>
                  <w:tcBorders>
                    <w:tl2br w:val="nil"/>
                    <w:tr2bl w:val="nil"/>
                  </w:tcBorders>
                  <w:vAlign w:val="center"/>
                </w:tcPr>
                <w:p>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950" w:type="dxa"/>
                  <w:tcBorders>
                    <w:tl2br w:val="nil"/>
                    <w:tr2bl w:val="nil"/>
                  </w:tcBorders>
                  <w:vAlign w:val="center"/>
                </w:tcPr>
                <w:p>
                  <w:pPr>
                    <w:widowControl/>
                    <w:spacing w:line="76" w:lineRule="atLeas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55</w:t>
                  </w:r>
                </w:p>
              </w:tc>
              <w:tc>
                <w:tcPr>
                  <w:tcW w:w="1707" w:type="dxa"/>
                  <w:vMerge w:val="continue"/>
                  <w:tcBorders>
                    <w:tl2br w:val="nil"/>
                    <w:tr2bl w:val="nil"/>
                  </w:tcBorders>
                  <w:vAlign w:val="center"/>
                </w:tcPr>
                <w:p>
                  <w:pPr>
                    <w:widowControl/>
                    <w:jc w:val="left"/>
                    <w:rPr>
                      <w:kern w:val="0"/>
                      <w:szCs w:val="21"/>
                    </w:rPr>
                  </w:pPr>
                </w:p>
              </w:tc>
              <w:tc>
                <w:tcPr>
                  <w:tcW w:w="1387" w:type="dxa"/>
                  <w:tcBorders>
                    <w:tl2br w:val="nil"/>
                    <w:tr2bl w:val="nil"/>
                  </w:tcBorders>
                  <w:vAlign w:val="center"/>
                </w:tcPr>
                <w:p>
                  <w:pPr>
                    <w:widowControl/>
                    <w:spacing w:line="76" w:lineRule="atLeast"/>
                    <w:jc w:val="center"/>
                    <w:rPr>
                      <w:kern w:val="0"/>
                      <w:szCs w:val="21"/>
                    </w:rPr>
                  </w:pPr>
                  <w:r>
                    <w:rPr>
                      <w:kern w:val="0"/>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932" w:type="dxa"/>
                  <w:tcBorders>
                    <w:tl2br w:val="nil"/>
                    <w:tr2bl w:val="nil"/>
                  </w:tcBorders>
                  <w:vAlign w:val="center"/>
                </w:tcPr>
                <w:p>
                  <w:pPr>
                    <w:widowControl/>
                    <w:jc w:val="center"/>
                    <w:rPr>
                      <w:kern w:val="0"/>
                      <w:szCs w:val="21"/>
                    </w:rPr>
                  </w:pPr>
                  <w:r>
                    <w:rPr>
                      <w:kern w:val="0"/>
                      <w:szCs w:val="21"/>
                    </w:rPr>
                    <w:t>南厂界</w:t>
                  </w:r>
                </w:p>
              </w:tc>
              <w:tc>
                <w:tcPr>
                  <w:tcW w:w="1528" w:type="dxa"/>
                  <w:tcBorders>
                    <w:tl2br w:val="nil"/>
                    <w:tr2bl w:val="nil"/>
                  </w:tcBorders>
                  <w:vAlign w:val="center"/>
                </w:tcPr>
                <w:p>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950" w:type="dxa"/>
                  <w:tcBorders>
                    <w:tl2br w:val="nil"/>
                    <w:tr2bl w:val="nil"/>
                  </w:tcBorders>
                  <w:vAlign w:val="center"/>
                </w:tcPr>
                <w:p>
                  <w:pPr>
                    <w:widowControl/>
                    <w:spacing w:line="76" w:lineRule="atLeas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55</w:t>
                  </w:r>
                </w:p>
              </w:tc>
              <w:tc>
                <w:tcPr>
                  <w:tcW w:w="1707" w:type="dxa"/>
                  <w:vMerge w:val="continue"/>
                  <w:tcBorders>
                    <w:tl2br w:val="nil"/>
                    <w:tr2bl w:val="nil"/>
                  </w:tcBorders>
                  <w:vAlign w:val="center"/>
                </w:tcPr>
                <w:p>
                  <w:pPr>
                    <w:widowControl/>
                    <w:jc w:val="left"/>
                    <w:rPr>
                      <w:kern w:val="0"/>
                      <w:szCs w:val="21"/>
                    </w:rPr>
                  </w:pPr>
                </w:p>
              </w:tc>
              <w:tc>
                <w:tcPr>
                  <w:tcW w:w="1387" w:type="dxa"/>
                  <w:tcBorders>
                    <w:tl2br w:val="nil"/>
                    <w:tr2bl w:val="nil"/>
                  </w:tcBorders>
                  <w:vAlign w:val="center"/>
                </w:tcPr>
                <w:p>
                  <w:pPr>
                    <w:widowControl/>
                    <w:spacing w:line="76" w:lineRule="atLeast"/>
                    <w:jc w:val="center"/>
                    <w:rPr>
                      <w:kern w:val="0"/>
                      <w:szCs w:val="21"/>
                    </w:rPr>
                  </w:pPr>
                  <w:r>
                    <w:rPr>
                      <w:kern w:val="0"/>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932" w:type="dxa"/>
                  <w:tcBorders>
                    <w:tl2br w:val="nil"/>
                    <w:tr2bl w:val="nil"/>
                  </w:tcBorders>
                  <w:vAlign w:val="center"/>
                </w:tcPr>
                <w:p>
                  <w:pPr>
                    <w:widowControl/>
                    <w:jc w:val="center"/>
                    <w:rPr>
                      <w:kern w:val="0"/>
                      <w:szCs w:val="21"/>
                    </w:rPr>
                  </w:pPr>
                  <w:r>
                    <w:rPr>
                      <w:kern w:val="0"/>
                      <w:szCs w:val="21"/>
                    </w:rPr>
                    <w:t>北厂界</w:t>
                  </w:r>
                </w:p>
              </w:tc>
              <w:tc>
                <w:tcPr>
                  <w:tcW w:w="1528" w:type="dxa"/>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w:t>
                  </w:r>
                </w:p>
              </w:tc>
              <w:tc>
                <w:tcPr>
                  <w:tcW w:w="1950" w:type="dxa"/>
                  <w:tcBorders>
                    <w:tl2br w:val="nil"/>
                    <w:tr2bl w:val="nil"/>
                  </w:tcBorders>
                  <w:vAlign w:val="center"/>
                </w:tcPr>
                <w:p>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34.2</w:t>
                  </w:r>
                </w:p>
              </w:tc>
              <w:tc>
                <w:tcPr>
                  <w:tcW w:w="1707" w:type="dxa"/>
                  <w:vMerge w:val="continue"/>
                  <w:tcBorders>
                    <w:tl2br w:val="nil"/>
                    <w:tr2bl w:val="nil"/>
                  </w:tcBorders>
                  <w:vAlign w:val="center"/>
                </w:tcPr>
                <w:p>
                  <w:pPr>
                    <w:widowControl/>
                    <w:jc w:val="center"/>
                    <w:rPr>
                      <w:kern w:val="0"/>
                      <w:szCs w:val="21"/>
                    </w:rPr>
                  </w:pPr>
                </w:p>
              </w:tc>
              <w:tc>
                <w:tcPr>
                  <w:tcW w:w="1387" w:type="dxa"/>
                  <w:tcBorders>
                    <w:tl2br w:val="nil"/>
                    <w:tr2bl w:val="nil"/>
                  </w:tcBorders>
                  <w:vAlign w:val="center"/>
                </w:tcPr>
                <w:p>
                  <w:pPr>
                    <w:widowControl/>
                    <w:jc w:val="center"/>
                    <w:rPr>
                      <w:kern w:val="0"/>
                      <w:szCs w:val="21"/>
                    </w:rPr>
                  </w:pPr>
                  <w:r>
                    <w:rPr>
                      <w:kern w:val="0"/>
                      <w:szCs w:val="21"/>
                    </w:rPr>
                    <w:t>达标</w:t>
                  </w:r>
                </w:p>
              </w:tc>
            </w:tr>
          </w:tbl>
          <w:p>
            <w:pPr>
              <w:spacing w:line="360" w:lineRule="auto"/>
              <w:ind w:firstLine="480" w:firstLineChars="200"/>
              <w:rPr>
                <w:snapToGrid w:val="0"/>
                <w:sz w:val="24"/>
              </w:rPr>
            </w:pPr>
            <w:r>
              <w:rPr>
                <w:snapToGrid w:val="0"/>
                <w:sz w:val="24"/>
              </w:rPr>
              <w:t>由上表可知，经过采取降噪措施后，本项目运营期昼间厂界噪声能满足《工业企业厂界环境噪声排放标准》（GB12348-2008）中</w:t>
            </w:r>
            <w:r>
              <w:rPr>
                <w:rFonts w:hint="eastAsia"/>
                <w:snapToGrid w:val="0"/>
                <w:sz w:val="24"/>
              </w:rPr>
              <w:t>3</w:t>
            </w:r>
            <w:r>
              <w:rPr>
                <w:snapToGrid w:val="0"/>
                <w:sz w:val="24"/>
              </w:rPr>
              <w:t>类准限值昼间≤</w:t>
            </w:r>
            <w:r>
              <w:rPr>
                <w:rFonts w:hint="eastAsia"/>
                <w:snapToGrid w:val="0"/>
                <w:sz w:val="24"/>
              </w:rPr>
              <w:t>65</w:t>
            </w:r>
            <w:r>
              <w:rPr>
                <w:snapToGrid w:val="0"/>
                <w:sz w:val="24"/>
              </w:rPr>
              <w:t>dB（A）。</w:t>
            </w:r>
          </w:p>
          <w:p>
            <w:pPr>
              <w:spacing w:line="360" w:lineRule="auto"/>
              <w:ind w:firstLine="480" w:firstLineChars="200"/>
              <w:rPr>
                <w:snapToGrid w:val="0"/>
                <w:sz w:val="24"/>
              </w:rPr>
            </w:pPr>
            <w:r>
              <w:rPr>
                <w:snapToGrid w:val="0"/>
                <w:sz w:val="24"/>
              </w:rPr>
              <w:t>为降低正常运营期间厂界噪声对周边环境的影响，评价要求采取如下措施：</w:t>
            </w:r>
          </w:p>
          <w:p>
            <w:pPr>
              <w:spacing w:line="360" w:lineRule="auto"/>
              <w:ind w:firstLine="480" w:firstLineChars="200"/>
              <w:rPr>
                <w:snapToGrid w:val="0"/>
                <w:sz w:val="24"/>
              </w:rPr>
            </w:pPr>
            <w:r>
              <w:rPr>
                <w:snapToGrid w:val="0"/>
                <w:sz w:val="24"/>
              </w:rPr>
              <w:t>（1）针对噪声较高的设备安装减震垫，合理布置设备；</w:t>
            </w:r>
          </w:p>
          <w:p>
            <w:pPr>
              <w:spacing w:line="360" w:lineRule="auto"/>
              <w:ind w:firstLine="480" w:firstLineChars="200"/>
              <w:rPr>
                <w:snapToGrid w:val="0"/>
                <w:sz w:val="24"/>
              </w:rPr>
            </w:pPr>
            <w:r>
              <w:rPr>
                <w:snapToGrid w:val="0"/>
                <w:sz w:val="24"/>
              </w:rPr>
              <w:t>（2）定期维护设备，避免老化引起的噪声，使其处于良好运行状态；</w:t>
            </w:r>
          </w:p>
          <w:p>
            <w:pPr>
              <w:spacing w:line="360" w:lineRule="auto"/>
              <w:ind w:firstLine="480" w:firstLineChars="200"/>
              <w:rPr>
                <w:snapToGrid w:val="0"/>
                <w:sz w:val="24"/>
              </w:rPr>
            </w:pPr>
            <w:r>
              <w:rPr>
                <w:snapToGrid w:val="0"/>
                <w:sz w:val="24"/>
              </w:rPr>
              <w:t>（3）生产时尽量少开启门窗；</w:t>
            </w:r>
          </w:p>
          <w:p>
            <w:pPr>
              <w:spacing w:line="360" w:lineRule="auto"/>
              <w:ind w:firstLine="480" w:firstLineChars="200"/>
              <w:rPr>
                <w:snapToGrid w:val="0"/>
                <w:sz w:val="24"/>
              </w:rPr>
            </w:pPr>
            <w:r>
              <w:rPr>
                <w:snapToGrid w:val="0"/>
                <w:sz w:val="24"/>
              </w:rPr>
              <w:t>（4）加强职工操作技能培训，避免异常噪声产生，并避开休息时间作业。</w:t>
            </w:r>
          </w:p>
          <w:p>
            <w:pPr>
              <w:pStyle w:val="38"/>
              <w:ind w:firstLine="480"/>
              <w:jc w:val="both"/>
              <w:rPr>
                <w:rFonts w:ascii="Times New Roman" w:hAnsi="Times New Roman"/>
                <w:snapToGrid w:val="0"/>
                <w:color w:val="000000"/>
                <w:szCs w:val="24"/>
              </w:rPr>
            </w:pPr>
            <w:r>
              <w:rPr>
                <w:rFonts w:ascii="Times New Roman" w:hAnsi="Times New Roman"/>
                <w:snapToGrid w:val="0"/>
                <w:szCs w:val="24"/>
              </w:rPr>
              <w:t>通过以上措施，本项目厂界噪声可达标排放，对周</w:t>
            </w:r>
            <w:r>
              <w:rPr>
                <w:rFonts w:ascii="Times New Roman" w:hAnsi="Times New Roman"/>
                <w:snapToGrid w:val="0"/>
                <w:color w:val="000000"/>
                <w:szCs w:val="24"/>
              </w:rPr>
              <w:t>围环境影响不大。</w:t>
            </w:r>
          </w:p>
          <w:p>
            <w:pPr>
              <w:spacing w:line="360" w:lineRule="auto"/>
              <w:rPr>
                <w:b/>
                <w:bCs/>
                <w:snapToGrid w:val="0"/>
                <w:kern w:val="21"/>
                <w:sz w:val="24"/>
              </w:rPr>
            </w:pPr>
            <w:r>
              <w:rPr>
                <w:rFonts w:hint="eastAsia"/>
                <w:b/>
                <w:bCs/>
                <w:snapToGrid w:val="0"/>
                <w:kern w:val="21"/>
                <w:sz w:val="24"/>
              </w:rPr>
              <w:t>四、</w:t>
            </w:r>
            <w:r>
              <w:rPr>
                <w:b/>
                <w:bCs/>
                <w:snapToGrid w:val="0"/>
                <w:kern w:val="21"/>
                <w:sz w:val="24"/>
              </w:rPr>
              <w:t>固体废物</w:t>
            </w:r>
            <w:r>
              <w:rPr>
                <w:rFonts w:hint="eastAsia"/>
                <w:b/>
                <w:bCs/>
                <w:sz w:val="24"/>
              </w:rPr>
              <w:t>环境影响分析</w:t>
            </w:r>
          </w:p>
          <w:p>
            <w:pPr>
              <w:pStyle w:val="9"/>
              <w:spacing w:line="360" w:lineRule="auto"/>
              <w:ind w:firstLine="480" w:firstLineChars="200"/>
              <w:rPr>
                <w:b w:val="0"/>
                <w:bCs w:val="0"/>
                <w:snapToGrid w:val="0"/>
                <w:szCs w:val="24"/>
              </w:rPr>
            </w:pPr>
            <w:r>
              <w:rPr>
                <w:rFonts w:hint="eastAsia"/>
                <w:b w:val="0"/>
                <w:bCs w:val="0"/>
                <w:snapToGrid w:val="0"/>
                <w:szCs w:val="24"/>
              </w:rPr>
              <w:t>（1）一般固废：本</w:t>
            </w:r>
            <w:r>
              <w:rPr>
                <w:b w:val="0"/>
                <w:bCs w:val="0"/>
                <w:snapToGrid w:val="0"/>
                <w:szCs w:val="24"/>
              </w:rPr>
              <w:t>项目运营期</w:t>
            </w:r>
            <w:r>
              <w:rPr>
                <w:rFonts w:hint="eastAsia"/>
                <w:b w:val="0"/>
                <w:bCs w:val="0"/>
                <w:snapToGrid w:val="0"/>
                <w:szCs w:val="24"/>
              </w:rPr>
              <w:t>一般</w:t>
            </w:r>
            <w:r>
              <w:rPr>
                <w:b w:val="0"/>
                <w:bCs w:val="0"/>
                <w:snapToGrid w:val="0"/>
                <w:szCs w:val="24"/>
              </w:rPr>
              <w:t>固废主要包括</w:t>
            </w:r>
            <w:r>
              <w:rPr>
                <w:rFonts w:hint="eastAsia"/>
                <w:b w:val="0"/>
                <w:bCs w:val="0"/>
                <w:szCs w:val="24"/>
              </w:rPr>
              <w:t>不合格品、废催化板、废活性炭和</w:t>
            </w:r>
            <w:r>
              <w:rPr>
                <w:b w:val="0"/>
                <w:bCs w:val="0"/>
                <w:szCs w:val="24"/>
              </w:rPr>
              <w:t>生活垃圾。</w:t>
            </w:r>
          </w:p>
          <w:p>
            <w:pPr>
              <w:pStyle w:val="101"/>
              <w:adjustRightInd/>
              <w:snapToGrid/>
              <w:spacing w:line="240" w:lineRule="auto"/>
              <w:rPr>
                <w:rFonts w:ascii="Times New Roman" w:hAnsi="Times New Roman"/>
              </w:rPr>
            </w:pPr>
            <w:r>
              <w:rPr>
                <w:rFonts w:ascii="Times New Roman" w:hAnsi="Times New Roman"/>
              </w:rPr>
              <w:t>表</w:t>
            </w:r>
            <w:r>
              <w:rPr>
                <w:rFonts w:hint="eastAsia" w:ascii="Times New Roman" w:hAnsi="Times New Roman"/>
              </w:rPr>
              <w:t>3</w:t>
            </w:r>
            <w:r>
              <w:rPr>
                <w:rFonts w:hint="eastAsia" w:ascii="Times New Roman" w:hAnsi="Times New Roman"/>
                <w:lang w:val="en-US" w:eastAsia="zh-CN"/>
              </w:rPr>
              <w:t>1</w:t>
            </w:r>
            <w:r>
              <w:rPr>
                <w:rFonts w:ascii="Times New Roman" w:hAnsi="Times New Roman"/>
              </w:rPr>
              <w:t xml:space="preserve"> 项目</w:t>
            </w:r>
            <w:r>
              <w:rPr>
                <w:rFonts w:hint="eastAsia" w:ascii="Times New Roman" w:hAnsi="Times New Roman"/>
              </w:rPr>
              <w:t>一般</w:t>
            </w:r>
            <w:r>
              <w:rPr>
                <w:rFonts w:ascii="Times New Roman" w:hAnsi="Times New Roman"/>
              </w:rPr>
              <w:t>固废处理方式汇总表</w:t>
            </w:r>
          </w:p>
          <w:tbl>
            <w:tblPr>
              <w:tblStyle w:val="23"/>
              <w:tblW w:w="8504"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30"/>
              <w:gridCol w:w="1275"/>
              <w:gridCol w:w="1050"/>
              <w:gridCol w:w="1126"/>
              <w:gridCol w:w="1227"/>
              <w:gridCol w:w="3196"/>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30" w:type="dxa"/>
                  <w:tcBorders>
                    <w:tl2br w:val="nil"/>
                    <w:tr2bl w:val="nil"/>
                  </w:tcBorders>
                  <w:shd w:val="clear" w:color="auto" w:fill="FBFBF9"/>
                  <w:tcMar>
                    <w:top w:w="0" w:type="dxa"/>
                    <w:left w:w="11" w:type="dxa"/>
                    <w:bottom w:w="0" w:type="dxa"/>
                    <w:right w:w="11" w:type="dxa"/>
                  </w:tcMar>
                  <w:vAlign w:val="center"/>
                </w:tcPr>
                <w:p>
                  <w:pPr>
                    <w:jc w:val="center"/>
                    <w:rPr>
                      <w:snapToGrid w:val="0"/>
                      <w:kern w:val="0"/>
                      <w:szCs w:val="21"/>
                    </w:rPr>
                  </w:pPr>
                  <w:r>
                    <w:rPr>
                      <w:snapToGrid w:val="0"/>
                      <w:kern w:val="0"/>
                      <w:szCs w:val="21"/>
                    </w:rPr>
                    <w:t>序号</w:t>
                  </w:r>
                </w:p>
              </w:tc>
              <w:tc>
                <w:tcPr>
                  <w:tcW w:w="1275" w:type="dxa"/>
                  <w:tcBorders>
                    <w:tl2br w:val="nil"/>
                    <w:tr2bl w:val="nil"/>
                  </w:tcBorders>
                  <w:shd w:val="clear" w:color="auto" w:fill="FBFBF9"/>
                  <w:tcMar>
                    <w:top w:w="0" w:type="dxa"/>
                    <w:left w:w="11" w:type="dxa"/>
                    <w:bottom w:w="0" w:type="dxa"/>
                    <w:right w:w="11" w:type="dxa"/>
                  </w:tcMar>
                  <w:vAlign w:val="center"/>
                </w:tcPr>
                <w:p>
                  <w:pPr>
                    <w:jc w:val="center"/>
                    <w:rPr>
                      <w:snapToGrid w:val="0"/>
                      <w:kern w:val="0"/>
                      <w:szCs w:val="21"/>
                    </w:rPr>
                  </w:pPr>
                  <w:r>
                    <w:rPr>
                      <w:snapToGrid w:val="0"/>
                      <w:kern w:val="0"/>
                      <w:szCs w:val="21"/>
                    </w:rPr>
                    <w:t>种类</w:t>
                  </w:r>
                </w:p>
              </w:tc>
              <w:tc>
                <w:tcPr>
                  <w:tcW w:w="1050" w:type="dxa"/>
                  <w:tcBorders>
                    <w:tl2br w:val="nil"/>
                    <w:tr2bl w:val="nil"/>
                  </w:tcBorders>
                  <w:shd w:val="clear" w:color="auto" w:fill="FBFBF9"/>
                  <w:tcMar>
                    <w:top w:w="0" w:type="dxa"/>
                    <w:left w:w="11" w:type="dxa"/>
                    <w:bottom w:w="0" w:type="dxa"/>
                    <w:right w:w="11" w:type="dxa"/>
                  </w:tcMar>
                  <w:vAlign w:val="center"/>
                </w:tcPr>
                <w:p>
                  <w:pPr>
                    <w:jc w:val="center"/>
                    <w:rPr>
                      <w:snapToGrid w:val="0"/>
                      <w:kern w:val="0"/>
                      <w:szCs w:val="21"/>
                    </w:rPr>
                  </w:pPr>
                  <w:r>
                    <w:rPr>
                      <w:snapToGrid w:val="0"/>
                      <w:kern w:val="0"/>
                      <w:szCs w:val="21"/>
                    </w:rPr>
                    <w:t>产生量</w:t>
                  </w:r>
                </w:p>
              </w:tc>
              <w:tc>
                <w:tcPr>
                  <w:tcW w:w="1126" w:type="dxa"/>
                  <w:tcBorders>
                    <w:tl2br w:val="nil"/>
                    <w:tr2bl w:val="nil"/>
                  </w:tcBorders>
                  <w:shd w:val="clear" w:color="auto" w:fill="FBFBF9"/>
                  <w:tcMar>
                    <w:top w:w="0" w:type="dxa"/>
                    <w:left w:w="11" w:type="dxa"/>
                    <w:bottom w:w="0" w:type="dxa"/>
                    <w:right w:w="11" w:type="dxa"/>
                  </w:tcMar>
                  <w:vAlign w:val="center"/>
                </w:tcPr>
                <w:p>
                  <w:pPr>
                    <w:jc w:val="center"/>
                    <w:rPr>
                      <w:snapToGrid w:val="0"/>
                      <w:kern w:val="0"/>
                      <w:szCs w:val="21"/>
                    </w:rPr>
                  </w:pPr>
                  <w:r>
                    <w:rPr>
                      <w:rFonts w:hint="eastAsia"/>
                      <w:snapToGrid w:val="0"/>
                      <w:kern w:val="0"/>
                      <w:szCs w:val="21"/>
                    </w:rPr>
                    <w:t>更换周期</w:t>
                  </w:r>
                </w:p>
              </w:tc>
              <w:tc>
                <w:tcPr>
                  <w:tcW w:w="1227" w:type="dxa"/>
                  <w:tcBorders>
                    <w:tl2br w:val="nil"/>
                    <w:tr2bl w:val="nil"/>
                  </w:tcBorders>
                  <w:shd w:val="clear" w:color="auto" w:fill="FBFBF9"/>
                  <w:tcMar>
                    <w:top w:w="0" w:type="dxa"/>
                    <w:left w:w="11" w:type="dxa"/>
                    <w:bottom w:w="0" w:type="dxa"/>
                    <w:right w:w="11" w:type="dxa"/>
                  </w:tcMar>
                  <w:vAlign w:val="center"/>
                </w:tcPr>
                <w:p>
                  <w:pPr>
                    <w:jc w:val="center"/>
                    <w:rPr>
                      <w:snapToGrid w:val="0"/>
                      <w:kern w:val="0"/>
                      <w:szCs w:val="21"/>
                    </w:rPr>
                  </w:pPr>
                  <w:r>
                    <w:rPr>
                      <w:snapToGrid w:val="0"/>
                      <w:kern w:val="0"/>
                      <w:szCs w:val="21"/>
                    </w:rPr>
                    <w:t>性质</w:t>
                  </w:r>
                </w:p>
              </w:tc>
              <w:tc>
                <w:tcPr>
                  <w:tcW w:w="3196" w:type="dxa"/>
                  <w:tcBorders>
                    <w:tl2br w:val="nil"/>
                    <w:tr2bl w:val="nil"/>
                  </w:tcBorders>
                  <w:shd w:val="clear" w:color="auto" w:fill="FBFBF9"/>
                  <w:tcMar>
                    <w:top w:w="0" w:type="dxa"/>
                    <w:left w:w="11" w:type="dxa"/>
                    <w:bottom w:w="0" w:type="dxa"/>
                    <w:right w:w="11" w:type="dxa"/>
                  </w:tcMar>
                  <w:vAlign w:val="center"/>
                </w:tcPr>
                <w:p>
                  <w:pPr>
                    <w:jc w:val="center"/>
                    <w:rPr>
                      <w:snapToGrid w:val="0"/>
                      <w:kern w:val="0"/>
                      <w:szCs w:val="21"/>
                    </w:rPr>
                  </w:pPr>
                  <w:r>
                    <w:rPr>
                      <w:snapToGrid w:val="0"/>
                      <w:kern w:val="0"/>
                      <w:szCs w:val="21"/>
                    </w:rPr>
                    <w:t>处理方式</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30" w:type="dxa"/>
                  <w:tcBorders>
                    <w:bottom w:val="single" w:color="auto" w:sz="4" w:space="0"/>
                    <w:tl2br w:val="nil"/>
                    <w:tr2bl w:val="nil"/>
                  </w:tcBorders>
                  <w:tcMar>
                    <w:top w:w="0" w:type="dxa"/>
                    <w:left w:w="11" w:type="dxa"/>
                    <w:bottom w:w="0" w:type="dxa"/>
                    <w:right w:w="11" w:type="dxa"/>
                  </w:tcMar>
                  <w:vAlign w:val="center"/>
                </w:tcPr>
                <w:p>
                  <w:pPr>
                    <w:jc w:val="center"/>
                    <w:rPr>
                      <w:kern w:val="24"/>
                      <w:szCs w:val="21"/>
                    </w:rPr>
                  </w:pPr>
                  <w:r>
                    <w:rPr>
                      <w:kern w:val="24"/>
                      <w:szCs w:val="21"/>
                    </w:rPr>
                    <w:t>1</w:t>
                  </w:r>
                </w:p>
              </w:tc>
              <w:tc>
                <w:tcPr>
                  <w:tcW w:w="1275" w:type="dxa"/>
                  <w:tcBorders>
                    <w:bottom w:val="single" w:color="auto" w:sz="4" w:space="0"/>
                    <w:tl2br w:val="nil"/>
                    <w:tr2bl w:val="nil"/>
                  </w:tcBorders>
                  <w:tcMar>
                    <w:top w:w="0" w:type="dxa"/>
                    <w:left w:w="11" w:type="dxa"/>
                    <w:bottom w:w="0" w:type="dxa"/>
                    <w:right w:w="11" w:type="dxa"/>
                  </w:tcMar>
                  <w:vAlign w:val="center"/>
                </w:tcPr>
                <w:p>
                  <w:pPr>
                    <w:jc w:val="center"/>
                    <w:rPr>
                      <w:kern w:val="24"/>
                      <w:szCs w:val="21"/>
                    </w:rPr>
                  </w:pPr>
                  <w:r>
                    <w:rPr>
                      <w:rFonts w:hint="eastAsia"/>
                      <w:kern w:val="24"/>
                      <w:szCs w:val="21"/>
                    </w:rPr>
                    <w:t>不合格品</w:t>
                  </w:r>
                </w:p>
              </w:tc>
              <w:tc>
                <w:tcPr>
                  <w:tcW w:w="1050" w:type="dxa"/>
                  <w:tcBorders>
                    <w:tl2br w:val="nil"/>
                    <w:tr2bl w:val="nil"/>
                  </w:tcBorders>
                  <w:tcMar>
                    <w:top w:w="0" w:type="dxa"/>
                    <w:left w:w="11" w:type="dxa"/>
                    <w:bottom w:w="0" w:type="dxa"/>
                    <w:right w:w="11" w:type="dxa"/>
                  </w:tcMar>
                  <w:vAlign w:val="center"/>
                </w:tcPr>
                <w:p>
                  <w:pPr>
                    <w:jc w:val="center"/>
                    <w:rPr>
                      <w:kern w:val="24"/>
                      <w:szCs w:val="21"/>
                    </w:rPr>
                  </w:pPr>
                  <w:r>
                    <w:rPr>
                      <w:rFonts w:hint="eastAsia"/>
                      <w:szCs w:val="21"/>
                    </w:rPr>
                    <w:t>0.</w:t>
                  </w:r>
                  <w:r>
                    <w:rPr>
                      <w:rFonts w:hint="eastAsia"/>
                      <w:szCs w:val="21"/>
                      <w:lang w:val="en-US" w:eastAsia="zh-CN"/>
                    </w:rPr>
                    <w:t>8</w:t>
                  </w:r>
                  <w:r>
                    <w:rPr>
                      <w:rFonts w:hint="eastAsia"/>
                      <w:szCs w:val="21"/>
                    </w:rPr>
                    <w:t>t/a</w:t>
                  </w:r>
                </w:p>
              </w:tc>
              <w:tc>
                <w:tcPr>
                  <w:tcW w:w="1126" w:type="dxa"/>
                  <w:tcBorders>
                    <w:tl2br w:val="nil"/>
                    <w:tr2bl w:val="nil"/>
                  </w:tcBorders>
                  <w:tcMar>
                    <w:top w:w="0" w:type="dxa"/>
                    <w:left w:w="11" w:type="dxa"/>
                    <w:bottom w:w="0" w:type="dxa"/>
                    <w:right w:w="11" w:type="dxa"/>
                  </w:tcMar>
                  <w:vAlign w:val="center"/>
                </w:tcPr>
                <w:p>
                  <w:pPr>
                    <w:jc w:val="center"/>
                    <w:rPr>
                      <w:szCs w:val="21"/>
                    </w:rPr>
                  </w:pPr>
                  <w:r>
                    <w:rPr>
                      <w:rFonts w:hint="eastAsia"/>
                      <w:szCs w:val="21"/>
                    </w:rPr>
                    <w:t>/</w:t>
                  </w:r>
                </w:p>
              </w:tc>
              <w:tc>
                <w:tcPr>
                  <w:tcW w:w="1227" w:type="dxa"/>
                  <w:tcBorders>
                    <w:bottom w:val="single" w:color="auto" w:sz="4" w:space="0"/>
                    <w:tl2br w:val="nil"/>
                    <w:tr2bl w:val="nil"/>
                  </w:tcBorders>
                  <w:tcMar>
                    <w:top w:w="0" w:type="dxa"/>
                    <w:left w:w="11" w:type="dxa"/>
                    <w:bottom w:w="0" w:type="dxa"/>
                    <w:right w:w="11" w:type="dxa"/>
                  </w:tcMar>
                  <w:vAlign w:val="center"/>
                </w:tcPr>
                <w:p>
                  <w:pPr>
                    <w:jc w:val="center"/>
                    <w:rPr>
                      <w:kern w:val="24"/>
                      <w:szCs w:val="21"/>
                    </w:rPr>
                  </w:pPr>
                  <w:r>
                    <w:rPr>
                      <w:rFonts w:hint="eastAsia"/>
                      <w:kern w:val="24"/>
                      <w:szCs w:val="21"/>
                    </w:rPr>
                    <w:t>一般固废</w:t>
                  </w:r>
                </w:p>
              </w:tc>
              <w:tc>
                <w:tcPr>
                  <w:tcW w:w="3196" w:type="dxa"/>
                  <w:tcBorders>
                    <w:tl2br w:val="nil"/>
                    <w:tr2bl w:val="nil"/>
                  </w:tcBorders>
                  <w:tcMar>
                    <w:top w:w="0" w:type="dxa"/>
                    <w:left w:w="11" w:type="dxa"/>
                    <w:bottom w:w="0" w:type="dxa"/>
                    <w:right w:w="11" w:type="dxa"/>
                  </w:tcMar>
                  <w:vAlign w:val="center"/>
                </w:tcPr>
                <w:p>
                  <w:pPr>
                    <w:tabs>
                      <w:tab w:val="center" w:pos="4153"/>
                      <w:tab w:val="right" w:pos="8306"/>
                    </w:tabs>
                    <w:jc w:val="center"/>
                    <w:rPr>
                      <w:rFonts w:cs="宋体"/>
                      <w:color w:val="000000" w:themeColor="text1"/>
                      <w:szCs w:val="21"/>
                      <w14:textFill>
                        <w14:solidFill>
                          <w14:schemeClr w14:val="tx1"/>
                        </w14:solidFill>
                      </w14:textFill>
                    </w:rPr>
                  </w:pPr>
                  <w:r>
                    <w:rPr>
                      <w:snapToGrid w:val="0"/>
                      <w:color w:val="000000"/>
                      <w:kern w:val="0"/>
                      <w:szCs w:val="21"/>
                    </w:rPr>
                    <w:t>设置一般固废暂存</w:t>
                  </w:r>
                  <w:r>
                    <w:rPr>
                      <w:rFonts w:hint="eastAsia"/>
                      <w:snapToGrid w:val="0"/>
                      <w:color w:val="000000"/>
                      <w:kern w:val="0"/>
                      <w:szCs w:val="21"/>
                    </w:rPr>
                    <w:t>间（10m</w:t>
                  </w:r>
                  <w:r>
                    <w:rPr>
                      <w:rFonts w:hint="eastAsia"/>
                      <w:snapToGrid w:val="0"/>
                      <w:color w:val="000000"/>
                      <w:kern w:val="0"/>
                      <w:szCs w:val="21"/>
                      <w:vertAlign w:val="superscript"/>
                    </w:rPr>
                    <w:t>2</w:t>
                  </w:r>
                  <w:r>
                    <w:rPr>
                      <w:rFonts w:hint="eastAsia"/>
                      <w:snapToGrid w:val="0"/>
                      <w:color w:val="000000"/>
                      <w:kern w:val="0"/>
                      <w:szCs w:val="21"/>
                    </w:rPr>
                    <w:t>）收集</w:t>
                  </w:r>
                  <w:r>
                    <w:rPr>
                      <w:snapToGrid w:val="0"/>
                      <w:color w:val="000000"/>
                      <w:kern w:val="0"/>
                      <w:szCs w:val="21"/>
                    </w:rPr>
                    <w:t>，</w:t>
                  </w:r>
                  <w:r>
                    <w:rPr>
                      <w:rFonts w:hint="eastAsia"/>
                      <w:snapToGrid w:val="0"/>
                      <w:color w:val="000000"/>
                      <w:kern w:val="0"/>
                      <w:szCs w:val="21"/>
                    </w:rPr>
                    <w:t>经破碎机破碎后回用于生产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30" w:type="dxa"/>
                  <w:tcBorders>
                    <w:tl2br w:val="nil"/>
                    <w:tr2bl w:val="nil"/>
                  </w:tcBorders>
                  <w:tcMar>
                    <w:top w:w="0" w:type="dxa"/>
                    <w:left w:w="11" w:type="dxa"/>
                    <w:bottom w:w="0" w:type="dxa"/>
                    <w:right w:w="11" w:type="dxa"/>
                  </w:tcMar>
                  <w:vAlign w:val="center"/>
                </w:tcPr>
                <w:p>
                  <w:pPr>
                    <w:jc w:val="center"/>
                    <w:rPr>
                      <w:kern w:val="24"/>
                      <w:szCs w:val="21"/>
                    </w:rPr>
                  </w:pPr>
                  <w:r>
                    <w:rPr>
                      <w:rFonts w:hint="eastAsia"/>
                      <w:kern w:val="24"/>
                      <w:szCs w:val="21"/>
                    </w:rPr>
                    <w:t>2</w:t>
                  </w:r>
                </w:p>
              </w:tc>
              <w:tc>
                <w:tcPr>
                  <w:tcW w:w="1275" w:type="dxa"/>
                  <w:tcBorders>
                    <w:tl2br w:val="nil"/>
                    <w:tr2bl w:val="nil"/>
                  </w:tcBorders>
                  <w:tcMar>
                    <w:top w:w="0" w:type="dxa"/>
                    <w:left w:w="11" w:type="dxa"/>
                    <w:bottom w:w="0" w:type="dxa"/>
                    <w:right w:w="11" w:type="dxa"/>
                  </w:tcMar>
                  <w:vAlign w:val="center"/>
                </w:tcPr>
                <w:p>
                  <w:pPr>
                    <w:jc w:val="center"/>
                    <w:rPr>
                      <w:snapToGrid w:val="0"/>
                      <w:kern w:val="0"/>
                      <w:szCs w:val="21"/>
                    </w:rPr>
                  </w:pPr>
                  <w:r>
                    <w:rPr>
                      <w:rFonts w:hint="eastAsia"/>
                      <w:szCs w:val="21"/>
                    </w:rPr>
                    <w:t>废催化板</w:t>
                  </w:r>
                </w:p>
              </w:tc>
              <w:tc>
                <w:tcPr>
                  <w:tcW w:w="1050" w:type="dxa"/>
                  <w:tcBorders>
                    <w:top w:val="single" w:color="auto" w:sz="4" w:space="0"/>
                    <w:bottom w:val="single" w:color="auto" w:sz="4" w:space="0"/>
                    <w:tl2br w:val="nil"/>
                    <w:tr2bl w:val="nil"/>
                  </w:tcBorders>
                  <w:tcMar>
                    <w:top w:w="0" w:type="dxa"/>
                    <w:left w:w="11" w:type="dxa"/>
                    <w:bottom w:w="0" w:type="dxa"/>
                    <w:right w:w="11" w:type="dxa"/>
                  </w:tcMar>
                  <w:vAlign w:val="center"/>
                </w:tcPr>
                <w:p>
                  <w:pPr>
                    <w:jc w:val="center"/>
                    <w:rPr>
                      <w:snapToGrid w:val="0"/>
                      <w:kern w:val="0"/>
                      <w:szCs w:val="21"/>
                    </w:rPr>
                  </w:pPr>
                  <w:r>
                    <w:rPr>
                      <w:rFonts w:hint="eastAsia"/>
                      <w:bCs/>
                      <w:szCs w:val="21"/>
                    </w:rPr>
                    <w:t>2个/a</w:t>
                  </w:r>
                </w:p>
              </w:tc>
              <w:tc>
                <w:tcPr>
                  <w:tcW w:w="1126" w:type="dxa"/>
                  <w:tcBorders>
                    <w:top w:val="single" w:color="auto" w:sz="4" w:space="0"/>
                    <w:bottom w:val="single" w:color="auto" w:sz="4" w:space="0"/>
                    <w:tl2br w:val="nil"/>
                    <w:tr2bl w:val="nil"/>
                  </w:tcBorders>
                  <w:tcMar>
                    <w:top w:w="0" w:type="dxa"/>
                    <w:left w:w="11" w:type="dxa"/>
                    <w:bottom w:w="0" w:type="dxa"/>
                    <w:right w:w="11" w:type="dxa"/>
                  </w:tcMar>
                  <w:vAlign w:val="center"/>
                </w:tcPr>
                <w:p>
                  <w:pPr>
                    <w:jc w:val="center"/>
                    <w:rPr>
                      <w:bCs/>
                      <w:szCs w:val="21"/>
                    </w:rPr>
                  </w:pPr>
                  <w:r>
                    <w:rPr>
                      <w:rFonts w:hint="eastAsia"/>
                      <w:bCs/>
                      <w:szCs w:val="21"/>
                    </w:rPr>
                    <w:t>一年</w:t>
                  </w:r>
                </w:p>
              </w:tc>
              <w:tc>
                <w:tcPr>
                  <w:tcW w:w="1227" w:type="dxa"/>
                  <w:tcBorders>
                    <w:top w:val="single" w:color="auto" w:sz="4" w:space="0"/>
                    <w:bottom w:val="single" w:color="auto" w:sz="4" w:space="0"/>
                    <w:tl2br w:val="nil"/>
                    <w:tr2bl w:val="nil"/>
                  </w:tcBorders>
                  <w:tcMar>
                    <w:top w:w="0" w:type="dxa"/>
                    <w:left w:w="11" w:type="dxa"/>
                    <w:bottom w:w="0" w:type="dxa"/>
                    <w:right w:w="11" w:type="dxa"/>
                  </w:tcMar>
                  <w:vAlign w:val="center"/>
                </w:tcPr>
                <w:p>
                  <w:pPr>
                    <w:jc w:val="center"/>
                    <w:rPr>
                      <w:kern w:val="24"/>
                      <w:szCs w:val="21"/>
                    </w:rPr>
                  </w:pPr>
                  <w:r>
                    <w:rPr>
                      <w:rFonts w:hint="eastAsia"/>
                      <w:kern w:val="24"/>
                      <w:szCs w:val="21"/>
                    </w:rPr>
                    <w:t>一般固废</w:t>
                  </w:r>
                </w:p>
              </w:tc>
              <w:tc>
                <w:tcPr>
                  <w:tcW w:w="3196" w:type="dxa"/>
                  <w:tcBorders>
                    <w:top w:val="single" w:color="auto" w:sz="4" w:space="0"/>
                    <w:tl2br w:val="nil"/>
                    <w:tr2bl w:val="nil"/>
                  </w:tcBorders>
                  <w:tcMar>
                    <w:top w:w="0" w:type="dxa"/>
                    <w:left w:w="11" w:type="dxa"/>
                    <w:bottom w:w="0" w:type="dxa"/>
                    <w:right w:w="11" w:type="dxa"/>
                  </w:tcMar>
                  <w:vAlign w:val="center"/>
                </w:tcPr>
                <w:p>
                  <w:pPr>
                    <w:jc w:val="center"/>
                    <w:rPr>
                      <w:snapToGrid w:val="0"/>
                      <w:kern w:val="21"/>
                      <w:szCs w:val="21"/>
                    </w:rPr>
                  </w:pPr>
                  <w:r>
                    <w:rPr>
                      <w:rFonts w:hint="eastAsia"/>
                      <w:snapToGrid w:val="0"/>
                      <w:kern w:val="21"/>
                      <w:szCs w:val="21"/>
                    </w:rPr>
                    <w:t>专门容器收集，由厂家更换时回收</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30" w:type="dxa"/>
                  <w:tcBorders>
                    <w:tl2br w:val="nil"/>
                    <w:tr2bl w:val="nil"/>
                  </w:tcBorders>
                  <w:tcMar>
                    <w:top w:w="0" w:type="dxa"/>
                    <w:left w:w="11" w:type="dxa"/>
                    <w:bottom w:w="0" w:type="dxa"/>
                    <w:right w:w="11" w:type="dxa"/>
                  </w:tcMar>
                  <w:vAlign w:val="center"/>
                </w:tcPr>
                <w:p>
                  <w:pPr>
                    <w:jc w:val="center"/>
                    <w:rPr>
                      <w:kern w:val="24"/>
                      <w:szCs w:val="21"/>
                    </w:rPr>
                  </w:pPr>
                  <w:r>
                    <w:rPr>
                      <w:rFonts w:hint="eastAsia"/>
                      <w:kern w:val="24"/>
                      <w:szCs w:val="21"/>
                    </w:rPr>
                    <w:t>3</w:t>
                  </w:r>
                </w:p>
              </w:tc>
              <w:tc>
                <w:tcPr>
                  <w:tcW w:w="1275" w:type="dxa"/>
                  <w:tcBorders>
                    <w:tl2br w:val="nil"/>
                    <w:tr2bl w:val="nil"/>
                  </w:tcBorders>
                  <w:tcMar>
                    <w:top w:w="0" w:type="dxa"/>
                    <w:left w:w="11" w:type="dxa"/>
                    <w:bottom w:w="0" w:type="dxa"/>
                    <w:right w:w="11" w:type="dxa"/>
                  </w:tcMar>
                  <w:vAlign w:val="center"/>
                </w:tcPr>
                <w:p>
                  <w:pPr>
                    <w:adjustRightInd w:val="0"/>
                    <w:snapToGrid w:val="0"/>
                    <w:jc w:val="center"/>
                    <w:rPr>
                      <w:szCs w:val="21"/>
                    </w:rPr>
                  </w:pPr>
                  <w:r>
                    <w:rPr>
                      <w:rFonts w:hint="eastAsia"/>
                      <w:bCs/>
                      <w:szCs w:val="21"/>
                    </w:rPr>
                    <w:t>废活性炭</w:t>
                  </w:r>
                </w:p>
              </w:tc>
              <w:tc>
                <w:tcPr>
                  <w:tcW w:w="1050" w:type="dxa"/>
                  <w:tcBorders>
                    <w:top w:val="single" w:color="auto" w:sz="4" w:space="0"/>
                    <w:bottom w:val="single" w:color="auto" w:sz="4" w:space="0"/>
                    <w:tl2br w:val="nil"/>
                    <w:tr2bl w:val="nil"/>
                  </w:tcBorders>
                  <w:tcMar>
                    <w:top w:w="0" w:type="dxa"/>
                    <w:left w:w="11" w:type="dxa"/>
                    <w:bottom w:w="0" w:type="dxa"/>
                    <w:right w:w="11" w:type="dxa"/>
                  </w:tcMar>
                  <w:vAlign w:val="center"/>
                </w:tcPr>
                <w:p>
                  <w:pPr>
                    <w:adjustRightInd w:val="0"/>
                    <w:snapToGrid w:val="0"/>
                    <w:jc w:val="center"/>
                    <w:rPr>
                      <w:bCs/>
                      <w:szCs w:val="21"/>
                    </w:rPr>
                  </w:pPr>
                  <w:r>
                    <w:rPr>
                      <w:rFonts w:hint="eastAsia"/>
                      <w:bCs/>
                      <w:szCs w:val="21"/>
                    </w:rPr>
                    <w:t>0.</w:t>
                  </w:r>
                  <w:r>
                    <w:rPr>
                      <w:rFonts w:hint="eastAsia"/>
                      <w:bCs/>
                      <w:szCs w:val="21"/>
                      <w:lang w:val="en-US" w:eastAsia="zh-CN"/>
                    </w:rPr>
                    <w:t>4</w:t>
                  </w:r>
                  <w:r>
                    <w:rPr>
                      <w:rFonts w:hint="eastAsia"/>
                      <w:bCs/>
                      <w:szCs w:val="21"/>
                    </w:rPr>
                    <w:t>t/a</w:t>
                  </w:r>
                </w:p>
              </w:tc>
              <w:tc>
                <w:tcPr>
                  <w:tcW w:w="1126" w:type="dxa"/>
                  <w:tcBorders>
                    <w:top w:val="single" w:color="auto" w:sz="4" w:space="0"/>
                    <w:bottom w:val="single" w:color="auto" w:sz="4" w:space="0"/>
                    <w:tl2br w:val="nil"/>
                    <w:tr2bl w:val="nil"/>
                  </w:tcBorders>
                  <w:tcMar>
                    <w:top w:w="0" w:type="dxa"/>
                    <w:left w:w="11" w:type="dxa"/>
                    <w:bottom w:w="0" w:type="dxa"/>
                    <w:right w:w="11" w:type="dxa"/>
                  </w:tcMar>
                  <w:vAlign w:val="center"/>
                </w:tcPr>
                <w:p>
                  <w:pPr>
                    <w:adjustRightInd w:val="0"/>
                    <w:snapToGrid w:val="0"/>
                    <w:jc w:val="center"/>
                    <w:rPr>
                      <w:bCs/>
                      <w:szCs w:val="21"/>
                    </w:rPr>
                  </w:pPr>
                  <w:r>
                    <w:rPr>
                      <w:rFonts w:hint="eastAsia"/>
                      <w:bCs/>
                      <w:szCs w:val="21"/>
                    </w:rPr>
                    <w:t>一年</w:t>
                  </w:r>
                </w:p>
              </w:tc>
              <w:tc>
                <w:tcPr>
                  <w:tcW w:w="1227" w:type="dxa"/>
                  <w:tcBorders>
                    <w:top w:val="single" w:color="auto" w:sz="4" w:space="0"/>
                    <w:bottom w:val="single" w:color="auto" w:sz="4" w:space="0"/>
                    <w:tl2br w:val="nil"/>
                    <w:tr2bl w:val="nil"/>
                  </w:tcBorders>
                  <w:tcMar>
                    <w:top w:w="0" w:type="dxa"/>
                    <w:left w:w="11" w:type="dxa"/>
                    <w:bottom w:w="0" w:type="dxa"/>
                    <w:right w:w="11" w:type="dxa"/>
                  </w:tcMar>
                  <w:vAlign w:val="center"/>
                </w:tcPr>
                <w:p>
                  <w:pPr>
                    <w:adjustRightInd w:val="0"/>
                    <w:snapToGrid w:val="0"/>
                    <w:jc w:val="center"/>
                    <w:rPr>
                      <w:kern w:val="24"/>
                      <w:szCs w:val="21"/>
                    </w:rPr>
                  </w:pPr>
                  <w:r>
                    <w:rPr>
                      <w:rFonts w:hint="eastAsia"/>
                      <w:kern w:val="24"/>
                      <w:szCs w:val="21"/>
                    </w:rPr>
                    <w:t>一般固废</w:t>
                  </w:r>
                </w:p>
              </w:tc>
              <w:tc>
                <w:tcPr>
                  <w:tcW w:w="3196" w:type="dxa"/>
                  <w:tcBorders>
                    <w:tl2br w:val="nil"/>
                    <w:tr2bl w:val="nil"/>
                  </w:tcBorders>
                  <w:tcMar>
                    <w:top w:w="0" w:type="dxa"/>
                    <w:left w:w="11" w:type="dxa"/>
                    <w:bottom w:w="0" w:type="dxa"/>
                    <w:right w:w="11" w:type="dxa"/>
                  </w:tcMar>
                  <w:vAlign w:val="center"/>
                </w:tcPr>
                <w:p>
                  <w:pPr>
                    <w:jc w:val="center"/>
                    <w:rPr>
                      <w:snapToGrid w:val="0"/>
                      <w:kern w:val="21"/>
                      <w:szCs w:val="21"/>
                    </w:rPr>
                  </w:pPr>
                  <w:r>
                    <w:rPr>
                      <w:rFonts w:hint="eastAsia"/>
                      <w:snapToGrid w:val="0"/>
                      <w:kern w:val="21"/>
                      <w:szCs w:val="21"/>
                    </w:rPr>
                    <w:t>专门容器收集，由厂家更换时回收</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30" w:type="dxa"/>
                  <w:tcBorders>
                    <w:tl2br w:val="nil"/>
                    <w:tr2bl w:val="nil"/>
                  </w:tcBorders>
                  <w:tcMar>
                    <w:top w:w="0" w:type="dxa"/>
                    <w:left w:w="11" w:type="dxa"/>
                    <w:bottom w:w="0" w:type="dxa"/>
                    <w:right w:w="11" w:type="dxa"/>
                  </w:tcMar>
                  <w:vAlign w:val="center"/>
                </w:tcPr>
                <w:p>
                  <w:pPr>
                    <w:jc w:val="center"/>
                    <w:rPr>
                      <w:kern w:val="24"/>
                      <w:szCs w:val="21"/>
                    </w:rPr>
                  </w:pPr>
                  <w:r>
                    <w:rPr>
                      <w:rFonts w:hint="eastAsia"/>
                      <w:kern w:val="24"/>
                      <w:szCs w:val="21"/>
                    </w:rPr>
                    <w:t>4</w:t>
                  </w:r>
                </w:p>
              </w:tc>
              <w:tc>
                <w:tcPr>
                  <w:tcW w:w="1275" w:type="dxa"/>
                  <w:tcBorders>
                    <w:tl2br w:val="nil"/>
                    <w:tr2bl w:val="nil"/>
                  </w:tcBorders>
                  <w:tcMar>
                    <w:top w:w="0" w:type="dxa"/>
                    <w:left w:w="11" w:type="dxa"/>
                    <w:bottom w:w="0" w:type="dxa"/>
                    <w:right w:w="11" w:type="dxa"/>
                  </w:tcMar>
                  <w:vAlign w:val="center"/>
                </w:tcPr>
                <w:p>
                  <w:pPr>
                    <w:jc w:val="center"/>
                    <w:rPr>
                      <w:snapToGrid w:val="0"/>
                      <w:kern w:val="0"/>
                      <w:szCs w:val="21"/>
                    </w:rPr>
                  </w:pPr>
                  <w:r>
                    <w:rPr>
                      <w:szCs w:val="21"/>
                    </w:rPr>
                    <w:t>生活垃圾</w:t>
                  </w:r>
                </w:p>
              </w:tc>
              <w:tc>
                <w:tcPr>
                  <w:tcW w:w="1050" w:type="dxa"/>
                  <w:tcBorders>
                    <w:top w:val="single" w:color="auto" w:sz="4" w:space="0"/>
                    <w:tl2br w:val="nil"/>
                    <w:tr2bl w:val="nil"/>
                  </w:tcBorders>
                  <w:tcMar>
                    <w:top w:w="0" w:type="dxa"/>
                    <w:left w:w="11" w:type="dxa"/>
                    <w:bottom w:w="0" w:type="dxa"/>
                    <w:right w:w="11" w:type="dxa"/>
                  </w:tcMar>
                  <w:vAlign w:val="center"/>
                </w:tcPr>
                <w:p>
                  <w:pPr>
                    <w:jc w:val="center"/>
                    <w:rPr>
                      <w:snapToGrid w:val="0"/>
                      <w:kern w:val="0"/>
                      <w:szCs w:val="21"/>
                    </w:rPr>
                  </w:pPr>
                  <w:r>
                    <w:rPr>
                      <w:rFonts w:hint="eastAsia"/>
                      <w:szCs w:val="21"/>
                    </w:rPr>
                    <w:t>3t/a</w:t>
                  </w:r>
                </w:p>
              </w:tc>
              <w:tc>
                <w:tcPr>
                  <w:tcW w:w="1126" w:type="dxa"/>
                  <w:tcBorders>
                    <w:top w:val="single" w:color="auto" w:sz="4" w:space="0"/>
                    <w:tl2br w:val="nil"/>
                    <w:tr2bl w:val="nil"/>
                  </w:tcBorders>
                  <w:tcMar>
                    <w:top w:w="0" w:type="dxa"/>
                    <w:left w:w="11" w:type="dxa"/>
                    <w:bottom w:w="0" w:type="dxa"/>
                    <w:right w:w="11" w:type="dxa"/>
                  </w:tcMar>
                  <w:vAlign w:val="center"/>
                </w:tcPr>
                <w:p>
                  <w:pPr>
                    <w:jc w:val="center"/>
                    <w:rPr>
                      <w:szCs w:val="21"/>
                    </w:rPr>
                  </w:pPr>
                  <w:r>
                    <w:rPr>
                      <w:rFonts w:hint="eastAsia"/>
                      <w:szCs w:val="21"/>
                    </w:rPr>
                    <w:t>/</w:t>
                  </w:r>
                </w:p>
              </w:tc>
              <w:tc>
                <w:tcPr>
                  <w:tcW w:w="1227" w:type="dxa"/>
                  <w:tcBorders>
                    <w:top w:val="single" w:color="auto" w:sz="4" w:space="0"/>
                    <w:tl2br w:val="nil"/>
                    <w:tr2bl w:val="nil"/>
                  </w:tcBorders>
                  <w:tcMar>
                    <w:top w:w="0" w:type="dxa"/>
                    <w:left w:w="11" w:type="dxa"/>
                    <w:bottom w:w="0" w:type="dxa"/>
                    <w:right w:w="11" w:type="dxa"/>
                  </w:tcMar>
                  <w:vAlign w:val="center"/>
                </w:tcPr>
                <w:p>
                  <w:pPr>
                    <w:jc w:val="center"/>
                    <w:rPr>
                      <w:kern w:val="24"/>
                      <w:szCs w:val="21"/>
                    </w:rPr>
                  </w:pPr>
                  <w:r>
                    <w:rPr>
                      <w:rFonts w:hint="eastAsia"/>
                      <w:kern w:val="24"/>
                      <w:szCs w:val="21"/>
                    </w:rPr>
                    <w:t>一般固废</w:t>
                  </w:r>
                </w:p>
              </w:tc>
              <w:tc>
                <w:tcPr>
                  <w:tcW w:w="3196" w:type="dxa"/>
                  <w:tcBorders>
                    <w:top w:val="single" w:color="auto" w:sz="4" w:space="0"/>
                    <w:bottom w:val="single" w:color="auto" w:sz="4" w:space="0"/>
                    <w:tl2br w:val="nil"/>
                    <w:tr2bl w:val="nil"/>
                  </w:tcBorders>
                  <w:tcMar>
                    <w:top w:w="0" w:type="dxa"/>
                    <w:left w:w="11" w:type="dxa"/>
                    <w:bottom w:w="0" w:type="dxa"/>
                    <w:right w:w="11" w:type="dxa"/>
                  </w:tcMar>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设置垃圾桶收集生活垃圾，定期由环卫部门处理</w:t>
                  </w:r>
                </w:p>
              </w:tc>
            </w:tr>
          </w:tbl>
          <w:p>
            <w:pPr>
              <w:pStyle w:val="9"/>
              <w:spacing w:line="360" w:lineRule="auto"/>
              <w:ind w:firstLine="480" w:firstLineChars="200"/>
              <w:rPr>
                <w:b w:val="0"/>
                <w:bCs w:val="0"/>
                <w:snapToGrid w:val="0"/>
              </w:rPr>
            </w:pPr>
            <w:r>
              <w:rPr>
                <w:b w:val="0"/>
                <w:bCs w:val="0"/>
                <w:snapToGrid w:val="0"/>
                <w:szCs w:val="24"/>
              </w:rPr>
              <w:t>一般固废贮存处置要求：</w:t>
            </w:r>
            <w:r>
              <w:rPr>
                <w:b w:val="0"/>
                <w:bCs w:val="0"/>
                <w:snapToGrid w:val="0"/>
              </w:rPr>
              <w:t>本项目一般固废收集存放设施应严格按照《一般工业固体废物贮存、处置场污染控制标准》（GB18599-2001）的相关要求建设，应建设顶棚和围堰，地面进行防渗处理，</w:t>
            </w:r>
            <w:r>
              <w:rPr>
                <w:b w:val="0"/>
                <w:bCs w:val="0"/>
                <w:snapToGrid w:val="0"/>
                <w:szCs w:val="24"/>
              </w:rPr>
              <w:t>防渗性能不低于1.5m厚，渗透系数≤1.0×10</w:t>
            </w:r>
            <w:r>
              <w:rPr>
                <w:b w:val="0"/>
                <w:bCs w:val="0"/>
                <w:snapToGrid w:val="0"/>
                <w:szCs w:val="24"/>
                <w:vertAlign w:val="superscript"/>
              </w:rPr>
              <w:t>-7</w:t>
            </w:r>
            <w:r>
              <w:rPr>
                <w:b w:val="0"/>
                <w:bCs w:val="0"/>
                <w:snapToGrid w:val="0"/>
                <w:szCs w:val="24"/>
              </w:rPr>
              <w:t>cm/s的黏土层的防渗性能，</w:t>
            </w:r>
            <w:r>
              <w:rPr>
                <w:b w:val="0"/>
                <w:bCs w:val="0"/>
                <w:snapToGrid w:val="0"/>
              </w:rPr>
              <w:t>防止污染物流失及造成二次污染，以</w:t>
            </w:r>
            <w:r>
              <w:rPr>
                <w:rFonts w:hint="eastAsia" w:ascii="宋体" w:hAnsi="宋体" w:cs="宋体"/>
                <w:b w:val="0"/>
                <w:bCs w:val="0"/>
                <w:snapToGrid w:val="0"/>
              </w:rPr>
              <w:t>“</w:t>
            </w:r>
            <w:r>
              <w:rPr>
                <w:b w:val="0"/>
                <w:bCs w:val="0"/>
                <w:snapToGrid w:val="0"/>
              </w:rPr>
              <w:t>减量化、资源化、无害化</w:t>
            </w:r>
            <w:r>
              <w:rPr>
                <w:rFonts w:hint="eastAsia" w:ascii="宋体" w:hAnsi="宋体" w:cs="宋体"/>
                <w:b w:val="0"/>
                <w:bCs w:val="0"/>
                <w:snapToGrid w:val="0"/>
              </w:rPr>
              <w:t>”</w:t>
            </w:r>
            <w:r>
              <w:rPr>
                <w:b w:val="0"/>
                <w:bCs w:val="0"/>
                <w:snapToGrid w:val="0"/>
              </w:rPr>
              <w:t>为基本原则，在综合利用的基础上，及时组织清运，最终经综合利用或妥善进行处置，基本不会对周围环境产生明显的不利影响。</w:t>
            </w:r>
          </w:p>
          <w:p>
            <w:pPr>
              <w:pStyle w:val="9"/>
              <w:spacing w:line="360" w:lineRule="auto"/>
              <w:ind w:firstLine="480" w:firstLineChars="200"/>
              <w:rPr>
                <w:b w:val="0"/>
                <w:bCs w:val="0"/>
                <w:snapToGrid w:val="0"/>
              </w:rPr>
            </w:pPr>
            <w:r>
              <w:rPr>
                <w:rFonts w:hint="eastAsia"/>
                <w:b w:val="0"/>
                <w:bCs w:val="0"/>
                <w:snapToGrid w:val="0"/>
              </w:rPr>
              <w:t>（2）危险固废：本项目运营期危险废物为废灯管、废液压油和废机油</w:t>
            </w:r>
            <w:r>
              <w:rPr>
                <w:b w:val="0"/>
                <w:bCs w:val="0"/>
                <w:snapToGrid w:val="0"/>
                <w:szCs w:val="24"/>
              </w:rPr>
              <w:t>。</w:t>
            </w:r>
          </w:p>
          <w:p>
            <w:pPr>
              <w:pStyle w:val="101"/>
              <w:adjustRightInd/>
              <w:snapToGrid/>
              <w:spacing w:line="240" w:lineRule="auto"/>
              <w:rPr>
                <w:rFonts w:ascii="Times New Roman" w:hAnsi="Times New Roman"/>
                <w:snapToGrid w:val="0"/>
                <w:kern w:val="0"/>
              </w:rPr>
            </w:pPr>
            <w:r>
              <w:rPr>
                <w:rFonts w:ascii="Times New Roman" w:hAnsi="Times New Roman"/>
              </w:rPr>
              <w:t>表</w:t>
            </w:r>
            <w:r>
              <w:rPr>
                <w:rFonts w:hint="eastAsia" w:ascii="Times New Roman" w:hAnsi="Times New Roman"/>
              </w:rPr>
              <w:t>3</w:t>
            </w:r>
            <w:r>
              <w:rPr>
                <w:rFonts w:hint="eastAsia" w:ascii="Times New Roman" w:hAnsi="Times New Roman"/>
                <w:lang w:val="en-US" w:eastAsia="zh-CN"/>
              </w:rPr>
              <w:t>2</w:t>
            </w:r>
            <w:r>
              <w:rPr>
                <w:rFonts w:hint="eastAsia" w:ascii="Times New Roman" w:hAnsi="Times New Roman"/>
              </w:rPr>
              <w:t xml:space="preserve"> </w:t>
            </w:r>
            <w:r>
              <w:rPr>
                <w:rFonts w:ascii="Times New Roman" w:hAnsi="Times New Roman"/>
              </w:rPr>
              <w:t xml:space="preserve"> 项目</w:t>
            </w:r>
            <w:r>
              <w:rPr>
                <w:rFonts w:hint="eastAsia" w:ascii="Times New Roman" w:hAnsi="Times New Roman"/>
              </w:rPr>
              <w:t>危险</w:t>
            </w:r>
            <w:r>
              <w:rPr>
                <w:rFonts w:ascii="Times New Roman" w:hAnsi="Times New Roman"/>
              </w:rPr>
              <w:t>固废处理方式汇总表</w:t>
            </w:r>
          </w:p>
          <w:tbl>
            <w:tblPr>
              <w:tblStyle w:val="23"/>
              <w:tblW w:w="8504" w:type="dxa"/>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9"/>
              <w:gridCol w:w="695"/>
              <w:gridCol w:w="771"/>
              <w:gridCol w:w="682"/>
              <w:gridCol w:w="850"/>
              <w:gridCol w:w="690"/>
              <w:gridCol w:w="570"/>
              <w:gridCol w:w="699"/>
              <w:gridCol w:w="486"/>
              <w:gridCol w:w="585"/>
              <w:gridCol w:w="765"/>
              <w:gridCol w:w="1252"/>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9" w:type="dxa"/>
                  <w:tcBorders>
                    <w:tl2br w:val="nil"/>
                    <w:tr2bl w:val="nil"/>
                  </w:tcBorders>
                  <w:vAlign w:val="center"/>
                </w:tcPr>
                <w:p>
                  <w:pPr>
                    <w:jc w:val="center"/>
                    <w:rPr>
                      <w:bCs/>
                      <w:szCs w:val="21"/>
                    </w:rPr>
                  </w:pPr>
                  <w:r>
                    <w:rPr>
                      <w:bCs/>
                      <w:szCs w:val="21"/>
                    </w:rPr>
                    <w:t>序号</w:t>
                  </w:r>
                </w:p>
              </w:tc>
              <w:tc>
                <w:tcPr>
                  <w:tcW w:w="695" w:type="dxa"/>
                  <w:tcBorders>
                    <w:tl2br w:val="nil"/>
                    <w:tr2bl w:val="nil"/>
                  </w:tcBorders>
                  <w:vAlign w:val="center"/>
                </w:tcPr>
                <w:p>
                  <w:pPr>
                    <w:jc w:val="center"/>
                    <w:rPr>
                      <w:bCs/>
                      <w:szCs w:val="21"/>
                    </w:rPr>
                  </w:pPr>
                  <w:r>
                    <w:rPr>
                      <w:bCs/>
                      <w:szCs w:val="21"/>
                    </w:rPr>
                    <w:t>危险废物名称</w:t>
                  </w:r>
                </w:p>
              </w:tc>
              <w:tc>
                <w:tcPr>
                  <w:tcW w:w="771" w:type="dxa"/>
                  <w:tcBorders>
                    <w:tl2br w:val="nil"/>
                    <w:tr2bl w:val="nil"/>
                  </w:tcBorders>
                  <w:vAlign w:val="center"/>
                </w:tcPr>
                <w:p>
                  <w:pPr>
                    <w:jc w:val="center"/>
                    <w:rPr>
                      <w:bCs/>
                      <w:szCs w:val="21"/>
                    </w:rPr>
                  </w:pPr>
                  <w:r>
                    <w:rPr>
                      <w:bCs/>
                      <w:szCs w:val="21"/>
                    </w:rPr>
                    <w:t>危险废物类别</w:t>
                  </w:r>
                </w:p>
              </w:tc>
              <w:tc>
                <w:tcPr>
                  <w:tcW w:w="682" w:type="dxa"/>
                  <w:tcBorders>
                    <w:tl2br w:val="nil"/>
                    <w:tr2bl w:val="nil"/>
                  </w:tcBorders>
                  <w:vAlign w:val="center"/>
                </w:tcPr>
                <w:p>
                  <w:pPr>
                    <w:jc w:val="center"/>
                    <w:rPr>
                      <w:bCs/>
                      <w:szCs w:val="21"/>
                    </w:rPr>
                  </w:pPr>
                  <w:r>
                    <w:rPr>
                      <w:bCs/>
                      <w:szCs w:val="21"/>
                    </w:rPr>
                    <w:t>危险废物代码</w:t>
                  </w:r>
                </w:p>
              </w:tc>
              <w:tc>
                <w:tcPr>
                  <w:tcW w:w="850" w:type="dxa"/>
                  <w:tcBorders>
                    <w:tl2br w:val="nil"/>
                    <w:tr2bl w:val="nil"/>
                  </w:tcBorders>
                  <w:vAlign w:val="center"/>
                </w:tcPr>
                <w:p>
                  <w:pPr>
                    <w:jc w:val="center"/>
                    <w:rPr>
                      <w:bCs/>
                      <w:szCs w:val="21"/>
                    </w:rPr>
                  </w:pPr>
                  <w:r>
                    <w:rPr>
                      <w:bCs/>
                      <w:szCs w:val="21"/>
                    </w:rPr>
                    <w:t>产生量</w:t>
                  </w:r>
                </w:p>
              </w:tc>
              <w:tc>
                <w:tcPr>
                  <w:tcW w:w="690" w:type="dxa"/>
                  <w:tcBorders>
                    <w:tl2br w:val="nil"/>
                    <w:tr2bl w:val="nil"/>
                  </w:tcBorders>
                  <w:vAlign w:val="center"/>
                </w:tcPr>
                <w:p>
                  <w:pPr>
                    <w:jc w:val="center"/>
                    <w:rPr>
                      <w:bCs/>
                      <w:szCs w:val="21"/>
                    </w:rPr>
                  </w:pPr>
                  <w:r>
                    <w:rPr>
                      <w:bCs/>
                      <w:szCs w:val="21"/>
                    </w:rPr>
                    <w:t>产生工序及装置</w:t>
                  </w:r>
                </w:p>
              </w:tc>
              <w:tc>
                <w:tcPr>
                  <w:tcW w:w="570" w:type="dxa"/>
                  <w:tcBorders>
                    <w:tl2br w:val="nil"/>
                    <w:tr2bl w:val="nil"/>
                  </w:tcBorders>
                  <w:vAlign w:val="center"/>
                </w:tcPr>
                <w:p>
                  <w:pPr>
                    <w:jc w:val="center"/>
                    <w:rPr>
                      <w:bCs/>
                      <w:szCs w:val="21"/>
                    </w:rPr>
                  </w:pPr>
                  <w:r>
                    <w:rPr>
                      <w:bCs/>
                      <w:szCs w:val="21"/>
                    </w:rPr>
                    <w:t>形态</w:t>
                  </w:r>
                </w:p>
              </w:tc>
              <w:tc>
                <w:tcPr>
                  <w:tcW w:w="699" w:type="dxa"/>
                  <w:tcBorders>
                    <w:tl2br w:val="nil"/>
                    <w:tr2bl w:val="nil"/>
                  </w:tcBorders>
                  <w:vAlign w:val="center"/>
                </w:tcPr>
                <w:p>
                  <w:pPr>
                    <w:jc w:val="center"/>
                    <w:rPr>
                      <w:bCs/>
                      <w:szCs w:val="21"/>
                    </w:rPr>
                  </w:pPr>
                  <w:r>
                    <w:rPr>
                      <w:bCs/>
                      <w:szCs w:val="21"/>
                    </w:rPr>
                    <w:t>主要</w:t>
                  </w:r>
                </w:p>
                <w:p>
                  <w:pPr>
                    <w:jc w:val="center"/>
                    <w:rPr>
                      <w:bCs/>
                      <w:szCs w:val="21"/>
                    </w:rPr>
                  </w:pPr>
                  <w:r>
                    <w:rPr>
                      <w:bCs/>
                      <w:szCs w:val="21"/>
                    </w:rPr>
                    <w:t>成分</w:t>
                  </w:r>
                </w:p>
              </w:tc>
              <w:tc>
                <w:tcPr>
                  <w:tcW w:w="486" w:type="dxa"/>
                  <w:tcBorders>
                    <w:tl2br w:val="nil"/>
                    <w:tr2bl w:val="nil"/>
                  </w:tcBorders>
                  <w:vAlign w:val="center"/>
                </w:tcPr>
                <w:p>
                  <w:pPr>
                    <w:jc w:val="center"/>
                    <w:rPr>
                      <w:bCs/>
                      <w:szCs w:val="21"/>
                    </w:rPr>
                  </w:pPr>
                  <w:r>
                    <w:rPr>
                      <w:bCs/>
                      <w:szCs w:val="21"/>
                    </w:rPr>
                    <w:t>有害</w:t>
                  </w:r>
                </w:p>
                <w:p>
                  <w:pPr>
                    <w:jc w:val="center"/>
                    <w:rPr>
                      <w:bCs/>
                      <w:szCs w:val="21"/>
                    </w:rPr>
                  </w:pPr>
                  <w:r>
                    <w:rPr>
                      <w:bCs/>
                      <w:szCs w:val="21"/>
                    </w:rPr>
                    <w:t>成分</w:t>
                  </w:r>
                </w:p>
              </w:tc>
              <w:tc>
                <w:tcPr>
                  <w:tcW w:w="585" w:type="dxa"/>
                  <w:tcBorders>
                    <w:tl2br w:val="nil"/>
                    <w:tr2bl w:val="nil"/>
                  </w:tcBorders>
                  <w:vAlign w:val="center"/>
                </w:tcPr>
                <w:p>
                  <w:pPr>
                    <w:jc w:val="center"/>
                    <w:rPr>
                      <w:bCs/>
                      <w:szCs w:val="21"/>
                    </w:rPr>
                  </w:pPr>
                  <w:r>
                    <w:rPr>
                      <w:bCs/>
                      <w:szCs w:val="21"/>
                    </w:rPr>
                    <w:t>产废</w:t>
                  </w:r>
                </w:p>
                <w:p>
                  <w:pPr>
                    <w:jc w:val="center"/>
                    <w:rPr>
                      <w:bCs/>
                      <w:szCs w:val="21"/>
                    </w:rPr>
                  </w:pPr>
                  <w:r>
                    <w:rPr>
                      <w:bCs/>
                      <w:szCs w:val="21"/>
                    </w:rPr>
                    <w:t>周期</w:t>
                  </w:r>
                </w:p>
              </w:tc>
              <w:tc>
                <w:tcPr>
                  <w:tcW w:w="765" w:type="dxa"/>
                  <w:tcBorders>
                    <w:tl2br w:val="nil"/>
                    <w:tr2bl w:val="nil"/>
                  </w:tcBorders>
                  <w:vAlign w:val="center"/>
                </w:tcPr>
                <w:p>
                  <w:pPr>
                    <w:jc w:val="center"/>
                    <w:rPr>
                      <w:bCs/>
                      <w:szCs w:val="21"/>
                    </w:rPr>
                  </w:pPr>
                  <w:r>
                    <w:rPr>
                      <w:bCs/>
                      <w:szCs w:val="21"/>
                    </w:rPr>
                    <w:t>危险</w:t>
                  </w:r>
                </w:p>
                <w:p>
                  <w:pPr>
                    <w:jc w:val="center"/>
                    <w:rPr>
                      <w:bCs/>
                      <w:szCs w:val="21"/>
                    </w:rPr>
                  </w:pPr>
                  <w:r>
                    <w:rPr>
                      <w:bCs/>
                      <w:szCs w:val="21"/>
                    </w:rPr>
                    <w:t>特性</w:t>
                  </w:r>
                </w:p>
              </w:tc>
              <w:tc>
                <w:tcPr>
                  <w:tcW w:w="1252" w:type="dxa"/>
                  <w:tcBorders>
                    <w:tl2br w:val="nil"/>
                    <w:tr2bl w:val="nil"/>
                  </w:tcBorders>
                  <w:vAlign w:val="center"/>
                </w:tcPr>
                <w:p>
                  <w:pPr>
                    <w:jc w:val="center"/>
                    <w:rPr>
                      <w:bCs/>
                      <w:szCs w:val="21"/>
                    </w:rPr>
                  </w:pPr>
                  <w:r>
                    <w:rPr>
                      <w:bCs/>
                      <w:szCs w:val="21"/>
                    </w:rPr>
                    <w:t>污染防</w:t>
                  </w:r>
                </w:p>
                <w:p>
                  <w:pPr>
                    <w:jc w:val="center"/>
                    <w:rPr>
                      <w:bCs/>
                      <w:szCs w:val="21"/>
                    </w:rPr>
                  </w:pPr>
                  <w:r>
                    <w:rPr>
                      <w:bCs/>
                      <w:szCs w:val="21"/>
                    </w:rPr>
                    <w:t>治措施</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59" w:type="dxa"/>
                  <w:tcBorders>
                    <w:tl2br w:val="nil"/>
                    <w:tr2bl w:val="nil"/>
                  </w:tcBorders>
                  <w:vAlign w:val="center"/>
                </w:tcPr>
                <w:p>
                  <w:pPr>
                    <w:jc w:val="center"/>
                    <w:rPr>
                      <w:bCs/>
                      <w:szCs w:val="21"/>
                    </w:rPr>
                  </w:pPr>
                  <w:r>
                    <w:rPr>
                      <w:rFonts w:hint="eastAsia"/>
                      <w:bCs/>
                      <w:szCs w:val="21"/>
                    </w:rPr>
                    <w:t>1</w:t>
                  </w:r>
                </w:p>
              </w:tc>
              <w:tc>
                <w:tcPr>
                  <w:tcW w:w="695" w:type="dxa"/>
                  <w:tcBorders>
                    <w:tl2br w:val="nil"/>
                    <w:tr2bl w:val="nil"/>
                  </w:tcBorders>
                  <w:vAlign w:val="center"/>
                </w:tcPr>
                <w:p>
                  <w:pPr>
                    <w:jc w:val="center"/>
                    <w:rPr>
                      <w:szCs w:val="21"/>
                    </w:rPr>
                  </w:pPr>
                  <w:r>
                    <w:rPr>
                      <w:rFonts w:hint="eastAsia"/>
                      <w:bCs/>
                      <w:szCs w:val="21"/>
                    </w:rPr>
                    <w:t>废灯管</w:t>
                  </w:r>
                </w:p>
              </w:tc>
              <w:tc>
                <w:tcPr>
                  <w:tcW w:w="771" w:type="dxa"/>
                  <w:tcBorders>
                    <w:tl2br w:val="nil"/>
                    <w:tr2bl w:val="nil"/>
                  </w:tcBorders>
                  <w:vAlign w:val="center"/>
                </w:tcPr>
                <w:p>
                  <w:pPr>
                    <w:jc w:val="center"/>
                    <w:rPr>
                      <w:bCs/>
                      <w:szCs w:val="21"/>
                    </w:rPr>
                  </w:pPr>
                  <w:r>
                    <w:rPr>
                      <w:bCs/>
                      <w:szCs w:val="21"/>
                    </w:rPr>
                    <w:t>HW29</w:t>
                  </w:r>
                  <w:r>
                    <w:rPr>
                      <w:rFonts w:hint="eastAsia"/>
                      <w:bCs/>
                      <w:szCs w:val="21"/>
                    </w:rPr>
                    <w:t>含汞</w:t>
                  </w:r>
                </w:p>
                <w:p>
                  <w:pPr>
                    <w:jc w:val="center"/>
                    <w:rPr>
                      <w:bCs/>
                      <w:szCs w:val="21"/>
                    </w:rPr>
                  </w:pPr>
                  <w:r>
                    <w:rPr>
                      <w:bCs/>
                      <w:szCs w:val="21"/>
                    </w:rPr>
                    <w:t>废物</w:t>
                  </w:r>
                </w:p>
              </w:tc>
              <w:tc>
                <w:tcPr>
                  <w:tcW w:w="682" w:type="dxa"/>
                  <w:tcBorders>
                    <w:tl2br w:val="nil"/>
                    <w:tr2bl w:val="nil"/>
                  </w:tcBorders>
                  <w:vAlign w:val="center"/>
                </w:tcPr>
                <w:p>
                  <w:pPr>
                    <w:jc w:val="center"/>
                    <w:rPr>
                      <w:bCs/>
                      <w:szCs w:val="21"/>
                    </w:rPr>
                  </w:pPr>
                  <w:r>
                    <w:rPr>
                      <w:bCs/>
                      <w:kern w:val="0"/>
                      <w:szCs w:val="21"/>
                    </w:rPr>
                    <w:t>387-001-29</w:t>
                  </w:r>
                </w:p>
              </w:tc>
              <w:tc>
                <w:tcPr>
                  <w:tcW w:w="850" w:type="dxa"/>
                  <w:tcBorders>
                    <w:tl2br w:val="nil"/>
                    <w:tr2bl w:val="nil"/>
                  </w:tcBorders>
                  <w:vAlign w:val="center"/>
                </w:tcPr>
                <w:p>
                  <w:pPr>
                    <w:jc w:val="center"/>
                    <w:rPr>
                      <w:bCs/>
                      <w:szCs w:val="21"/>
                    </w:rPr>
                  </w:pPr>
                  <w:r>
                    <w:rPr>
                      <w:rFonts w:hint="eastAsia"/>
                      <w:szCs w:val="21"/>
                    </w:rPr>
                    <w:t>20</w:t>
                  </w:r>
                  <w:r>
                    <w:rPr>
                      <w:szCs w:val="21"/>
                    </w:rPr>
                    <w:t>根/a</w:t>
                  </w:r>
                </w:p>
              </w:tc>
              <w:tc>
                <w:tcPr>
                  <w:tcW w:w="690" w:type="dxa"/>
                  <w:tcBorders>
                    <w:tl2br w:val="nil"/>
                    <w:tr2bl w:val="nil"/>
                  </w:tcBorders>
                  <w:vAlign w:val="center"/>
                </w:tcPr>
                <w:p>
                  <w:pPr>
                    <w:jc w:val="center"/>
                    <w:rPr>
                      <w:bCs/>
                      <w:szCs w:val="21"/>
                    </w:rPr>
                  </w:pPr>
                  <w:r>
                    <w:rPr>
                      <w:rFonts w:hint="eastAsia"/>
                      <w:bCs/>
                      <w:szCs w:val="21"/>
                    </w:rPr>
                    <w:t>UV光催化氧化设备</w:t>
                  </w:r>
                </w:p>
              </w:tc>
              <w:tc>
                <w:tcPr>
                  <w:tcW w:w="570" w:type="dxa"/>
                  <w:tcBorders>
                    <w:tl2br w:val="nil"/>
                    <w:tr2bl w:val="nil"/>
                  </w:tcBorders>
                  <w:vAlign w:val="center"/>
                </w:tcPr>
                <w:p>
                  <w:pPr>
                    <w:jc w:val="center"/>
                    <w:rPr>
                      <w:bCs/>
                      <w:szCs w:val="21"/>
                    </w:rPr>
                  </w:pPr>
                  <w:r>
                    <w:rPr>
                      <w:bCs/>
                      <w:szCs w:val="21"/>
                    </w:rPr>
                    <w:t>固体</w:t>
                  </w:r>
                </w:p>
              </w:tc>
              <w:tc>
                <w:tcPr>
                  <w:tcW w:w="699" w:type="dxa"/>
                  <w:tcBorders>
                    <w:tl2br w:val="nil"/>
                    <w:tr2bl w:val="nil"/>
                  </w:tcBorders>
                  <w:vAlign w:val="center"/>
                </w:tcPr>
                <w:p>
                  <w:pPr>
                    <w:jc w:val="center"/>
                    <w:rPr>
                      <w:bCs/>
                      <w:szCs w:val="21"/>
                    </w:rPr>
                  </w:pPr>
                  <w:r>
                    <w:rPr>
                      <w:rFonts w:hint="eastAsia"/>
                      <w:bCs/>
                      <w:szCs w:val="21"/>
                    </w:rPr>
                    <w:t>含汞物质</w:t>
                  </w:r>
                </w:p>
              </w:tc>
              <w:tc>
                <w:tcPr>
                  <w:tcW w:w="486" w:type="dxa"/>
                  <w:tcBorders>
                    <w:tl2br w:val="nil"/>
                    <w:tr2bl w:val="nil"/>
                  </w:tcBorders>
                  <w:vAlign w:val="center"/>
                </w:tcPr>
                <w:p>
                  <w:pPr>
                    <w:jc w:val="center"/>
                    <w:rPr>
                      <w:bCs/>
                      <w:szCs w:val="21"/>
                    </w:rPr>
                  </w:pPr>
                  <w:r>
                    <w:rPr>
                      <w:rFonts w:hint="eastAsia"/>
                      <w:bCs/>
                      <w:szCs w:val="21"/>
                    </w:rPr>
                    <w:t>汞</w:t>
                  </w:r>
                </w:p>
              </w:tc>
              <w:tc>
                <w:tcPr>
                  <w:tcW w:w="585" w:type="dxa"/>
                  <w:tcBorders>
                    <w:tl2br w:val="nil"/>
                    <w:tr2bl w:val="nil"/>
                  </w:tcBorders>
                  <w:vAlign w:val="center"/>
                </w:tcPr>
                <w:p>
                  <w:pPr>
                    <w:jc w:val="center"/>
                    <w:rPr>
                      <w:bCs/>
                      <w:szCs w:val="21"/>
                    </w:rPr>
                  </w:pPr>
                  <w:r>
                    <w:rPr>
                      <w:rFonts w:hint="eastAsia"/>
                      <w:bCs/>
                      <w:szCs w:val="21"/>
                    </w:rPr>
                    <w:t>300天</w:t>
                  </w:r>
                </w:p>
              </w:tc>
              <w:tc>
                <w:tcPr>
                  <w:tcW w:w="765" w:type="dxa"/>
                  <w:tcBorders>
                    <w:tl2br w:val="nil"/>
                    <w:tr2bl w:val="nil"/>
                  </w:tcBorders>
                  <w:vAlign w:val="center"/>
                </w:tcPr>
                <w:p>
                  <w:pPr>
                    <w:jc w:val="center"/>
                    <w:rPr>
                      <w:bCs/>
                      <w:kern w:val="0"/>
                      <w:szCs w:val="21"/>
                    </w:rPr>
                  </w:pPr>
                  <w:r>
                    <w:rPr>
                      <w:bCs/>
                      <w:kern w:val="0"/>
                      <w:szCs w:val="21"/>
                    </w:rPr>
                    <w:t>T</w:t>
                  </w:r>
                </w:p>
              </w:tc>
              <w:tc>
                <w:tcPr>
                  <w:tcW w:w="1252" w:type="dxa"/>
                  <w:tcBorders>
                    <w:tl2br w:val="nil"/>
                    <w:tr2bl w:val="nil"/>
                  </w:tcBorders>
                  <w:vAlign w:val="center"/>
                </w:tcPr>
                <w:p>
                  <w:pPr>
                    <w:jc w:val="center"/>
                    <w:rPr>
                      <w:szCs w:val="21"/>
                    </w:rPr>
                  </w:pPr>
                  <w:r>
                    <w:rPr>
                      <w:rFonts w:hint="eastAsia"/>
                      <w:snapToGrid w:val="0"/>
                      <w:kern w:val="0"/>
                      <w:szCs w:val="21"/>
                    </w:rPr>
                    <w:t>废灯管</w:t>
                  </w:r>
                  <w:r>
                    <w:rPr>
                      <w:rFonts w:hint="eastAsia" w:cs="宋体"/>
                      <w:color w:val="000000" w:themeColor="text1"/>
                      <w:szCs w:val="21"/>
                      <w14:textFill>
                        <w14:solidFill>
                          <w14:schemeClr w14:val="tx1"/>
                        </w14:solidFill>
                      </w14:textFill>
                    </w:rPr>
                    <w:t>由专门容器收集后，封存于危废暂存间</w:t>
                  </w:r>
                  <w:r>
                    <w:rPr>
                      <w:rFonts w:hint="eastAsia"/>
                      <w:szCs w:val="21"/>
                    </w:rPr>
                    <w:t>（10m</w:t>
                  </w:r>
                  <w:r>
                    <w:rPr>
                      <w:rFonts w:hint="eastAsia"/>
                      <w:szCs w:val="21"/>
                      <w:vertAlign w:val="superscript"/>
                    </w:rPr>
                    <w:t>2</w:t>
                  </w:r>
                  <w:r>
                    <w:rPr>
                      <w:rFonts w:hint="eastAsia"/>
                      <w:szCs w:val="21"/>
                    </w:rPr>
                    <w:t>）</w:t>
                  </w:r>
                  <w:r>
                    <w:rPr>
                      <w:rFonts w:hint="eastAsia" w:cs="宋体"/>
                      <w:color w:val="000000" w:themeColor="text1"/>
                      <w:szCs w:val="21"/>
                      <w14:textFill>
                        <w14:solidFill>
                          <w14:schemeClr w14:val="tx1"/>
                        </w14:solidFill>
                      </w14:textFill>
                    </w:rPr>
                    <w:t>，定期交由有资质单位处理</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9" w:type="dxa"/>
                  <w:tcBorders>
                    <w:tl2br w:val="nil"/>
                    <w:tr2bl w:val="nil"/>
                  </w:tcBorders>
                  <w:vAlign w:val="center"/>
                </w:tcPr>
                <w:p>
                  <w:pPr>
                    <w:jc w:val="center"/>
                    <w:rPr>
                      <w:bCs/>
                      <w:szCs w:val="21"/>
                    </w:rPr>
                  </w:pPr>
                  <w:r>
                    <w:rPr>
                      <w:rFonts w:hint="eastAsia"/>
                      <w:bCs/>
                      <w:szCs w:val="21"/>
                    </w:rPr>
                    <w:t>2</w:t>
                  </w:r>
                </w:p>
              </w:tc>
              <w:tc>
                <w:tcPr>
                  <w:tcW w:w="695" w:type="dxa"/>
                  <w:tcBorders>
                    <w:tl2br w:val="nil"/>
                    <w:tr2bl w:val="nil"/>
                  </w:tcBorders>
                  <w:vAlign w:val="center"/>
                </w:tcPr>
                <w:p>
                  <w:pPr>
                    <w:jc w:val="center"/>
                    <w:rPr>
                      <w:bCs/>
                      <w:szCs w:val="21"/>
                    </w:rPr>
                  </w:pPr>
                  <w:r>
                    <w:rPr>
                      <w:rFonts w:hint="eastAsia"/>
                      <w:bCs/>
                      <w:szCs w:val="21"/>
                    </w:rPr>
                    <w:t>废液压油</w:t>
                  </w:r>
                </w:p>
              </w:tc>
              <w:tc>
                <w:tcPr>
                  <w:tcW w:w="771" w:type="dxa"/>
                  <w:tcBorders>
                    <w:tl2br w:val="nil"/>
                    <w:tr2bl w:val="nil"/>
                  </w:tcBorders>
                  <w:vAlign w:val="center"/>
                </w:tcPr>
                <w:p>
                  <w:pPr>
                    <w:jc w:val="center"/>
                    <w:rPr>
                      <w:bCs/>
                      <w:szCs w:val="21"/>
                    </w:rPr>
                  </w:pPr>
                  <w:r>
                    <w:rPr>
                      <w:rFonts w:hint="eastAsia"/>
                      <w:bCs/>
                      <w:szCs w:val="21"/>
                    </w:rPr>
                    <w:t>HW08废矿物油与含矿物油废物</w:t>
                  </w:r>
                </w:p>
              </w:tc>
              <w:tc>
                <w:tcPr>
                  <w:tcW w:w="682" w:type="dxa"/>
                  <w:tcBorders>
                    <w:tl2br w:val="nil"/>
                    <w:tr2bl w:val="nil"/>
                  </w:tcBorders>
                  <w:vAlign w:val="center"/>
                </w:tcPr>
                <w:p>
                  <w:pPr>
                    <w:jc w:val="center"/>
                    <w:rPr>
                      <w:bCs/>
                      <w:szCs w:val="21"/>
                    </w:rPr>
                  </w:pPr>
                  <w:r>
                    <w:rPr>
                      <w:rFonts w:hint="eastAsia"/>
                      <w:bCs/>
                      <w:szCs w:val="21"/>
                    </w:rPr>
                    <w:t>900-218-08</w:t>
                  </w:r>
                </w:p>
              </w:tc>
              <w:tc>
                <w:tcPr>
                  <w:tcW w:w="850" w:type="dxa"/>
                  <w:tcBorders>
                    <w:tl2br w:val="nil"/>
                    <w:tr2bl w:val="nil"/>
                  </w:tcBorders>
                  <w:vAlign w:val="center"/>
                </w:tcPr>
                <w:p>
                  <w:pPr>
                    <w:jc w:val="center"/>
                    <w:rPr>
                      <w:bCs/>
                      <w:szCs w:val="21"/>
                    </w:rPr>
                  </w:pPr>
                  <w:r>
                    <w:rPr>
                      <w:bCs/>
                      <w:szCs w:val="21"/>
                    </w:rPr>
                    <w:t>0.</w:t>
                  </w:r>
                  <w:r>
                    <w:rPr>
                      <w:rFonts w:hint="eastAsia"/>
                      <w:bCs/>
                      <w:szCs w:val="21"/>
                    </w:rPr>
                    <w:t>06</w:t>
                  </w:r>
                  <w:r>
                    <w:rPr>
                      <w:bCs/>
                      <w:szCs w:val="21"/>
                    </w:rPr>
                    <w:t>t/a</w:t>
                  </w:r>
                </w:p>
              </w:tc>
              <w:tc>
                <w:tcPr>
                  <w:tcW w:w="690" w:type="dxa"/>
                  <w:tcBorders>
                    <w:tl2br w:val="nil"/>
                    <w:tr2bl w:val="nil"/>
                  </w:tcBorders>
                  <w:vAlign w:val="center"/>
                </w:tcPr>
                <w:p>
                  <w:pPr>
                    <w:jc w:val="center"/>
                    <w:rPr>
                      <w:bCs/>
                      <w:szCs w:val="21"/>
                    </w:rPr>
                  </w:pPr>
                  <w:r>
                    <w:rPr>
                      <w:rFonts w:hint="eastAsia"/>
                      <w:bCs/>
                      <w:szCs w:val="21"/>
                    </w:rPr>
                    <w:t>设备检修</w:t>
                  </w:r>
                </w:p>
              </w:tc>
              <w:tc>
                <w:tcPr>
                  <w:tcW w:w="570" w:type="dxa"/>
                  <w:tcBorders>
                    <w:tl2br w:val="nil"/>
                    <w:tr2bl w:val="nil"/>
                  </w:tcBorders>
                  <w:vAlign w:val="center"/>
                </w:tcPr>
                <w:p>
                  <w:pPr>
                    <w:jc w:val="center"/>
                    <w:rPr>
                      <w:bCs/>
                      <w:szCs w:val="21"/>
                    </w:rPr>
                  </w:pPr>
                  <w:r>
                    <w:rPr>
                      <w:rFonts w:hint="eastAsia"/>
                      <w:bCs/>
                      <w:szCs w:val="21"/>
                    </w:rPr>
                    <w:t>液体</w:t>
                  </w:r>
                </w:p>
              </w:tc>
              <w:tc>
                <w:tcPr>
                  <w:tcW w:w="699" w:type="dxa"/>
                  <w:tcBorders>
                    <w:tl2br w:val="nil"/>
                    <w:tr2bl w:val="nil"/>
                  </w:tcBorders>
                  <w:vAlign w:val="center"/>
                </w:tcPr>
                <w:p>
                  <w:pPr>
                    <w:jc w:val="center"/>
                    <w:rPr>
                      <w:bCs/>
                      <w:szCs w:val="21"/>
                    </w:rPr>
                  </w:pPr>
                  <w:r>
                    <w:rPr>
                      <w:rFonts w:hint="eastAsia"/>
                      <w:bCs/>
                      <w:szCs w:val="21"/>
                    </w:rPr>
                    <w:t>液压油</w:t>
                  </w:r>
                </w:p>
              </w:tc>
              <w:tc>
                <w:tcPr>
                  <w:tcW w:w="486" w:type="dxa"/>
                  <w:tcBorders>
                    <w:tl2br w:val="nil"/>
                    <w:tr2bl w:val="nil"/>
                  </w:tcBorders>
                  <w:vAlign w:val="center"/>
                </w:tcPr>
                <w:p>
                  <w:pPr>
                    <w:jc w:val="center"/>
                    <w:rPr>
                      <w:bCs/>
                      <w:szCs w:val="21"/>
                    </w:rPr>
                  </w:pPr>
                  <w:r>
                    <w:rPr>
                      <w:bCs/>
                      <w:szCs w:val="21"/>
                    </w:rPr>
                    <w:t>有机废物</w:t>
                  </w:r>
                </w:p>
              </w:tc>
              <w:tc>
                <w:tcPr>
                  <w:tcW w:w="585" w:type="dxa"/>
                  <w:tcBorders>
                    <w:tl2br w:val="nil"/>
                    <w:tr2bl w:val="nil"/>
                  </w:tcBorders>
                  <w:vAlign w:val="center"/>
                </w:tcPr>
                <w:p>
                  <w:pPr>
                    <w:jc w:val="center"/>
                    <w:rPr>
                      <w:bCs/>
                      <w:szCs w:val="21"/>
                    </w:rPr>
                  </w:pPr>
                  <w:r>
                    <w:rPr>
                      <w:rFonts w:hint="eastAsia"/>
                      <w:bCs/>
                      <w:szCs w:val="21"/>
                    </w:rPr>
                    <w:t>300天</w:t>
                  </w:r>
                </w:p>
              </w:tc>
              <w:tc>
                <w:tcPr>
                  <w:tcW w:w="765" w:type="dxa"/>
                  <w:tcBorders>
                    <w:tl2br w:val="nil"/>
                    <w:tr2bl w:val="nil"/>
                  </w:tcBorders>
                  <w:vAlign w:val="center"/>
                </w:tcPr>
                <w:p>
                  <w:pPr>
                    <w:jc w:val="center"/>
                    <w:rPr>
                      <w:bCs/>
                      <w:kern w:val="0"/>
                      <w:szCs w:val="21"/>
                    </w:rPr>
                  </w:pPr>
                  <w:r>
                    <w:rPr>
                      <w:rFonts w:hint="eastAsia"/>
                      <w:bCs/>
                      <w:kern w:val="0"/>
                      <w:szCs w:val="21"/>
                    </w:rPr>
                    <w:t>T，I</w:t>
                  </w:r>
                </w:p>
              </w:tc>
              <w:tc>
                <w:tcPr>
                  <w:tcW w:w="1252" w:type="dxa"/>
                  <w:tcBorders>
                    <w:tl2br w:val="nil"/>
                    <w:tr2bl w:val="nil"/>
                  </w:tcBorders>
                  <w:vAlign w:val="center"/>
                </w:tcPr>
                <w:p>
                  <w:pPr>
                    <w:jc w:val="center"/>
                    <w:rPr>
                      <w:bCs/>
                      <w:szCs w:val="21"/>
                    </w:rPr>
                  </w:pPr>
                  <w:r>
                    <w:rPr>
                      <w:rFonts w:hint="eastAsia"/>
                      <w:bCs/>
                      <w:szCs w:val="21"/>
                    </w:rPr>
                    <w:t>废液压油</w:t>
                  </w:r>
                  <w:r>
                    <w:rPr>
                      <w:rFonts w:hint="eastAsia"/>
                      <w:szCs w:val="21"/>
                    </w:rPr>
                    <w:t>由塑料桶收集，</w:t>
                  </w:r>
                  <w:r>
                    <w:rPr>
                      <w:rFonts w:hint="eastAsia" w:cs="宋体"/>
                      <w:szCs w:val="21"/>
                    </w:rPr>
                    <w:t>封存于危废暂存间</w:t>
                  </w:r>
                  <w:r>
                    <w:rPr>
                      <w:rFonts w:hint="eastAsia"/>
                      <w:szCs w:val="21"/>
                    </w:rPr>
                    <w:t>（10m</w:t>
                  </w:r>
                  <w:r>
                    <w:rPr>
                      <w:rFonts w:hint="eastAsia"/>
                      <w:szCs w:val="21"/>
                      <w:vertAlign w:val="superscript"/>
                    </w:rPr>
                    <w:t>2</w:t>
                  </w:r>
                  <w:r>
                    <w:rPr>
                      <w:rFonts w:hint="eastAsia"/>
                      <w:szCs w:val="21"/>
                    </w:rPr>
                    <w:t>）</w:t>
                  </w:r>
                  <w:r>
                    <w:rPr>
                      <w:rFonts w:hint="eastAsia" w:cs="宋体"/>
                      <w:szCs w:val="21"/>
                    </w:rPr>
                    <w:t>，定期交由有资质单位处理</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9" w:type="dxa"/>
                  <w:tcBorders>
                    <w:tl2br w:val="nil"/>
                    <w:tr2bl w:val="nil"/>
                  </w:tcBorders>
                  <w:vAlign w:val="center"/>
                </w:tcPr>
                <w:p>
                  <w:pPr>
                    <w:jc w:val="center"/>
                    <w:rPr>
                      <w:bCs/>
                      <w:szCs w:val="21"/>
                    </w:rPr>
                  </w:pPr>
                  <w:r>
                    <w:rPr>
                      <w:rFonts w:hint="eastAsia"/>
                      <w:bCs/>
                      <w:szCs w:val="21"/>
                    </w:rPr>
                    <w:t>3</w:t>
                  </w:r>
                </w:p>
              </w:tc>
              <w:tc>
                <w:tcPr>
                  <w:tcW w:w="695" w:type="dxa"/>
                  <w:tcBorders>
                    <w:tl2br w:val="nil"/>
                    <w:tr2bl w:val="nil"/>
                  </w:tcBorders>
                  <w:vAlign w:val="center"/>
                </w:tcPr>
                <w:p>
                  <w:pPr>
                    <w:jc w:val="center"/>
                    <w:rPr>
                      <w:bCs/>
                      <w:szCs w:val="21"/>
                    </w:rPr>
                  </w:pPr>
                  <w:r>
                    <w:rPr>
                      <w:rFonts w:hint="eastAsia"/>
                      <w:bCs/>
                      <w:szCs w:val="21"/>
                    </w:rPr>
                    <w:t>废机油</w:t>
                  </w:r>
                </w:p>
              </w:tc>
              <w:tc>
                <w:tcPr>
                  <w:tcW w:w="771" w:type="dxa"/>
                  <w:tcBorders>
                    <w:tl2br w:val="nil"/>
                    <w:tr2bl w:val="nil"/>
                  </w:tcBorders>
                  <w:vAlign w:val="center"/>
                </w:tcPr>
                <w:p>
                  <w:pPr>
                    <w:jc w:val="center"/>
                    <w:rPr>
                      <w:kern w:val="24"/>
                      <w:szCs w:val="21"/>
                    </w:rPr>
                  </w:pPr>
                  <w:r>
                    <w:rPr>
                      <w:kern w:val="24"/>
                      <w:szCs w:val="21"/>
                    </w:rPr>
                    <w:t>HW</w:t>
                  </w:r>
                  <w:r>
                    <w:rPr>
                      <w:rFonts w:hint="eastAsia"/>
                      <w:kern w:val="24"/>
                      <w:szCs w:val="21"/>
                    </w:rPr>
                    <w:t>08废矿物油与含矿物油废物</w:t>
                  </w:r>
                </w:p>
              </w:tc>
              <w:tc>
                <w:tcPr>
                  <w:tcW w:w="682" w:type="dxa"/>
                  <w:tcBorders>
                    <w:tl2br w:val="nil"/>
                    <w:tr2bl w:val="nil"/>
                  </w:tcBorders>
                  <w:vAlign w:val="center"/>
                </w:tcPr>
                <w:p>
                  <w:pPr>
                    <w:jc w:val="center"/>
                    <w:rPr>
                      <w:bCs/>
                      <w:szCs w:val="21"/>
                    </w:rPr>
                  </w:pPr>
                  <w:r>
                    <w:rPr>
                      <w:rFonts w:hint="eastAsia"/>
                      <w:bCs/>
                      <w:szCs w:val="21"/>
                    </w:rPr>
                    <w:t>900-214-08</w:t>
                  </w:r>
                </w:p>
              </w:tc>
              <w:tc>
                <w:tcPr>
                  <w:tcW w:w="850" w:type="dxa"/>
                  <w:tcBorders>
                    <w:tl2br w:val="nil"/>
                    <w:tr2bl w:val="nil"/>
                  </w:tcBorders>
                  <w:vAlign w:val="center"/>
                </w:tcPr>
                <w:p>
                  <w:pPr>
                    <w:jc w:val="center"/>
                    <w:rPr>
                      <w:szCs w:val="21"/>
                    </w:rPr>
                  </w:pPr>
                  <w:r>
                    <w:rPr>
                      <w:rFonts w:hint="eastAsia"/>
                      <w:szCs w:val="21"/>
                    </w:rPr>
                    <w:t>0.01t/a</w:t>
                  </w:r>
                </w:p>
              </w:tc>
              <w:tc>
                <w:tcPr>
                  <w:tcW w:w="690" w:type="dxa"/>
                  <w:tcBorders>
                    <w:tl2br w:val="nil"/>
                    <w:tr2bl w:val="nil"/>
                  </w:tcBorders>
                  <w:vAlign w:val="center"/>
                </w:tcPr>
                <w:p>
                  <w:pPr>
                    <w:jc w:val="center"/>
                    <w:rPr>
                      <w:bCs/>
                      <w:szCs w:val="21"/>
                    </w:rPr>
                  </w:pPr>
                  <w:r>
                    <w:rPr>
                      <w:rFonts w:hint="eastAsia"/>
                      <w:bCs/>
                      <w:szCs w:val="21"/>
                    </w:rPr>
                    <w:t>设备检修</w:t>
                  </w:r>
                </w:p>
              </w:tc>
              <w:tc>
                <w:tcPr>
                  <w:tcW w:w="570" w:type="dxa"/>
                  <w:tcBorders>
                    <w:tl2br w:val="nil"/>
                    <w:tr2bl w:val="nil"/>
                  </w:tcBorders>
                  <w:vAlign w:val="center"/>
                </w:tcPr>
                <w:p>
                  <w:pPr>
                    <w:jc w:val="center"/>
                    <w:rPr>
                      <w:bCs/>
                      <w:szCs w:val="21"/>
                    </w:rPr>
                  </w:pPr>
                  <w:r>
                    <w:rPr>
                      <w:rFonts w:hint="eastAsia"/>
                      <w:bCs/>
                      <w:szCs w:val="21"/>
                    </w:rPr>
                    <w:t>液体</w:t>
                  </w:r>
                </w:p>
              </w:tc>
              <w:tc>
                <w:tcPr>
                  <w:tcW w:w="699" w:type="dxa"/>
                  <w:tcBorders>
                    <w:tl2br w:val="nil"/>
                    <w:tr2bl w:val="nil"/>
                  </w:tcBorders>
                  <w:vAlign w:val="center"/>
                </w:tcPr>
                <w:p>
                  <w:pPr>
                    <w:jc w:val="center"/>
                    <w:rPr>
                      <w:bCs/>
                      <w:szCs w:val="21"/>
                    </w:rPr>
                  </w:pPr>
                  <w:r>
                    <w:rPr>
                      <w:rFonts w:hint="eastAsia"/>
                      <w:bCs/>
                      <w:szCs w:val="21"/>
                    </w:rPr>
                    <w:t>机油</w:t>
                  </w:r>
                </w:p>
              </w:tc>
              <w:tc>
                <w:tcPr>
                  <w:tcW w:w="486" w:type="dxa"/>
                  <w:tcBorders>
                    <w:tl2br w:val="nil"/>
                    <w:tr2bl w:val="nil"/>
                  </w:tcBorders>
                  <w:vAlign w:val="center"/>
                </w:tcPr>
                <w:p>
                  <w:pPr>
                    <w:jc w:val="center"/>
                    <w:rPr>
                      <w:bCs/>
                      <w:szCs w:val="21"/>
                    </w:rPr>
                  </w:pPr>
                  <w:r>
                    <w:rPr>
                      <w:bCs/>
                      <w:szCs w:val="21"/>
                    </w:rPr>
                    <w:t>有机废物</w:t>
                  </w:r>
                </w:p>
              </w:tc>
              <w:tc>
                <w:tcPr>
                  <w:tcW w:w="585" w:type="dxa"/>
                  <w:tcBorders>
                    <w:tl2br w:val="nil"/>
                    <w:tr2bl w:val="nil"/>
                  </w:tcBorders>
                  <w:vAlign w:val="center"/>
                </w:tcPr>
                <w:p>
                  <w:pPr>
                    <w:jc w:val="center"/>
                    <w:rPr>
                      <w:bCs/>
                      <w:szCs w:val="21"/>
                    </w:rPr>
                  </w:pPr>
                  <w:r>
                    <w:rPr>
                      <w:rFonts w:hint="eastAsia"/>
                      <w:bCs/>
                      <w:szCs w:val="21"/>
                    </w:rPr>
                    <w:t>150天</w:t>
                  </w:r>
                </w:p>
              </w:tc>
              <w:tc>
                <w:tcPr>
                  <w:tcW w:w="765" w:type="dxa"/>
                  <w:tcBorders>
                    <w:tl2br w:val="nil"/>
                    <w:tr2bl w:val="nil"/>
                  </w:tcBorders>
                  <w:vAlign w:val="center"/>
                </w:tcPr>
                <w:p>
                  <w:pPr>
                    <w:jc w:val="center"/>
                    <w:rPr>
                      <w:bCs/>
                      <w:kern w:val="0"/>
                      <w:szCs w:val="21"/>
                    </w:rPr>
                  </w:pPr>
                  <w:r>
                    <w:rPr>
                      <w:rFonts w:hint="eastAsia"/>
                      <w:bCs/>
                      <w:kern w:val="0"/>
                      <w:szCs w:val="21"/>
                    </w:rPr>
                    <w:t>T，I</w:t>
                  </w:r>
                </w:p>
              </w:tc>
              <w:tc>
                <w:tcPr>
                  <w:tcW w:w="1252" w:type="dxa"/>
                  <w:tcBorders>
                    <w:tl2br w:val="nil"/>
                    <w:tr2bl w:val="nil"/>
                  </w:tcBorders>
                  <w:vAlign w:val="center"/>
                </w:tcPr>
                <w:p>
                  <w:pPr>
                    <w:jc w:val="center"/>
                    <w:rPr>
                      <w:szCs w:val="21"/>
                    </w:rPr>
                  </w:pPr>
                  <w:r>
                    <w:rPr>
                      <w:rFonts w:hint="eastAsia"/>
                      <w:szCs w:val="21"/>
                    </w:rPr>
                    <w:t>废机油由塑料桶收集，</w:t>
                  </w:r>
                  <w:r>
                    <w:rPr>
                      <w:rFonts w:hint="eastAsia" w:cs="宋体"/>
                      <w:szCs w:val="21"/>
                    </w:rPr>
                    <w:t>封存于危废暂存间</w:t>
                  </w:r>
                  <w:r>
                    <w:rPr>
                      <w:rFonts w:hint="eastAsia"/>
                      <w:szCs w:val="21"/>
                    </w:rPr>
                    <w:t>（10m</w:t>
                  </w:r>
                  <w:r>
                    <w:rPr>
                      <w:rFonts w:hint="eastAsia"/>
                      <w:szCs w:val="21"/>
                      <w:vertAlign w:val="superscript"/>
                    </w:rPr>
                    <w:t>2</w:t>
                  </w:r>
                  <w:r>
                    <w:rPr>
                      <w:rFonts w:hint="eastAsia"/>
                      <w:szCs w:val="21"/>
                    </w:rPr>
                    <w:t>）</w:t>
                  </w:r>
                  <w:r>
                    <w:rPr>
                      <w:rFonts w:hint="eastAsia" w:cs="宋体"/>
                      <w:szCs w:val="21"/>
                    </w:rPr>
                    <w:t>，定期交由有资质单位处理</w:t>
                  </w:r>
                </w:p>
              </w:tc>
            </w:tr>
          </w:tbl>
          <w:p>
            <w:pPr>
              <w:pStyle w:val="9"/>
              <w:spacing w:line="360" w:lineRule="auto"/>
              <w:ind w:firstLine="480" w:firstLineChars="200"/>
              <w:rPr>
                <w:b w:val="0"/>
                <w:bCs w:val="0"/>
                <w:snapToGrid w:val="0"/>
                <w:szCs w:val="24"/>
              </w:rPr>
            </w:pPr>
            <w:r>
              <w:rPr>
                <w:b w:val="0"/>
                <w:bCs w:val="0"/>
                <w:snapToGrid w:val="0"/>
                <w:szCs w:val="24"/>
              </w:rPr>
              <w:t>危险废物贮存要求：建设单位必须严格按照《危险废物贮存污染物控制标准》（GB18597-2001）及其修改单中有关要求，做好危险废物贮存工作，收集的危险废物定期交由有资质的专业单位进行集中无害化处置。具体做到：</w:t>
            </w:r>
          </w:p>
          <w:p>
            <w:pPr>
              <w:pStyle w:val="9"/>
              <w:spacing w:line="360" w:lineRule="auto"/>
              <w:ind w:firstLine="480" w:firstLineChars="200"/>
              <w:rPr>
                <w:b w:val="0"/>
                <w:bCs w:val="0"/>
                <w:snapToGrid w:val="0"/>
                <w:szCs w:val="24"/>
              </w:rPr>
            </w:pPr>
            <w:r>
              <w:rPr>
                <w:b w:val="0"/>
                <w:bCs w:val="0"/>
                <w:snapToGrid w:val="0"/>
                <w:szCs w:val="24"/>
              </w:rPr>
              <w:t>①</w:t>
            </w:r>
            <w:r>
              <w:rPr>
                <w:rFonts w:hint="eastAsia"/>
                <w:b w:val="0"/>
                <w:bCs w:val="0"/>
                <w:snapToGrid w:val="0"/>
                <w:szCs w:val="24"/>
              </w:rPr>
              <w:t>危废暂存间</w:t>
            </w:r>
            <w:r>
              <w:rPr>
                <w:b w:val="0"/>
                <w:bCs w:val="0"/>
                <w:snapToGrid w:val="0"/>
                <w:szCs w:val="24"/>
              </w:rPr>
              <w:t>地面与裙角要用坚固、防渗材料建造，建筑材料必须与危险废物相容，必须有渗漏液体收集装置、气体导出口；</w:t>
            </w:r>
          </w:p>
          <w:p>
            <w:pPr>
              <w:pStyle w:val="9"/>
              <w:spacing w:line="360" w:lineRule="auto"/>
              <w:ind w:firstLine="480" w:firstLineChars="200"/>
              <w:rPr>
                <w:b w:val="0"/>
                <w:bCs w:val="0"/>
                <w:snapToGrid w:val="0"/>
                <w:szCs w:val="24"/>
              </w:rPr>
            </w:pPr>
            <w:r>
              <w:rPr>
                <w:b w:val="0"/>
                <w:bCs w:val="0"/>
                <w:snapToGrid w:val="0"/>
                <w:szCs w:val="24"/>
              </w:rPr>
              <w:t>②设施内要有安全照明设施及观察窗口，地面须有耐腐蚀的硬化地面，表面无裂痕，设置堵截泄露的裙角，地面与裙角所围建的容积不低于最大容器的最大存储量或总存储量的五分之一；</w:t>
            </w:r>
          </w:p>
          <w:p>
            <w:pPr>
              <w:pStyle w:val="9"/>
              <w:spacing w:line="360" w:lineRule="auto"/>
              <w:ind w:firstLine="480" w:firstLineChars="200"/>
              <w:rPr>
                <w:b w:val="0"/>
                <w:bCs w:val="0"/>
                <w:snapToGrid w:val="0"/>
                <w:szCs w:val="24"/>
              </w:rPr>
            </w:pPr>
            <w:r>
              <w:rPr>
                <w:b w:val="0"/>
                <w:bCs w:val="0"/>
                <w:snapToGrid w:val="0"/>
                <w:szCs w:val="24"/>
              </w:rPr>
              <w:t>③不相容的危险废物必须分开存放，并设有隔离间隔断，</w:t>
            </w:r>
            <w:r>
              <w:rPr>
                <w:rFonts w:hint="eastAsia"/>
                <w:b w:val="0"/>
                <w:bCs w:val="0"/>
                <w:snapToGrid w:val="0"/>
                <w:szCs w:val="24"/>
              </w:rPr>
              <w:t>危废暂存间</w:t>
            </w:r>
            <w:r>
              <w:rPr>
                <w:b w:val="0"/>
                <w:bCs w:val="0"/>
                <w:snapToGrid w:val="0"/>
                <w:szCs w:val="24"/>
              </w:rPr>
              <w:t>基础需进行防渗，衬里要能够覆盖危险废物或其溶出物可能涉及到的范围，衬里材料要与存放危险废物相容；</w:t>
            </w:r>
          </w:p>
          <w:p>
            <w:pPr>
              <w:pStyle w:val="9"/>
              <w:spacing w:line="360" w:lineRule="auto"/>
              <w:ind w:firstLine="480" w:firstLineChars="200"/>
              <w:rPr>
                <w:b w:val="0"/>
                <w:bCs w:val="0"/>
                <w:snapToGrid w:val="0"/>
                <w:szCs w:val="24"/>
              </w:rPr>
            </w:pPr>
            <w:r>
              <w:rPr>
                <w:b w:val="0"/>
                <w:bCs w:val="0"/>
                <w:snapToGrid w:val="0"/>
                <w:szCs w:val="24"/>
              </w:rPr>
              <w:t>④</w:t>
            </w:r>
            <w:r>
              <w:rPr>
                <w:rFonts w:hint="eastAsia"/>
                <w:b w:val="0"/>
                <w:bCs w:val="0"/>
                <w:snapToGrid w:val="0"/>
                <w:szCs w:val="24"/>
              </w:rPr>
              <w:t>危废暂存间</w:t>
            </w:r>
            <w:r>
              <w:rPr>
                <w:b w:val="0"/>
                <w:bCs w:val="0"/>
                <w:snapToGrid w:val="0"/>
                <w:szCs w:val="24"/>
              </w:rPr>
              <w:t>建设需满足防风、防雨、防晒要求，危险废物要放入符合标准的容器内，加上标签，容器放入坚固的柜或箱中，箱柜应设多个直径不少于30mm的排气孔。</w:t>
            </w:r>
          </w:p>
          <w:p>
            <w:pPr>
              <w:pStyle w:val="9"/>
              <w:spacing w:line="360" w:lineRule="auto"/>
              <w:ind w:firstLine="480" w:firstLineChars="200"/>
              <w:rPr>
                <w:b w:val="0"/>
                <w:bCs w:val="0"/>
                <w:snapToGrid w:val="0"/>
                <w:sz w:val="24"/>
                <w:szCs w:val="24"/>
              </w:rPr>
            </w:pPr>
            <w:r>
              <w:rPr>
                <w:rFonts w:hint="eastAsia"/>
                <w:b w:val="0"/>
                <w:bCs w:val="0"/>
                <w:snapToGrid w:val="0"/>
                <w:sz w:val="24"/>
                <w:szCs w:val="24"/>
                <w:lang w:val="en-US" w:eastAsia="zh-CN"/>
              </w:rPr>
              <w:t xml:space="preserve">    </w:t>
            </w:r>
            <w:r>
              <w:rPr>
                <w:b w:val="0"/>
                <w:bCs w:val="0"/>
                <w:snapToGrid w:val="0"/>
                <w:sz w:val="24"/>
                <w:szCs w:val="24"/>
              </w:rPr>
              <w:fldChar w:fldCharType="begin"/>
            </w:r>
            <w:r>
              <w:rPr>
                <w:b w:val="0"/>
                <w:bCs w:val="0"/>
                <w:snapToGrid w:val="0"/>
                <w:sz w:val="24"/>
                <w:szCs w:val="24"/>
              </w:rPr>
              <w:instrText xml:space="preserve"> = 5 \* GB3 \* MERGEFORMAT </w:instrText>
            </w:r>
            <w:r>
              <w:rPr>
                <w:b w:val="0"/>
                <w:bCs w:val="0"/>
                <w:snapToGrid w:val="0"/>
                <w:sz w:val="24"/>
                <w:szCs w:val="24"/>
              </w:rPr>
              <w:fldChar w:fldCharType="separate"/>
            </w:r>
            <w:r>
              <w:rPr>
                <w:b w:val="0"/>
                <w:bCs w:val="0"/>
                <w:sz w:val="24"/>
                <w:szCs w:val="24"/>
              </w:rPr>
              <w:t>⑤</w:t>
            </w:r>
            <w:r>
              <w:rPr>
                <w:b w:val="0"/>
                <w:bCs w:val="0"/>
                <w:snapToGrid w:val="0"/>
                <w:sz w:val="24"/>
                <w:szCs w:val="24"/>
              </w:rPr>
              <w:fldChar w:fldCharType="end"/>
            </w:r>
            <w:r>
              <w:rPr>
                <w:b w:val="0"/>
                <w:bCs w:val="0"/>
                <w:snapToGrid w:val="0"/>
                <w:sz w:val="24"/>
                <w:szCs w:val="24"/>
              </w:rPr>
              <w:t>危险固废暂存间采用2mm厚高密度聚乙烯，或至少2mm厚的其它人工材料，渗透系数≤1.0×10</w:t>
            </w:r>
            <w:r>
              <w:rPr>
                <w:b w:val="0"/>
                <w:bCs w:val="0"/>
                <w:snapToGrid w:val="0"/>
                <w:sz w:val="24"/>
                <w:szCs w:val="24"/>
                <w:vertAlign w:val="superscript"/>
              </w:rPr>
              <w:t>-10</w:t>
            </w:r>
            <w:r>
              <w:rPr>
                <w:b w:val="0"/>
                <w:bCs w:val="0"/>
                <w:snapToGrid w:val="0"/>
                <w:sz w:val="24"/>
                <w:szCs w:val="24"/>
              </w:rPr>
              <w:t>cm/s。</w:t>
            </w:r>
          </w:p>
          <w:p>
            <w:pPr>
              <w:pStyle w:val="9"/>
              <w:spacing w:line="360" w:lineRule="auto"/>
              <w:ind w:firstLine="480" w:firstLineChars="200"/>
              <w:rPr>
                <w:b w:val="0"/>
                <w:bCs w:val="0"/>
                <w:snapToGrid w:val="0"/>
              </w:rPr>
            </w:pPr>
            <w:r>
              <w:rPr>
                <w:b w:val="0"/>
                <w:bCs w:val="0"/>
                <w:snapToGrid w:val="0"/>
              </w:rPr>
              <w:t>综上所述，本项目营运期产生的固体废物对周围环境影响较小。</w:t>
            </w:r>
          </w:p>
          <w:p>
            <w:pPr>
              <w:spacing w:line="360" w:lineRule="auto"/>
              <w:rPr>
                <w:b/>
                <w:bCs/>
                <w:snapToGrid w:val="0"/>
                <w:kern w:val="21"/>
                <w:sz w:val="24"/>
              </w:rPr>
            </w:pPr>
            <w:r>
              <w:rPr>
                <w:rFonts w:hint="eastAsia"/>
                <w:b/>
                <w:bCs/>
                <w:snapToGrid w:val="0"/>
                <w:kern w:val="21"/>
                <w:sz w:val="24"/>
                <w:lang w:eastAsia="zh-CN"/>
              </w:rPr>
              <w:t>五</w:t>
            </w:r>
            <w:r>
              <w:rPr>
                <w:rFonts w:hint="eastAsia"/>
                <w:b/>
                <w:bCs/>
                <w:snapToGrid w:val="0"/>
                <w:kern w:val="21"/>
                <w:sz w:val="24"/>
              </w:rPr>
              <w:t>、</w:t>
            </w:r>
            <w:r>
              <w:rPr>
                <w:rFonts w:hint="eastAsia"/>
                <w:b/>
                <w:bCs/>
                <w:snapToGrid w:val="0"/>
                <w:kern w:val="21"/>
                <w:sz w:val="24"/>
                <w:lang w:eastAsia="zh-CN"/>
              </w:rPr>
              <w:t>土壤</w:t>
            </w:r>
            <w:r>
              <w:rPr>
                <w:rFonts w:hint="eastAsia"/>
                <w:b/>
                <w:bCs/>
                <w:sz w:val="24"/>
              </w:rPr>
              <w:t>环境影响分析</w:t>
            </w:r>
          </w:p>
          <w:p>
            <w:pPr>
              <w:pStyle w:val="9"/>
              <w:spacing w:line="360" w:lineRule="auto"/>
              <w:ind w:firstLine="480" w:firstLineChars="200"/>
              <w:jc w:val="center"/>
              <w:rPr>
                <w:rFonts w:hint="eastAsia" w:ascii="黑体" w:hAnsi="黑体" w:eastAsia="黑体" w:cs="黑体"/>
                <w:b w:val="0"/>
                <w:bCs w:val="0"/>
                <w:snapToGrid w:val="0"/>
                <w:color w:val="000000"/>
                <w:sz w:val="24"/>
                <w:lang w:val="en-US" w:eastAsia="zh-CN"/>
              </w:rPr>
            </w:pPr>
            <w:r>
              <w:rPr>
                <w:rFonts w:hint="eastAsia"/>
                <w:b w:val="0"/>
                <w:bCs w:val="0"/>
                <w:snapToGrid w:val="0"/>
                <w:color w:val="000000"/>
                <w:sz w:val="24"/>
                <w:lang w:eastAsia="zh-CN"/>
              </w:rPr>
              <w:t>与</w:t>
            </w:r>
            <w:r>
              <w:rPr>
                <w:b w:val="0"/>
                <w:bCs w:val="0"/>
                <w:snapToGrid w:val="0"/>
                <w:color w:val="000000"/>
                <w:sz w:val="24"/>
              </w:rPr>
              <w:t>《环境影响评价技术导则-</w:t>
            </w:r>
            <w:r>
              <w:rPr>
                <w:rFonts w:hint="eastAsia"/>
                <w:b w:val="0"/>
                <w:bCs w:val="0"/>
                <w:snapToGrid w:val="0"/>
                <w:color w:val="000000"/>
                <w:sz w:val="24"/>
                <w:lang w:eastAsia="zh-CN"/>
              </w:rPr>
              <w:t>土壤</w:t>
            </w:r>
            <w:r>
              <w:rPr>
                <w:b w:val="0"/>
                <w:bCs w:val="0"/>
                <w:snapToGrid w:val="0"/>
                <w:color w:val="000000"/>
                <w:sz w:val="24"/>
              </w:rPr>
              <w:t>环境</w:t>
            </w:r>
            <w:r>
              <w:rPr>
                <w:rFonts w:hint="eastAsia"/>
                <w:b w:val="0"/>
                <w:bCs w:val="0"/>
                <w:snapToGrid w:val="0"/>
                <w:color w:val="000000"/>
                <w:sz w:val="24"/>
                <w:lang w:eastAsia="zh-CN"/>
              </w:rPr>
              <w:t>（试行）</w:t>
            </w:r>
            <w:r>
              <w:rPr>
                <w:b w:val="0"/>
                <w:bCs w:val="0"/>
                <w:snapToGrid w:val="0"/>
                <w:color w:val="000000"/>
                <w:sz w:val="24"/>
              </w:rPr>
              <w:t>》HJ</w:t>
            </w:r>
            <w:r>
              <w:rPr>
                <w:rFonts w:hint="eastAsia"/>
                <w:b w:val="0"/>
                <w:bCs w:val="0"/>
                <w:snapToGrid w:val="0"/>
                <w:color w:val="000000"/>
                <w:sz w:val="24"/>
                <w:lang w:val="en-US" w:eastAsia="zh-CN"/>
              </w:rPr>
              <w:t>964</w:t>
            </w:r>
            <w:r>
              <w:rPr>
                <w:b w:val="0"/>
                <w:bCs w:val="0"/>
                <w:snapToGrid w:val="0"/>
                <w:color w:val="000000"/>
                <w:sz w:val="24"/>
              </w:rPr>
              <w:t>-20</w:t>
            </w:r>
            <w:r>
              <w:rPr>
                <w:rFonts w:hint="eastAsia"/>
                <w:b w:val="0"/>
                <w:bCs w:val="0"/>
                <w:snapToGrid w:val="0"/>
                <w:color w:val="000000"/>
                <w:sz w:val="24"/>
                <w:lang w:val="en-US" w:eastAsia="zh-CN"/>
              </w:rPr>
              <w:t>18</w:t>
            </w:r>
            <w:r>
              <w:rPr>
                <w:rFonts w:hint="eastAsia"/>
                <w:b w:val="0"/>
                <w:bCs w:val="0"/>
                <w:snapToGrid w:val="0"/>
                <w:color w:val="000000"/>
                <w:sz w:val="24"/>
                <w:lang w:eastAsia="zh-CN"/>
              </w:rPr>
              <w:t>附录</w:t>
            </w:r>
            <w:r>
              <w:rPr>
                <w:rFonts w:hint="eastAsia"/>
                <w:b w:val="0"/>
                <w:bCs w:val="0"/>
                <w:snapToGrid w:val="0"/>
                <w:color w:val="000000"/>
                <w:sz w:val="24"/>
                <w:lang w:val="en-US" w:eastAsia="zh-CN"/>
              </w:rPr>
              <w:t>A对比见表33。</w:t>
            </w:r>
            <w:r>
              <w:rPr>
                <w:rFonts w:hint="eastAsia" w:ascii="黑体" w:hAnsi="黑体" w:eastAsia="黑体" w:cs="黑体"/>
                <w:b w:val="0"/>
                <w:bCs w:val="0"/>
                <w:snapToGrid w:val="0"/>
                <w:color w:val="000000"/>
                <w:sz w:val="24"/>
                <w:lang w:val="en-US" w:eastAsia="zh-CN"/>
              </w:rPr>
              <w:t>表</w:t>
            </w:r>
            <w:r>
              <w:rPr>
                <w:rFonts w:hint="default" w:ascii="Times New Roman" w:hAnsi="Times New Roman" w:eastAsia="黑体" w:cs="Times New Roman"/>
                <w:b w:val="0"/>
                <w:bCs w:val="0"/>
                <w:snapToGrid w:val="0"/>
                <w:color w:val="000000"/>
                <w:sz w:val="24"/>
                <w:lang w:val="en-US" w:eastAsia="zh-CN"/>
              </w:rPr>
              <w:t xml:space="preserve">33 </w:t>
            </w:r>
            <w:r>
              <w:rPr>
                <w:rFonts w:hint="eastAsia" w:ascii="黑体" w:hAnsi="黑体" w:eastAsia="黑体" w:cs="黑体"/>
                <w:b w:val="0"/>
                <w:bCs w:val="0"/>
                <w:snapToGrid w:val="0"/>
                <w:color w:val="000000"/>
                <w:sz w:val="24"/>
                <w:lang w:eastAsia="zh-CN"/>
              </w:rPr>
              <w:t>与</w:t>
            </w:r>
            <w:r>
              <w:rPr>
                <w:rFonts w:hint="eastAsia" w:ascii="黑体" w:hAnsi="黑体" w:eastAsia="黑体" w:cs="黑体"/>
                <w:b w:val="0"/>
                <w:bCs w:val="0"/>
                <w:snapToGrid w:val="0"/>
                <w:color w:val="000000"/>
                <w:sz w:val="24"/>
              </w:rPr>
              <w:t>《环境影响评价技术导则-</w:t>
            </w:r>
            <w:r>
              <w:rPr>
                <w:rFonts w:hint="eastAsia" w:ascii="黑体" w:hAnsi="黑体" w:eastAsia="黑体" w:cs="黑体"/>
                <w:b w:val="0"/>
                <w:bCs w:val="0"/>
                <w:snapToGrid w:val="0"/>
                <w:color w:val="000000"/>
                <w:sz w:val="24"/>
                <w:lang w:eastAsia="zh-CN"/>
              </w:rPr>
              <w:t>土壤</w:t>
            </w:r>
            <w:r>
              <w:rPr>
                <w:rFonts w:hint="eastAsia" w:ascii="黑体" w:hAnsi="黑体" w:eastAsia="黑体" w:cs="黑体"/>
                <w:b w:val="0"/>
                <w:bCs w:val="0"/>
                <w:snapToGrid w:val="0"/>
                <w:color w:val="000000"/>
                <w:sz w:val="24"/>
              </w:rPr>
              <w:t>环境</w:t>
            </w:r>
            <w:r>
              <w:rPr>
                <w:rFonts w:hint="eastAsia" w:ascii="黑体" w:hAnsi="黑体" w:eastAsia="黑体" w:cs="黑体"/>
                <w:b w:val="0"/>
                <w:bCs w:val="0"/>
                <w:snapToGrid w:val="0"/>
                <w:color w:val="000000"/>
                <w:sz w:val="24"/>
                <w:lang w:eastAsia="zh-CN"/>
              </w:rPr>
              <w:t>（试行）</w:t>
            </w:r>
            <w:r>
              <w:rPr>
                <w:rFonts w:hint="eastAsia" w:ascii="黑体" w:hAnsi="黑体" w:eastAsia="黑体" w:cs="黑体"/>
                <w:b w:val="0"/>
                <w:bCs w:val="0"/>
                <w:snapToGrid w:val="0"/>
                <w:color w:val="000000"/>
                <w:sz w:val="24"/>
              </w:rPr>
              <w:t>》HJ</w:t>
            </w:r>
            <w:r>
              <w:rPr>
                <w:rFonts w:hint="eastAsia" w:ascii="黑体" w:hAnsi="黑体" w:eastAsia="黑体" w:cs="黑体"/>
                <w:b w:val="0"/>
                <w:bCs w:val="0"/>
                <w:snapToGrid w:val="0"/>
                <w:color w:val="000000"/>
                <w:sz w:val="24"/>
                <w:lang w:val="en-US" w:eastAsia="zh-CN"/>
              </w:rPr>
              <w:t>964</w:t>
            </w:r>
            <w:r>
              <w:rPr>
                <w:rFonts w:hint="eastAsia" w:ascii="黑体" w:hAnsi="黑体" w:eastAsia="黑体" w:cs="黑体"/>
                <w:b w:val="0"/>
                <w:bCs w:val="0"/>
                <w:snapToGrid w:val="0"/>
                <w:color w:val="000000"/>
                <w:sz w:val="24"/>
              </w:rPr>
              <w:t>-20</w:t>
            </w:r>
            <w:r>
              <w:rPr>
                <w:rFonts w:hint="eastAsia" w:ascii="黑体" w:hAnsi="黑体" w:eastAsia="黑体" w:cs="黑体"/>
                <w:b w:val="0"/>
                <w:bCs w:val="0"/>
                <w:snapToGrid w:val="0"/>
                <w:color w:val="000000"/>
                <w:sz w:val="24"/>
                <w:lang w:val="en-US" w:eastAsia="zh-CN"/>
              </w:rPr>
              <w:t>18</w:t>
            </w:r>
            <w:r>
              <w:rPr>
                <w:rFonts w:hint="eastAsia" w:ascii="黑体" w:hAnsi="黑体" w:eastAsia="黑体" w:cs="黑体"/>
                <w:b w:val="0"/>
                <w:bCs w:val="0"/>
                <w:snapToGrid w:val="0"/>
                <w:color w:val="000000"/>
                <w:sz w:val="24"/>
                <w:lang w:eastAsia="zh-CN"/>
              </w:rPr>
              <w:t>附录</w:t>
            </w:r>
            <w:r>
              <w:rPr>
                <w:rFonts w:hint="eastAsia" w:ascii="黑体" w:hAnsi="黑体" w:eastAsia="黑体" w:cs="黑体"/>
                <w:b w:val="0"/>
                <w:bCs w:val="0"/>
                <w:snapToGrid w:val="0"/>
                <w:color w:val="000000"/>
                <w:sz w:val="24"/>
                <w:lang w:val="en-US" w:eastAsia="zh-CN"/>
              </w:rPr>
              <w:t>A对比</w:t>
            </w:r>
          </w:p>
          <w:tbl>
            <w:tblPr>
              <w:tblStyle w:val="24"/>
              <w:tblW w:w="8874"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0"/>
              <w:gridCol w:w="1089"/>
              <w:gridCol w:w="1479"/>
              <w:gridCol w:w="2052"/>
              <w:gridCol w:w="1950"/>
              <w:gridCol w:w="675"/>
              <w:gridCol w:w="12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9" w:type="dxa"/>
                  <w:gridSpan w:val="2"/>
                  <w:vMerge w:val="restart"/>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行业类别</w:t>
                  </w:r>
                </w:p>
              </w:tc>
              <w:tc>
                <w:tcPr>
                  <w:tcW w:w="6156" w:type="dxa"/>
                  <w:gridSpan w:val="4"/>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项目类别</w:t>
                  </w: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9" w:type="dxa"/>
                  <w:gridSpan w:val="2"/>
                  <w:vMerge w:val="continue"/>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Ⅰ类</w:t>
                  </w: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Ⅱ类</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Ⅲ类</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Ⅳ类</w:t>
                  </w: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9" w:type="dxa"/>
                  <w:gridSpan w:val="2"/>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农林牧渔业</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灌溉面积大于50万亩的灌区工程</w:t>
                  </w: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新建5万亩至50万亩的、改造30万亩及以上的灌区工程；年产栏生猪10万头（其他禽畜种类折合猪的养殖规模）及以上的禽畜养殖场或养殖小区</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年出栏生猪5000头（其他禽畜种类折合猪的养殖规模）</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9" w:type="dxa"/>
                  <w:gridSpan w:val="2"/>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水利</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库容1亿m3及以上水库；长度大于1000km的引水工程</w:t>
                  </w: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库容1000万m3至1亿m3的水库；跨流域调水的引水工程</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9" w:type="dxa"/>
                  <w:gridSpan w:val="2"/>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采矿业</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金属矿、石油、页岩油开采</w:t>
                  </w: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化学矿采选；石棉矿采选；煤矿采选、天然气开采、页岩气开采、砂岩气开采、煤层气开采（含净化、液化）</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0" w:type="dxa"/>
                  <w:vMerge w:val="restart"/>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制造业</w:t>
                  </w:r>
                </w:p>
              </w:tc>
              <w:tc>
                <w:tcPr>
                  <w:tcW w:w="108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纺织、化纤、皮革等及服装、鞋制造</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制革、毛皮鞣制</w:t>
                  </w: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化学纤维制造：有洗毛、染整、脱胶工段及产生缫丝废水、精炼废水的纺织品；有湿法印花、染色、水洗工艺的服装制造；使用有机溶剂的制鞋业</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0" w:type="dxa"/>
                  <w:vMerge w:val="continue"/>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08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造纸和纸制品</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纸浆、溶解浆、纤维浆等制造；造纸（含纸浆工艺）</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0" w:type="dxa"/>
                  <w:vMerge w:val="continue"/>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08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设备制造、金属制品制造、汽车制造及其他用品制造</w:t>
                  </w:r>
                  <w:r>
                    <w:rPr>
                      <w:rFonts w:hint="default" w:ascii="Times New Roman" w:hAnsi="Times New Roman" w:cs="Times New Roman" w:eastAsiaTheme="minorEastAsia"/>
                      <w:b w:val="0"/>
                      <w:bCs w:val="0"/>
                      <w:snapToGrid w:val="0"/>
                      <w:color w:val="000000"/>
                      <w:sz w:val="21"/>
                      <w:szCs w:val="21"/>
                      <w:vertAlign w:val="superscript"/>
                      <w:lang w:val="en-US" w:eastAsia="zh-CN"/>
                    </w:rPr>
                    <w:t>a</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有电镀工艺的；金属制品表面处理及热处理加工的；使用有机涂层的(喷粉、喷塑、和电泳除外）有钝化工艺的热镀锌</w:t>
                  </w: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有化学处理工艺的</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0" w:type="dxa"/>
                  <w:vMerge w:val="continue"/>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08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石油、化工</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石油加工、炼焦；化学原料和化学制品制造；涂料、染料、颜料、油墨及类似产品制造；化学药品制造；生物、生化制品制造</w:t>
                  </w: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半导体材料、日用化学用品制造；化学肥料制造</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0" w:type="dxa"/>
                  <w:vMerge w:val="continue"/>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08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金属冶炼和压延加工及非金属矿物制品</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有色金属冶炼（含再生有色金属）</w:t>
                  </w: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有色金属制造及合金制造；炼铁；球团；烧结炼钢；冷轧压延加工；铬铁合金制造；水泥制造；平板玻璃制造；石棉制品；含焙烧的石磨、碳素制品</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9" w:type="dxa"/>
                  <w:gridSpan w:val="2"/>
                  <w:tcBorders>
                    <w:top w:val="single" w:color="auto" w:sz="4" w:space="0"/>
                    <w:left w:val="nil"/>
                    <w:bottom w:val="single" w:color="auto" w:sz="4" w:space="0"/>
                    <w:right w:val="single" w:color="auto" w:sz="4" w:space="0"/>
                  </w:tcBorders>
                  <w:vAlign w:val="top"/>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电力热力燃气及水生产和供应业</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生活垃圾及污泥发电</w:t>
                  </w: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水力发电；火力发电（燃气发电除外）；矸石、油页岩、石油焦等综合利用发电；工业废水处理；燃气生产</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生活污水处理；燃煤锅炉总容量65t/h（不含）以上的热力生产工程；燃油锅炉总量6565t/h不含）以上的热力生产工程</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9" w:type="dxa"/>
                  <w:gridSpan w:val="2"/>
                  <w:tcBorders>
                    <w:top w:val="single" w:color="auto" w:sz="4" w:space="0"/>
                    <w:left w:val="nil"/>
                    <w:bottom w:val="single" w:color="auto" w:sz="4" w:space="0"/>
                    <w:right w:val="single" w:color="auto" w:sz="4" w:space="0"/>
                  </w:tcBorders>
                  <w:vAlign w:val="top"/>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交通运输仓储邮政业</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油库（不含加油站的油库）机场的供油工程及油库；涉及危险品、化学品、石油、成品及成品油的输送线</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公路的加油站，铁路的维修所</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9" w:type="dxa"/>
                  <w:gridSpan w:val="2"/>
                  <w:tcBorders>
                    <w:top w:val="single" w:color="auto" w:sz="4" w:space="0"/>
                    <w:left w:val="nil"/>
                    <w:bottom w:val="single" w:color="auto" w:sz="4" w:space="0"/>
                    <w:right w:val="single" w:color="auto" w:sz="4" w:space="0"/>
                  </w:tcBorders>
                  <w:vAlign w:val="top"/>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环境和公共设施管理业</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危险废物利用及处置</w:t>
                  </w: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采取填埋和焚烧方式的一般工业固体废物处置及综合利用；城镇生活垃圾(不含餐厨废弃物）集中处置</w:t>
                  </w: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一般工业固体废物处置及综合利用（除采取填埋和焚烧方式以外的）；废旧资源加工、再生利用</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9" w:type="dxa"/>
                  <w:gridSpan w:val="2"/>
                  <w:tcBorders>
                    <w:top w:val="single" w:color="auto" w:sz="4" w:space="0"/>
                    <w:left w:val="nil"/>
                    <w:bottom w:val="single" w:color="auto" w:sz="4" w:space="0"/>
                    <w:right w:val="single" w:color="auto" w:sz="4" w:space="0"/>
                  </w:tcBorders>
                  <w:vAlign w:val="top"/>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社会事业与服务也</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高尔夫球场；加油站；赛车场</w:t>
                  </w: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w:t>
                  </w: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79" w:type="dxa"/>
                  <w:gridSpan w:val="2"/>
                  <w:tcBorders>
                    <w:top w:val="single" w:color="auto" w:sz="4" w:space="0"/>
                    <w:left w:val="nil"/>
                    <w:bottom w:val="single" w:color="auto" w:sz="4" w:space="0"/>
                    <w:right w:val="single" w:color="auto" w:sz="4" w:space="0"/>
                  </w:tcBorders>
                  <w:vAlign w:val="top"/>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其他行业</w:t>
                  </w:r>
                </w:p>
              </w:tc>
              <w:tc>
                <w:tcPr>
                  <w:tcW w:w="147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2052"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1950"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p>
              </w:tc>
              <w:tc>
                <w:tcPr>
                  <w:tcW w:w="675"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全部</w:t>
                  </w: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35" w:type="dxa"/>
                  <w:gridSpan w:val="6"/>
                  <w:tcBorders>
                    <w:top w:val="single" w:color="auto" w:sz="4" w:space="0"/>
                    <w:left w:val="nil"/>
                    <w:bottom w:val="single" w:color="auto" w:sz="4" w:space="0"/>
                  </w:tcBorders>
                  <w:vAlign w:val="top"/>
                </w:tcPr>
                <w:p>
                  <w:pPr>
                    <w:pStyle w:val="9"/>
                    <w:spacing w:line="360" w:lineRule="auto"/>
                    <w:jc w:val="both"/>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注1:仅切割、组装的、单纯混合和分装的、编织物及其制品制造的，列入Ⅳ类</w:t>
                  </w: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35" w:type="dxa"/>
                  <w:gridSpan w:val="6"/>
                  <w:tcBorders>
                    <w:top w:val="single" w:color="auto" w:sz="4" w:space="0"/>
                    <w:left w:val="nil"/>
                    <w:bottom w:val="single" w:color="auto" w:sz="4" w:space="0"/>
                  </w:tcBorders>
                  <w:vAlign w:val="top"/>
                </w:tcPr>
                <w:p>
                  <w:pPr>
                    <w:pStyle w:val="9"/>
                    <w:spacing w:line="360" w:lineRule="auto"/>
                    <w:jc w:val="both"/>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baseline"/>
                      <w:lang w:val="en-US" w:eastAsia="zh-CN"/>
                    </w:rPr>
                    <w:t>注2：建设项目土壤环境影响评价项目类型不在本表的，可根据土壤环境影响源、影响途径、影响因子的识别结果，参照相近或相似项目类别确定。</w:t>
                  </w: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35" w:type="dxa"/>
                  <w:gridSpan w:val="6"/>
                  <w:tcBorders>
                    <w:top w:val="single" w:color="auto" w:sz="4" w:space="0"/>
                    <w:left w:val="nil"/>
                    <w:bottom w:val="single" w:color="auto" w:sz="4" w:space="0"/>
                  </w:tcBorders>
                  <w:vAlign w:val="top"/>
                </w:tcPr>
                <w:p>
                  <w:pPr>
                    <w:pStyle w:val="9"/>
                    <w:spacing w:line="360" w:lineRule="auto"/>
                    <w:jc w:val="both"/>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default" w:ascii="Times New Roman" w:hAnsi="Times New Roman" w:cs="Times New Roman" w:eastAsiaTheme="minorEastAsia"/>
                      <w:b w:val="0"/>
                      <w:bCs w:val="0"/>
                      <w:snapToGrid w:val="0"/>
                      <w:color w:val="000000"/>
                      <w:sz w:val="21"/>
                      <w:szCs w:val="21"/>
                      <w:vertAlign w:val="superscript"/>
                      <w:lang w:val="en-US" w:eastAsia="zh-CN"/>
                    </w:rPr>
                    <w:t>a</w:t>
                  </w:r>
                  <w:r>
                    <w:rPr>
                      <w:rFonts w:hint="default" w:ascii="Times New Roman" w:hAnsi="Times New Roman" w:cs="Times New Roman" w:eastAsiaTheme="minorEastAsia"/>
                      <w:b w:val="0"/>
                      <w:bCs w:val="0"/>
                      <w:snapToGrid w:val="0"/>
                      <w:color w:val="000000"/>
                      <w:sz w:val="21"/>
                      <w:szCs w:val="21"/>
                      <w:vertAlign w:val="baseline"/>
                      <w:lang w:val="en-US" w:eastAsia="zh-CN"/>
                    </w:rPr>
                    <w:t>其他用品制造包括①木材加工、竹、藤、棕、草制品业；②家具制造业；③文教、工美、体育和娱乐用品制造业；④仪器仪表制造业等制造业</w:t>
                  </w:r>
                </w:p>
              </w:tc>
              <w:tc>
                <w:tcPr>
                  <w:tcW w:w="1239" w:type="dxa"/>
                </w:tcPr>
                <w:p>
                  <w:pPr>
                    <w:pStyle w:val="9"/>
                    <w:spacing w:line="360" w:lineRule="auto"/>
                    <w:jc w:val="center"/>
                    <w:rPr>
                      <w:rFonts w:hint="default" w:ascii="Times New Roman" w:hAnsi="Times New Roman" w:cs="Times New Roman" w:eastAsiaTheme="minorEastAsia"/>
                      <w:b w:val="0"/>
                      <w:bCs w:val="0"/>
                      <w:snapToGrid w:val="0"/>
                      <w:color w:val="000000"/>
                      <w:sz w:val="21"/>
                      <w:szCs w:val="21"/>
                      <w:vertAlign w:val="baseline"/>
                      <w:lang w:val="en-US" w:eastAsia="zh-CN"/>
                    </w:rPr>
                  </w:pPr>
                  <w:r>
                    <w:rPr>
                      <w:rFonts w:hint="eastAsia" w:ascii="Times New Roman" w:hAnsi="Times New Roman" w:cs="Times New Roman" w:eastAsiaTheme="minorEastAsia"/>
                      <w:b w:val="0"/>
                      <w:bCs w:val="0"/>
                      <w:snapToGrid w:val="0"/>
                      <w:color w:val="000000"/>
                      <w:sz w:val="21"/>
                      <w:szCs w:val="21"/>
                      <w:vertAlign w:val="baseline"/>
                      <w:lang w:val="en-US" w:eastAsia="zh-CN"/>
                    </w:rPr>
                    <w:t>不属于</w:t>
                  </w:r>
                </w:p>
              </w:tc>
            </w:tr>
          </w:tbl>
          <w:p>
            <w:pPr>
              <w:spacing w:line="360" w:lineRule="auto"/>
              <w:ind w:firstLine="480" w:firstLineChars="200"/>
              <w:rPr>
                <w:rFonts w:hint="eastAsia" w:cs="Times New Roman" w:eastAsiaTheme="minorEastAsia"/>
                <w:b w:val="0"/>
                <w:bCs w:val="0"/>
                <w:snapToGrid w:val="0"/>
                <w:color w:val="000000"/>
                <w:sz w:val="24"/>
                <w:szCs w:val="24"/>
                <w:vertAlign w:val="baseline"/>
                <w:lang w:val="en-US" w:eastAsia="zh-CN"/>
              </w:rPr>
            </w:pPr>
            <w:r>
              <w:rPr>
                <w:rFonts w:hint="eastAsia" w:asciiTheme="minorEastAsia" w:hAnsiTheme="minorEastAsia" w:eastAsiaTheme="minorEastAsia" w:cstheme="minorEastAsia"/>
                <w:b w:val="0"/>
                <w:bCs w:val="0"/>
                <w:snapToGrid w:val="0"/>
                <w:color w:val="000000"/>
                <w:sz w:val="24"/>
                <w:szCs w:val="24"/>
                <w:lang w:val="en-US" w:eastAsia="zh-CN"/>
              </w:rPr>
              <w:t>由上表可知，本项目属于</w:t>
            </w:r>
            <w:r>
              <w:rPr>
                <w:rFonts w:hint="default" w:ascii="Times New Roman" w:hAnsi="Times New Roman" w:cs="Times New Roman" w:eastAsiaTheme="minorEastAsia"/>
                <w:b w:val="0"/>
                <w:bCs w:val="0"/>
                <w:snapToGrid w:val="0"/>
                <w:color w:val="000000"/>
                <w:sz w:val="24"/>
                <w:szCs w:val="24"/>
                <w:lang w:val="en-US" w:eastAsia="zh-CN"/>
              </w:rPr>
              <w:t>C2929</w:t>
            </w:r>
            <w:r>
              <w:rPr>
                <w:rFonts w:hint="eastAsia"/>
                <w:b w:val="0"/>
                <w:bCs w:val="0"/>
                <w:sz w:val="24"/>
                <w:szCs w:val="24"/>
                <w:lang w:val="en-GB"/>
              </w:rPr>
              <w:t>塑料零件及其他塑料制品制造</w:t>
            </w:r>
            <w:r>
              <w:rPr>
                <w:rFonts w:hint="eastAsia"/>
                <w:b w:val="0"/>
                <w:bCs w:val="0"/>
                <w:sz w:val="24"/>
                <w:szCs w:val="24"/>
                <w:lang w:val="en-GB" w:eastAsia="zh-CN"/>
              </w:rPr>
              <w:t>，属于上表中的</w:t>
            </w:r>
            <w:r>
              <w:rPr>
                <w:rFonts w:hint="eastAsia" w:asciiTheme="minorEastAsia" w:hAnsiTheme="minorEastAsia" w:eastAsiaTheme="minorEastAsia" w:cstheme="minorEastAsia"/>
                <w:b w:val="0"/>
                <w:bCs w:val="0"/>
                <w:snapToGrid w:val="0"/>
                <w:color w:val="000000"/>
                <w:sz w:val="24"/>
                <w:szCs w:val="24"/>
                <w:lang w:val="en-US" w:eastAsia="zh-CN"/>
              </w:rPr>
              <w:t>其他行业--全部，属于</w:t>
            </w:r>
            <w:r>
              <w:rPr>
                <w:rFonts w:hint="default" w:ascii="Times New Roman" w:hAnsi="Times New Roman" w:cs="Times New Roman" w:eastAsiaTheme="minorEastAsia"/>
                <w:b w:val="0"/>
                <w:bCs w:val="0"/>
                <w:snapToGrid w:val="0"/>
                <w:color w:val="000000"/>
                <w:sz w:val="24"/>
                <w:szCs w:val="24"/>
                <w:vertAlign w:val="baseline"/>
                <w:lang w:val="en-US" w:eastAsia="zh-CN"/>
              </w:rPr>
              <w:t>Ⅳ类</w:t>
            </w:r>
            <w:r>
              <w:rPr>
                <w:rFonts w:hint="eastAsia" w:asciiTheme="minorEastAsia" w:hAnsiTheme="minorEastAsia" w:eastAsiaTheme="minorEastAsia" w:cstheme="minorEastAsia"/>
                <w:b w:val="0"/>
                <w:bCs w:val="0"/>
                <w:snapToGrid w:val="0"/>
                <w:color w:val="000000"/>
                <w:sz w:val="24"/>
                <w:szCs w:val="24"/>
                <w:lang w:val="en-US" w:eastAsia="zh-CN"/>
              </w:rPr>
              <w:t>评价。根据</w:t>
            </w:r>
            <w:r>
              <w:rPr>
                <w:b w:val="0"/>
                <w:bCs w:val="0"/>
                <w:snapToGrid w:val="0"/>
                <w:color w:val="000000"/>
                <w:sz w:val="24"/>
                <w:szCs w:val="24"/>
              </w:rPr>
              <w:t>《环境影响评价技术导则-</w:t>
            </w:r>
            <w:r>
              <w:rPr>
                <w:rFonts w:hint="eastAsia"/>
                <w:b w:val="0"/>
                <w:bCs w:val="0"/>
                <w:snapToGrid w:val="0"/>
                <w:color w:val="000000"/>
                <w:sz w:val="24"/>
                <w:szCs w:val="24"/>
                <w:lang w:eastAsia="zh-CN"/>
              </w:rPr>
              <w:t>土壤</w:t>
            </w:r>
            <w:r>
              <w:rPr>
                <w:b w:val="0"/>
                <w:bCs w:val="0"/>
                <w:snapToGrid w:val="0"/>
                <w:color w:val="000000"/>
                <w:sz w:val="24"/>
                <w:szCs w:val="24"/>
              </w:rPr>
              <w:t>环境</w:t>
            </w:r>
            <w:r>
              <w:rPr>
                <w:rFonts w:hint="eastAsia"/>
                <w:b w:val="0"/>
                <w:bCs w:val="0"/>
                <w:snapToGrid w:val="0"/>
                <w:color w:val="000000"/>
                <w:sz w:val="24"/>
                <w:szCs w:val="24"/>
                <w:lang w:eastAsia="zh-CN"/>
              </w:rPr>
              <w:t>（试行）</w:t>
            </w:r>
            <w:r>
              <w:rPr>
                <w:b w:val="0"/>
                <w:bCs w:val="0"/>
                <w:snapToGrid w:val="0"/>
                <w:color w:val="000000"/>
                <w:sz w:val="24"/>
                <w:szCs w:val="24"/>
              </w:rPr>
              <w:t>》HJ</w:t>
            </w:r>
            <w:r>
              <w:rPr>
                <w:rFonts w:hint="eastAsia"/>
                <w:b w:val="0"/>
                <w:bCs w:val="0"/>
                <w:snapToGrid w:val="0"/>
                <w:color w:val="000000"/>
                <w:sz w:val="24"/>
                <w:szCs w:val="24"/>
                <w:lang w:val="en-US" w:eastAsia="zh-CN"/>
              </w:rPr>
              <w:t>964</w:t>
            </w:r>
            <w:r>
              <w:rPr>
                <w:b w:val="0"/>
                <w:bCs w:val="0"/>
                <w:snapToGrid w:val="0"/>
                <w:color w:val="000000"/>
                <w:sz w:val="24"/>
                <w:szCs w:val="24"/>
              </w:rPr>
              <w:t>-20</w:t>
            </w:r>
            <w:r>
              <w:rPr>
                <w:rFonts w:hint="eastAsia"/>
                <w:b w:val="0"/>
                <w:bCs w:val="0"/>
                <w:snapToGrid w:val="0"/>
                <w:color w:val="000000"/>
                <w:sz w:val="24"/>
                <w:szCs w:val="24"/>
                <w:lang w:val="en-US" w:eastAsia="zh-CN"/>
              </w:rPr>
              <w:t>18中“4.2.2根据行业特征、工艺特点或规模大小等将建设项目类别划分为</w:t>
            </w:r>
            <w:r>
              <w:rPr>
                <w:rFonts w:hint="default" w:ascii="Times New Roman" w:hAnsi="Times New Roman" w:cs="Times New Roman" w:eastAsiaTheme="minorEastAsia"/>
                <w:b w:val="0"/>
                <w:bCs w:val="0"/>
                <w:snapToGrid w:val="0"/>
                <w:color w:val="000000"/>
                <w:sz w:val="24"/>
                <w:szCs w:val="24"/>
                <w:vertAlign w:val="baseline"/>
                <w:lang w:val="en-US" w:eastAsia="zh-CN"/>
              </w:rPr>
              <w:t>Ⅰ类</w:t>
            </w:r>
            <w:r>
              <w:rPr>
                <w:rFonts w:hint="eastAsia" w:cs="Times New Roman" w:eastAsiaTheme="minorEastAsia"/>
                <w:b w:val="0"/>
                <w:bCs w:val="0"/>
                <w:snapToGrid w:val="0"/>
                <w:color w:val="000000"/>
                <w:sz w:val="24"/>
                <w:szCs w:val="24"/>
                <w:vertAlign w:val="baseline"/>
                <w:lang w:val="en-US" w:eastAsia="zh-CN"/>
              </w:rPr>
              <w:t>、</w:t>
            </w:r>
            <w:r>
              <w:rPr>
                <w:rFonts w:hint="default" w:ascii="Times New Roman" w:hAnsi="Times New Roman" w:cs="Times New Roman" w:eastAsiaTheme="minorEastAsia"/>
                <w:b w:val="0"/>
                <w:bCs w:val="0"/>
                <w:snapToGrid w:val="0"/>
                <w:color w:val="000000"/>
                <w:sz w:val="24"/>
                <w:szCs w:val="24"/>
                <w:vertAlign w:val="baseline"/>
                <w:lang w:val="en-US" w:eastAsia="zh-CN"/>
              </w:rPr>
              <w:t>Ⅱ类</w:t>
            </w:r>
            <w:r>
              <w:rPr>
                <w:rFonts w:hint="eastAsia" w:cs="Times New Roman" w:eastAsiaTheme="minorEastAsia"/>
                <w:b w:val="0"/>
                <w:bCs w:val="0"/>
                <w:snapToGrid w:val="0"/>
                <w:color w:val="000000"/>
                <w:sz w:val="24"/>
                <w:szCs w:val="24"/>
                <w:vertAlign w:val="baseline"/>
                <w:lang w:val="en-US" w:eastAsia="zh-CN"/>
              </w:rPr>
              <w:t>、</w:t>
            </w:r>
            <w:r>
              <w:rPr>
                <w:rFonts w:hint="default" w:ascii="Times New Roman" w:hAnsi="Times New Roman" w:cs="Times New Roman" w:eastAsiaTheme="minorEastAsia"/>
                <w:b w:val="0"/>
                <w:bCs w:val="0"/>
                <w:snapToGrid w:val="0"/>
                <w:color w:val="000000"/>
                <w:sz w:val="24"/>
                <w:szCs w:val="24"/>
                <w:vertAlign w:val="baseline"/>
                <w:lang w:val="en-US" w:eastAsia="zh-CN"/>
              </w:rPr>
              <w:t>Ⅲ类</w:t>
            </w:r>
            <w:r>
              <w:rPr>
                <w:rFonts w:hint="eastAsia" w:cs="Times New Roman" w:eastAsiaTheme="minorEastAsia"/>
                <w:b w:val="0"/>
                <w:bCs w:val="0"/>
                <w:snapToGrid w:val="0"/>
                <w:color w:val="000000"/>
                <w:sz w:val="24"/>
                <w:szCs w:val="24"/>
                <w:vertAlign w:val="baseline"/>
                <w:lang w:val="en-US" w:eastAsia="zh-CN"/>
              </w:rPr>
              <w:t>、</w:t>
            </w:r>
            <w:r>
              <w:rPr>
                <w:rFonts w:hint="default" w:ascii="Times New Roman" w:hAnsi="Times New Roman" w:cs="Times New Roman" w:eastAsiaTheme="minorEastAsia"/>
                <w:b w:val="0"/>
                <w:bCs w:val="0"/>
                <w:snapToGrid w:val="0"/>
                <w:color w:val="000000"/>
                <w:sz w:val="24"/>
                <w:szCs w:val="24"/>
                <w:vertAlign w:val="baseline"/>
                <w:lang w:val="en-US" w:eastAsia="zh-CN"/>
              </w:rPr>
              <w:t>Ⅳ类</w:t>
            </w:r>
            <w:r>
              <w:rPr>
                <w:rFonts w:hint="eastAsia" w:cs="Times New Roman" w:eastAsiaTheme="minorEastAsia"/>
                <w:b w:val="0"/>
                <w:bCs w:val="0"/>
                <w:snapToGrid w:val="0"/>
                <w:color w:val="000000"/>
                <w:sz w:val="24"/>
                <w:szCs w:val="24"/>
                <w:vertAlign w:val="baseline"/>
                <w:lang w:val="en-US" w:eastAsia="zh-CN"/>
              </w:rPr>
              <w:t>，其中</w:t>
            </w:r>
            <w:r>
              <w:rPr>
                <w:rFonts w:hint="default" w:ascii="Times New Roman" w:hAnsi="Times New Roman" w:cs="Times New Roman" w:eastAsiaTheme="minorEastAsia"/>
                <w:b w:val="0"/>
                <w:bCs w:val="0"/>
                <w:snapToGrid w:val="0"/>
                <w:color w:val="000000"/>
                <w:sz w:val="24"/>
                <w:szCs w:val="24"/>
                <w:vertAlign w:val="baseline"/>
                <w:lang w:val="en-US" w:eastAsia="zh-CN"/>
              </w:rPr>
              <w:t>Ⅳ类</w:t>
            </w:r>
            <w:r>
              <w:rPr>
                <w:rFonts w:hint="eastAsia" w:cs="Times New Roman" w:eastAsiaTheme="minorEastAsia"/>
                <w:b w:val="0"/>
                <w:bCs w:val="0"/>
                <w:snapToGrid w:val="0"/>
                <w:color w:val="000000"/>
                <w:sz w:val="24"/>
                <w:szCs w:val="24"/>
                <w:vertAlign w:val="baseline"/>
                <w:lang w:val="en-US" w:eastAsia="zh-CN"/>
              </w:rPr>
              <w:t>建设项目可不开展土壤影响评价；自身为敏感目标的建设项目，可根据需要仅对土壤环境现状进行调查。</w:t>
            </w:r>
            <w:r>
              <w:rPr>
                <w:rFonts w:hint="eastAsia"/>
                <w:b w:val="0"/>
                <w:bCs w:val="0"/>
                <w:snapToGrid w:val="0"/>
                <w:color w:val="000000"/>
                <w:sz w:val="24"/>
                <w:szCs w:val="24"/>
                <w:lang w:val="en-US" w:eastAsia="zh-CN"/>
              </w:rPr>
              <w:t>”</w:t>
            </w:r>
          </w:p>
          <w:p>
            <w:pPr>
              <w:spacing w:line="360" w:lineRule="auto"/>
              <w:ind w:firstLine="480" w:firstLineChars="200"/>
              <w:rPr>
                <w:rFonts w:hint="default" w:asciiTheme="minorEastAsia" w:hAnsiTheme="minorEastAsia" w:eastAsiaTheme="minorEastAsia" w:cstheme="minorEastAsia"/>
                <w:b w:val="0"/>
                <w:bCs w:val="0"/>
                <w:snapToGrid w:val="0"/>
                <w:color w:val="000000"/>
                <w:sz w:val="24"/>
                <w:szCs w:val="24"/>
                <w:lang w:val="en-US" w:eastAsia="zh-CN"/>
              </w:rPr>
            </w:pPr>
            <w:r>
              <w:rPr>
                <w:rFonts w:hint="eastAsia"/>
                <w:sz w:val="24"/>
                <w:lang w:val="en-US" w:eastAsia="zh-CN"/>
              </w:rPr>
              <w:t>本项目属于</w:t>
            </w:r>
            <w:r>
              <w:rPr>
                <w:rFonts w:hint="default"/>
                <w:sz w:val="24"/>
                <w:lang w:val="en-US" w:eastAsia="zh-CN"/>
              </w:rPr>
              <w:t>Ⅳ类</w:t>
            </w:r>
            <w:r>
              <w:rPr>
                <w:rFonts w:hint="eastAsia"/>
                <w:sz w:val="24"/>
                <w:lang w:val="en-US" w:eastAsia="zh-CN"/>
              </w:rPr>
              <w:t>项目，自身不是敏感目标，故不用对土壤环境展开评价。</w:t>
            </w:r>
          </w:p>
          <w:p>
            <w:pPr>
              <w:autoSpaceDE w:val="0"/>
              <w:spacing w:line="360" w:lineRule="auto"/>
              <w:rPr>
                <w:b/>
                <w:bCs/>
                <w:sz w:val="24"/>
              </w:rPr>
            </w:pPr>
            <w:r>
              <w:rPr>
                <w:rFonts w:hint="eastAsia"/>
                <w:b/>
                <w:bCs/>
                <w:sz w:val="24"/>
                <w:lang w:eastAsia="zh-CN"/>
              </w:rPr>
              <w:t>六</w:t>
            </w:r>
            <w:r>
              <w:rPr>
                <w:b/>
                <w:bCs/>
                <w:sz w:val="24"/>
              </w:rPr>
              <w:t>、环境管理与监测计划</w:t>
            </w:r>
          </w:p>
          <w:p>
            <w:pPr>
              <w:autoSpaceDE w:val="0"/>
              <w:spacing w:line="360" w:lineRule="auto"/>
              <w:ind w:firstLine="480" w:firstLineChars="200"/>
              <w:rPr>
                <w:sz w:val="24"/>
              </w:rPr>
            </w:pPr>
            <w:r>
              <w:rPr>
                <w:sz w:val="24"/>
              </w:rPr>
              <w:t>（1）环境管理的目的</w:t>
            </w:r>
          </w:p>
          <w:p>
            <w:pPr>
              <w:autoSpaceDE w:val="0"/>
              <w:spacing w:line="360" w:lineRule="auto"/>
              <w:ind w:firstLine="480" w:firstLineChars="200"/>
              <w:rPr>
                <w:sz w:val="24"/>
              </w:rPr>
            </w:pPr>
            <w:r>
              <w:rPr>
                <w:sz w:val="24"/>
              </w:rPr>
              <w:t>该项目运行期会对周边环境产生一定的影响，必须通过环保措施来减缓和消除不利的环境影响。为了保证环保措施的切实落实，使项目的社会、经济和环境效益得以协调发展，必须加强环境管理，使项目建设符合国家经济发展、社会发展和环境建设同步发展的方针。</w:t>
            </w:r>
          </w:p>
          <w:p>
            <w:pPr>
              <w:pStyle w:val="38"/>
              <w:ind w:firstLine="480"/>
              <w:jc w:val="both"/>
              <w:rPr>
                <w:rFonts w:ascii="Times New Roman" w:hAnsi="Times New Roman"/>
                <w:szCs w:val="24"/>
              </w:rPr>
            </w:pPr>
            <w:r>
              <w:rPr>
                <w:rFonts w:ascii="Times New Roman" w:hAnsi="Times New Roman"/>
                <w:szCs w:val="24"/>
              </w:rPr>
              <w:t>（2）环保机构设置及职责</w:t>
            </w:r>
          </w:p>
          <w:p>
            <w:pPr>
              <w:spacing w:line="360" w:lineRule="auto"/>
              <w:ind w:firstLine="480" w:firstLineChars="200"/>
              <w:textAlignment w:val="baseline"/>
              <w:rPr>
                <w:sz w:val="24"/>
              </w:rPr>
            </w:pPr>
            <w:r>
              <w:rPr>
                <w:sz w:val="24"/>
              </w:rPr>
              <w:t>环境管理机构的基本任务是负责组织、落实、监督本项目的环保工作，其主要职责如下：</w:t>
            </w:r>
          </w:p>
          <w:p>
            <w:pPr>
              <w:spacing w:line="360" w:lineRule="auto"/>
              <w:ind w:firstLine="480" w:firstLineChars="200"/>
              <w:textAlignment w:val="baseline"/>
              <w:rPr>
                <w:sz w:val="24"/>
              </w:rPr>
            </w:pPr>
            <w:r>
              <w:rPr>
                <w:sz w:val="24"/>
              </w:rPr>
              <w:t>①贯彻执行国家和地方相关的环境保护法律、法规、条例和标准；②制定并组织实施企业环境保护计划，填报排污申报表和环境统计报表等；③监督和检查环保设施运行状况；④负责编制环境风险应急预案，组织协调环境事故的处理；⑤负责推行企业清洁生产工作；⑥组织制定全院环境保护管理的规章制度和主要污染岗位的操作规范，并监督执行；</w:t>
            </w:r>
            <w:r>
              <w:rPr>
                <w:sz w:val="24"/>
              </w:rPr>
              <w:fldChar w:fldCharType="begin"/>
            </w:r>
            <w:r>
              <w:rPr>
                <w:sz w:val="24"/>
              </w:rPr>
              <w:instrText xml:space="preserve"> = 7 \* GB3 \* MERGEFORMAT </w:instrText>
            </w:r>
            <w:r>
              <w:rPr>
                <w:sz w:val="24"/>
              </w:rPr>
              <w:fldChar w:fldCharType="separate"/>
            </w:r>
            <w:r>
              <w:rPr>
                <w:sz w:val="24"/>
              </w:rPr>
              <w:t>⑦</w:t>
            </w:r>
            <w:r>
              <w:rPr>
                <w:sz w:val="24"/>
              </w:rPr>
              <w:fldChar w:fldCharType="end"/>
            </w:r>
            <w:r>
              <w:rPr>
                <w:sz w:val="24"/>
              </w:rPr>
              <w:t>领导和组织本单位的环境监测工作；⑧推广应用环境保护的先进技术和经验；⑨除完成院内有关环境保护工作外，还应接受当地政府环保部门的检查监督，并按要求上报相应的环境管理工作执行情况。</w:t>
            </w:r>
          </w:p>
          <w:p>
            <w:pPr>
              <w:pStyle w:val="38"/>
              <w:ind w:firstLine="480"/>
              <w:jc w:val="both"/>
              <w:rPr>
                <w:rFonts w:ascii="Times New Roman" w:hAnsi="Times New Roman"/>
                <w:szCs w:val="24"/>
              </w:rPr>
            </w:pPr>
            <w:r>
              <w:rPr>
                <w:rFonts w:ascii="Times New Roman" w:hAnsi="Times New Roman"/>
                <w:szCs w:val="24"/>
              </w:rPr>
              <w:t>（3）环保制度</w:t>
            </w:r>
          </w:p>
          <w:p>
            <w:pPr>
              <w:pStyle w:val="38"/>
              <w:ind w:firstLine="480"/>
              <w:jc w:val="both"/>
              <w:rPr>
                <w:rFonts w:ascii="Times New Roman" w:hAnsi="Times New Roman"/>
                <w:szCs w:val="24"/>
              </w:rPr>
            </w:pPr>
            <w:r>
              <w:rPr>
                <w:rFonts w:ascii="Times New Roman" w:hAnsi="Times New Roman"/>
                <w:szCs w:val="24"/>
              </w:rPr>
              <w:t>1</w:t>
            </w:r>
            <w:r>
              <w:rPr>
                <w:rFonts w:hint="eastAsia" w:ascii="Times New Roman" w:hAnsi="Times New Roman"/>
                <w:szCs w:val="24"/>
              </w:rPr>
              <w:t>、</w:t>
            </w:r>
            <w:r>
              <w:rPr>
                <w:rFonts w:ascii="Times New Roman" w:hAnsi="Times New Roman"/>
                <w:szCs w:val="24"/>
              </w:rPr>
              <w:t xml:space="preserve">报告制度 </w:t>
            </w:r>
          </w:p>
          <w:p>
            <w:pPr>
              <w:pStyle w:val="38"/>
              <w:ind w:firstLine="480"/>
              <w:jc w:val="both"/>
              <w:rPr>
                <w:rFonts w:ascii="Times New Roman" w:hAnsi="Times New Roman"/>
                <w:szCs w:val="24"/>
              </w:rPr>
            </w:pPr>
            <w:r>
              <w:rPr>
                <w:rFonts w:ascii="Times New Roman" w:hAnsi="Times New Roman"/>
                <w:szCs w:val="24"/>
              </w:rPr>
              <w:t>凡实施排污许可证制度的排污单位，应执行月报制度。月报内容主要为污染治理设施的运行情况、污染物排放情况以及污染事故或污染纠纷等。企业排污发生重大变化、污染治理设施改变或企业改、扩建等都必须向当地环保部门申报，改、扩建项目必须按《建设项目环境保护管理条例》等文件的要求，报请有审批权限的环保部门审批。</w:t>
            </w:r>
          </w:p>
          <w:p>
            <w:pPr>
              <w:pStyle w:val="38"/>
              <w:ind w:left="420" w:leftChars="200" w:firstLine="0" w:firstLineChars="0"/>
              <w:jc w:val="both"/>
              <w:rPr>
                <w:rFonts w:ascii="Times New Roman" w:hAnsi="Times New Roman"/>
                <w:szCs w:val="24"/>
              </w:rPr>
            </w:pPr>
            <w:r>
              <w:rPr>
                <w:rFonts w:hint="eastAsia" w:ascii="Times New Roman" w:hAnsi="Times New Roman"/>
                <w:szCs w:val="24"/>
              </w:rPr>
              <w:t>2、</w:t>
            </w:r>
            <w:r>
              <w:rPr>
                <w:rFonts w:ascii="Times New Roman" w:hAnsi="Times New Roman"/>
                <w:szCs w:val="24"/>
              </w:rPr>
              <w:t xml:space="preserve">污染治理设施的管理、监督制度 </w:t>
            </w:r>
          </w:p>
          <w:p>
            <w:pPr>
              <w:pStyle w:val="38"/>
              <w:ind w:firstLine="480"/>
              <w:jc w:val="both"/>
              <w:rPr>
                <w:rFonts w:ascii="Times New Roman" w:hAnsi="Times New Roman"/>
                <w:szCs w:val="24"/>
              </w:rPr>
            </w:pPr>
            <w:r>
              <w:rPr>
                <w:rFonts w:ascii="Times New Roman" w:hAnsi="Times New Roman"/>
                <w:szCs w:val="24"/>
              </w:rPr>
              <w:t>项目建成后，必须确保污染处理设施长期、稳定、有效地进行，不得擅自拆除或者闲置污染处理设施，不得故意不正常使用污染处理设施。污染处理设施的管理必须与生产经营活动一起纳入企事业单位日常管理工作的范畴，落实责任人、操作人员、维修人员、运行经费、设备的备品备件、化学药品和其他原辅材料。 同时要建立岗位责任制、制定操作规程、建立管理台帐。</w:t>
            </w:r>
          </w:p>
          <w:p>
            <w:pPr>
              <w:pStyle w:val="38"/>
              <w:ind w:firstLine="480"/>
              <w:jc w:val="both"/>
              <w:rPr>
                <w:rFonts w:ascii="Times New Roman" w:hAnsi="Times New Roman"/>
                <w:szCs w:val="24"/>
              </w:rPr>
            </w:pPr>
            <w:r>
              <w:rPr>
                <w:rFonts w:ascii="Times New Roman" w:hAnsi="Times New Roman"/>
                <w:szCs w:val="24"/>
              </w:rPr>
              <w:t>3</w:t>
            </w:r>
            <w:r>
              <w:rPr>
                <w:rFonts w:hint="eastAsia" w:ascii="Times New Roman" w:hAnsi="Times New Roman"/>
                <w:szCs w:val="24"/>
              </w:rPr>
              <w:t>、</w:t>
            </w:r>
            <w:r>
              <w:rPr>
                <w:rFonts w:ascii="Times New Roman" w:hAnsi="Times New Roman"/>
                <w:szCs w:val="24"/>
              </w:rPr>
              <w:t>定期进行事故应急演习。</w:t>
            </w:r>
          </w:p>
          <w:p>
            <w:pPr>
              <w:pStyle w:val="38"/>
              <w:ind w:firstLine="480"/>
              <w:jc w:val="both"/>
              <w:rPr>
                <w:rFonts w:ascii="Times New Roman" w:hAnsi="Times New Roman"/>
                <w:szCs w:val="24"/>
              </w:rPr>
            </w:pPr>
            <w:r>
              <w:rPr>
                <w:rFonts w:ascii="Times New Roman" w:hAnsi="Times New Roman"/>
                <w:szCs w:val="24"/>
              </w:rPr>
              <w:t>（</w:t>
            </w:r>
            <w:r>
              <w:rPr>
                <w:rFonts w:hint="eastAsia" w:ascii="Times New Roman" w:hAnsi="Times New Roman"/>
                <w:szCs w:val="24"/>
              </w:rPr>
              <w:t>4</w:t>
            </w:r>
            <w:r>
              <w:rPr>
                <w:rFonts w:ascii="Times New Roman" w:hAnsi="Times New Roman"/>
                <w:szCs w:val="24"/>
              </w:rPr>
              <w:t>）监测计划</w:t>
            </w:r>
          </w:p>
          <w:p>
            <w:pPr>
              <w:spacing w:line="360" w:lineRule="auto"/>
              <w:ind w:firstLine="480" w:firstLineChars="200"/>
              <w:textAlignment w:val="baseline"/>
              <w:rPr>
                <w:sz w:val="24"/>
              </w:rPr>
            </w:pPr>
            <w:r>
              <w:rPr>
                <w:sz w:val="24"/>
              </w:rPr>
              <w:t>根据本项目特点，项目运营期需要对生产过程产生的废气、</w:t>
            </w:r>
            <w:r>
              <w:rPr>
                <w:rFonts w:hint="eastAsia"/>
                <w:sz w:val="24"/>
              </w:rPr>
              <w:t>废水、</w:t>
            </w:r>
            <w:r>
              <w:rPr>
                <w:sz w:val="24"/>
              </w:rPr>
              <w:t>噪声等污染因素进行监测，具体监测计划见表</w:t>
            </w:r>
            <w:r>
              <w:rPr>
                <w:rFonts w:hint="eastAsia"/>
                <w:sz w:val="24"/>
              </w:rPr>
              <w:t>3</w:t>
            </w:r>
            <w:r>
              <w:rPr>
                <w:rFonts w:hint="eastAsia"/>
                <w:sz w:val="24"/>
                <w:lang w:val="en-US" w:eastAsia="zh-CN"/>
              </w:rPr>
              <w:t>4</w:t>
            </w:r>
            <w:r>
              <w:rPr>
                <w:sz w:val="24"/>
              </w:rPr>
              <w:t>。</w:t>
            </w:r>
          </w:p>
          <w:p>
            <w:pPr>
              <w:jc w:val="center"/>
              <w:rPr>
                <w:rFonts w:eastAsia="黑体"/>
                <w:bCs/>
                <w:sz w:val="24"/>
              </w:rPr>
            </w:pPr>
          </w:p>
          <w:p>
            <w:pPr>
              <w:jc w:val="center"/>
              <w:rPr>
                <w:rFonts w:eastAsia="黑体"/>
                <w:bCs/>
                <w:sz w:val="24"/>
              </w:rPr>
            </w:pPr>
          </w:p>
          <w:p>
            <w:pPr>
              <w:jc w:val="center"/>
              <w:rPr>
                <w:rFonts w:eastAsia="黑体"/>
                <w:bCs/>
                <w:kern w:val="0"/>
                <w:sz w:val="24"/>
              </w:rPr>
            </w:pPr>
            <w:r>
              <w:rPr>
                <w:rFonts w:eastAsia="黑体"/>
                <w:bCs/>
                <w:sz w:val="24"/>
              </w:rPr>
              <w:t>表</w:t>
            </w:r>
            <w:r>
              <w:rPr>
                <w:rFonts w:hint="eastAsia" w:eastAsia="黑体"/>
                <w:bCs/>
                <w:sz w:val="24"/>
              </w:rPr>
              <w:t>3</w:t>
            </w:r>
            <w:r>
              <w:rPr>
                <w:rFonts w:hint="eastAsia" w:eastAsia="黑体"/>
                <w:bCs/>
                <w:sz w:val="24"/>
                <w:lang w:val="en-US" w:eastAsia="zh-CN"/>
              </w:rPr>
              <w:t>4</w:t>
            </w:r>
            <w:r>
              <w:rPr>
                <w:rFonts w:eastAsia="黑体"/>
                <w:bCs/>
                <w:sz w:val="24"/>
              </w:rPr>
              <w:t xml:space="preserve">  运营期监测计划</w:t>
            </w:r>
          </w:p>
          <w:tbl>
            <w:tblPr>
              <w:tblStyle w:val="23"/>
              <w:tblW w:w="8504"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15"/>
              <w:gridCol w:w="1274"/>
              <w:gridCol w:w="1555"/>
              <w:gridCol w:w="1114"/>
              <w:gridCol w:w="3746"/>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dxa"/>
                  <w:tcBorders>
                    <w:tl2br w:val="nil"/>
                    <w:tr2bl w:val="nil"/>
                  </w:tcBorders>
                  <w:vAlign w:val="center"/>
                </w:tcPr>
                <w:p>
                  <w:pPr>
                    <w:jc w:val="center"/>
                    <w:textAlignment w:val="baseline"/>
                    <w:rPr>
                      <w:color w:val="000000"/>
                      <w:kern w:val="0"/>
                      <w:szCs w:val="21"/>
                    </w:rPr>
                  </w:pPr>
                  <w:r>
                    <w:rPr>
                      <w:color w:val="000000"/>
                      <w:kern w:val="0"/>
                      <w:szCs w:val="21"/>
                    </w:rPr>
                    <w:t>项目</w:t>
                  </w:r>
                </w:p>
              </w:tc>
              <w:tc>
                <w:tcPr>
                  <w:tcW w:w="1274" w:type="dxa"/>
                  <w:tcBorders>
                    <w:tl2br w:val="nil"/>
                    <w:tr2bl w:val="nil"/>
                  </w:tcBorders>
                  <w:vAlign w:val="center"/>
                </w:tcPr>
                <w:p>
                  <w:pPr>
                    <w:jc w:val="center"/>
                    <w:textAlignment w:val="baseline"/>
                    <w:rPr>
                      <w:color w:val="000000"/>
                      <w:kern w:val="0"/>
                      <w:szCs w:val="21"/>
                    </w:rPr>
                  </w:pPr>
                  <w:r>
                    <w:rPr>
                      <w:color w:val="000000"/>
                      <w:kern w:val="0"/>
                      <w:szCs w:val="21"/>
                    </w:rPr>
                    <w:t>监测点位</w:t>
                  </w:r>
                </w:p>
              </w:tc>
              <w:tc>
                <w:tcPr>
                  <w:tcW w:w="1555" w:type="dxa"/>
                  <w:tcBorders>
                    <w:tl2br w:val="nil"/>
                    <w:tr2bl w:val="nil"/>
                  </w:tcBorders>
                  <w:vAlign w:val="center"/>
                </w:tcPr>
                <w:p>
                  <w:pPr>
                    <w:jc w:val="center"/>
                    <w:textAlignment w:val="baseline"/>
                    <w:rPr>
                      <w:color w:val="000000"/>
                      <w:kern w:val="0"/>
                      <w:szCs w:val="21"/>
                    </w:rPr>
                  </w:pPr>
                  <w:r>
                    <w:rPr>
                      <w:color w:val="000000"/>
                      <w:kern w:val="0"/>
                      <w:szCs w:val="21"/>
                    </w:rPr>
                    <w:t>监测因子</w:t>
                  </w:r>
                </w:p>
              </w:tc>
              <w:tc>
                <w:tcPr>
                  <w:tcW w:w="1114" w:type="dxa"/>
                  <w:tcBorders>
                    <w:tl2br w:val="nil"/>
                    <w:tr2bl w:val="nil"/>
                  </w:tcBorders>
                  <w:vAlign w:val="center"/>
                </w:tcPr>
                <w:p>
                  <w:pPr>
                    <w:jc w:val="center"/>
                    <w:textAlignment w:val="baseline"/>
                    <w:rPr>
                      <w:color w:val="000000"/>
                      <w:kern w:val="0"/>
                      <w:szCs w:val="21"/>
                    </w:rPr>
                  </w:pPr>
                  <w:r>
                    <w:rPr>
                      <w:color w:val="000000"/>
                      <w:kern w:val="0"/>
                      <w:szCs w:val="21"/>
                    </w:rPr>
                    <w:t>监测频率</w:t>
                  </w:r>
                </w:p>
              </w:tc>
              <w:tc>
                <w:tcPr>
                  <w:tcW w:w="3746" w:type="dxa"/>
                  <w:tcBorders>
                    <w:tl2br w:val="nil"/>
                    <w:tr2bl w:val="nil"/>
                  </w:tcBorders>
                  <w:vAlign w:val="center"/>
                </w:tcPr>
                <w:p>
                  <w:pPr>
                    <w:jc w:val="center"/>
                    <w:textAlignment w:val="baseline"/>
                    <w:rPr>
                      <w:color w:val="000000"/>
                      <w:kern w:val="0"/>
                      <w:szCs w:val="21"/>
                    </w:rPr>
                  </w:pPr>
                  <w:r>
                    <w:rPr>
                      <w:rFonts w:hint="eastAsia"/>
                      <w:color w:val="000000"/>
                      <w:kern w:val="0"/>
                      <w:szCs w:val="21"/>
                    </w:rPr>
                    <w:t>执行标准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dxa"/>
                  <w:vMerge w:val="restart"/>
                  <w:tcBorders>
                    <w:tl2br w:val="nil"/>
                    <w:tr2bl w:val="nil"/>
                  </w:tcBorders>
                  <w:vAlign w:val="center"/>
                </w:tcPr>
                <w:p>
                  <w:pPr>
                    <w:jc w:val="center"/>
                    <w:textAlignment w:val="baseline"/>
                    <w:rPr>
                      <w:color w:val="000000"/>
                      <w:kern w:val="0"/>
                      <w:szCs w:val="21"/>
                    </w:rPr>
                  </w:pPr>
                  <w:r>
                    <w:rPr>
                      <w:color w:val="000000"/>
                      <w:kern w:val="0"/>
                      <w:szCs w:val="21"/>
                    </w:rPr>
                    <w:t>废气</w:t>
                  </w:r>
                </w:p>
              </w:tc>
              <w:tc>
                <w:tcPr>
                  <w:tcW w:w="1274" w:type="dxa"/>
                  <w:tcBorders>
                    <w:bottom w:val="single" w:color="auto" w:sz="4" w:space="0"/>
                    <w:tl2br w:val="nil"/>
                    <w:tr2bl w:val="nil"/>
                  </w:tcBorders>
                  <w:vAlign w:val="center"/>
                </w:tcPr>
                <w:p>
                  <w:pPr>
                    <w:jc w:val="center"/>
                    <w:textAlignment w:val="baseline"/>
                    <w:rPr>
                      <w:color w:val="000000"/>
                      <w:kern w:val="0"/>
                      <w:szCs w:val="21"/>
                    </w:rPr>
                  </w:pPr>
                  <w:r>
                    <w:rPr>
                      <w:rFonts w:hint="eastAsia"/>
                      <w:kern w:val="0"/>
                      <w:szCs w:val="21"/>
                    </w:rPr>
                    <w:t>厂界外上风向1个点，下风向3个点</w:t>
                  </w:r>
                </w:p>
              </w:tc>
              <w:tc>
                <w:tcPr>
                  <w:tcW w:w="1555" w:type="dxa"/>
                  <w:tcBorders>
                    <w:bottom w:val="single" w:color="auto" w:sz="4" w:space="0"/>
                    <w:tl2br w:val="nil"/>
                    <w:tr2bl w:val="nil"/>
                  </w:tcBorders>
                  <w:vAlign w:val="center"/>
                </w:tcPr>
                <w:p>
                  <w:pPr>
                    <w:jc w:val="center"/>
                    <w:textAlignment w:val="baseline"/>
                    <w:rPr>
                      <w:color w:val="000000"/>
                      <w:kern w:val="0"/>
                      <w:szCs w:val="21"/>
                    </w:rPr>
                  </w:pPr>
                  <w:r>
                    <w:rPr>
                      <w:rFonts w:hint="eastAsia"/>
                      <w:color w:val="000000"/>
                      <w:kern w:val="0"/>
                      <w:szCs w:val="21"/>
                    </w:rPr>
                    <w:t>非甲烷总烃、颗粒物</w:t>
                  </w:r>
                </w:p>
              </w:tc>
              <w:tc>
                <w:tcPr>
                  <w:tcW w:w="1114" w:type="dxa"/>
                  <w:vMerge w:val="restart"/>
                  <w:tcBorders>
                    <w:right w:val="single" w:color="auto" w:sz="4" w:space="0"/>
                    <w:tl2br w:val="nil"/>
                    <w:tr2bl w:val="nil"/>
                  </w:tcBorders>
                  <w:vAlign w:val="center"/>
                </w:tcPr>
                <w:p>
                  <w:pPr>
                    <w:jc w:val="center"/>
                    <w:textAlignment w:val="baseline"/>
                    <w:rPr>
                      <w:color w:val="000000"/>
                      <w:kern w:val="0"/>
                      <w:szCs w:val="21"/>
                    </w:rPr>
                  </w:pPr>
                  <w:r>
                    <w:rPr>
                      <w:kern w:val="0"/>
                      <w:szCs w:val="21"/>
                    </w:rPr>
                    <w:t>委托有监测资质的单位，</w:t>
                  </w:r>
                  <w:r>
                    <w:rPr>
                      <w:rFonts w:hint="eastAsia"/>
                      <w:kern w:val="0"/>
                      <w:szCs w:val="21"/>
                    </w:rPr>
                    <w:t>每季度</w:t>
                  </w:r>
                  <w:r>
                    <w:rPr>
                      <w:kern w:val="0"/>
                      <w:szCs w:val="21"/>
                    </w:rPr>
                    <w:t>监测1次</w:t>
                  </w:r>
                </w:p>
              </w:tc>
              <w:tc>
                <w:tcPr>
                  <w:tcW w:w="3746" w:type="dxa"/>
                  <w:vMerge w:val="restart"/>
                  <w:tcBorders>
                    <w:left w:val="single" w:color="auto" w:sz="4" w:space="0"/>
                    <w:tl2br w:val="nil"/>
                    <w:tr2bl w:val="nil"/>
                  </w:tcBorders>
                  <w:vAlign w:val="center"/>
                </w:tcPr>
                <w:p>
                  <w:pPr>
                    <w:jc w:val="center"/>
                    <w:textAlignment w:val="baseline"/>
                    <w:rPr>
                      <w:color w:val="000000" w:themeColor="text1"/>
                      <w:spacing w:val="2"/>
                      <w:szCs w:val="21"/>
                      <w14:textFill>
                        <w14:solidFill>
                          <w14:schemeClr w14:val="tx1"/>
                        </w14:solidFill>
                      </w14:textFill>
                    </w:rPr>
                  </w:pPr>
                  <w:r>
                    <w:rPr>
                      <w:rFonts w:hint="eastAsia"/>
                      <w:color w:val="000000" w:themeColor="text1"/>
                      <w:spacing w:val="2"/>
                      <w:szCs w:val="21"/>
                      <w14:textFill>
                        <w14:solidFill>
                          <w14:schemeClr w14:val="tx1"/>
                        </w14:solidFill>
                      </w14:textFill>
                    </w:rPr>
                    <w:t>非甲烷总烃：《关于全省开展工业企业挥发性有机物专项治理工作中排放建议值的通知》（豫环攻坚办〔2017〕162号）中，其他行业非甲烷总烃去除效率≥70%；</w:t>
                  </w:r>
                </w:p>
                <w:p>
                  <w:pPr>
                    <w:jc w:val="center"/>
                    <w:textAlignment w:val="baseline"/>
                    <w:rPr>
                      <w:color w:val="000000" w:themeColor="text1"/>
                      <w:kern w:val="0"/>
                      <w:szCs w:val="21"/>
                      <w14:textFill>
                        <w14:solidFill>
                          <w14:schemeClr w14:val="tx1"/>
                        </w14:solidFill>
                      </w14:textFill>
                    </w:rPr>
                  </w:pPr>
                  <w:r>
                    <w:rPr>
                      <w:rFonts w:hint="eastAsia"/>
                      <w:color w:val="000000" w:themeColor="text1"/>
                      <w:spacing w:val="2"/>
                      <w:szCs w:val="21"/>
                      <w14:textFill>
                        <w14:solidFill>
                          <w14:schemeClr w14:val="tx1"/>
                        </w14:solidFill>
                      </w14:textFill>
                    </w:rPr>
                    <w:t>无组织：厂界处非甲烷总烃2</w:t>
                  </w:r>
                  <w:r>
                    <w:rPr>
                      <w:color w:val="000000" w:themeColor="text1"/>
                      <w:spacing w:val="2"/>
                      <w:szCs w:val="21"/>
                      <w14:textFill>
                        <w14:solidFill>
                          <w14:schemeClr w14:val="tx1"/>
                        </w14:solidFill>
                      </w14:textFill>
                    </w:rPr>
                    <w:t>.0mg/m</w:t>
                  </w:r>
                  <w:r>
                    <w:rPr>
                      <w:color w:val="000000" w:themeColor="text1"/>
                      <w:spacing w:val="2"/>
                      <w:szCs w:val="21"/>
                      <w:vertAlign w:val="superscript"/>
                      <w14:textFill>
                        <w14:solidFill>
                          <w14:schemeClr w14:val="tx1"/>
                        </w14:solidFill>
                      </w14:textFill>
                    </w:rPr>
                    <w:t>3</w:t>
                  </w:r>
                  <w:r>
                    <w:rPr>
                      <w:rFonts w:hint="eastAsia"/>
                      <w:b w:val="0"/>
                      <w:bCs w:val="0"/>
                      <w:color w:val="000000" w:themeColor="text1"/>
                      <w:sz w:val="21"/>
                      <w:szCs w:val="21"/>
                      <w:lang w:eastAsia="zh-CN"/>
                      <w14:textFill>
                        <w14:solidFill>
                          <w14:schemeClr w14:val="tx1"/>
                        </w14:solidFill>
                      </w14:textFill>
                    </w:rPr>
                    <w:t>《</w:t>
                  </w:r>
                  <w:r>
                    <w:rPr>
                      <w:rFonts w:hint="eastAsia"/>
                      <w:b w:val="0"/>
                      <w:bCs w:val="0"/>
                      <w:color w:val="000000" w:themeColor="text1"/>
                      <w:sz w:val="21"/>
                      <w:szCs w:val="21"/>
                      <w14:textFill>
                        <w14:solidFill>
                          <w14:schemeClr w14:val="tx1"/>
                        </w14:solidFill>
                      </w14:textFill>
                    </w:rPr>
                    <w:t>合成树脂工业污染源排放标准</w:t>
                  </w:r>
                  <w:r>
                    <w:rPr>
                      <w:rFonts w:hint="eastAsia"/>
                      <w:b w:val="0"/>
                      <w:bCs w:val="0"/>
                      <w:color w:val="000000" w:themeColor="text1"/>
                      <w:sz w:val="21"/>
                      <w:szCs w:val="21"/>
                      <w:lang w:eastAsia="zh-CN"/>
                      <w14:textFill>
                        <w14:solidFill>
                          <w14:schemeClr w14:val="tx1"/>
                        </w14:solidFill>
                      </w14:textFill>
                    </w:rPr>
                    <w:t>》（</w:t>
                  </w:r>
                  <w:r>
                    <w:rPr>
                      <w:rFonts w:hint="eastAsia"/>
                      <w:b w:val="0"/>
                      <w:bCs w:val="0"/>
                      <w:color w:val="000000" w:themeColor="text1"/>
                      <w:sz w:val="21"/>
                      <w:szCs w:val="21"/>
                      <w:lang w:val="en-US" w:eastAsia="zh-CN"/>
                      <w14:textFill>
                        <w14:solidFill>
                          <w14:schemeClr w14:val="tx1"/>
                        </w14:solidFill>
                      </w14:textFill>
                    </w:rPr>
                    <w:t>GB31572-2015）</w:t>
                  </w:r>
                  <w:r>
                    <w:rPr>
                      <w:b w:val="0"/>
                      <w:bCs w:val="0"/>
                      <w:snapToGrid w:val="0"/>
                      <w:color w:val="000000" w:themeColor="text1"/>
                      <w:sz w:val="21"/>
                      <w:szCs w:val="21"/>
                      <w14:textFill>
                        <w14:solidFill>
                          <w14:schemeClr w14:val="tx1"/>
                        </w14:solidFill>
                      </w14:textFill>
                    </w:rPr>
                    <w:t>非甲烷总烃</w:t>
                  </w:r>
                  <w:r>
                    <w:rPr>
                      <w:rFonts w:hint="eastAsia"/>
                      <w:b w:val="0"/>
                      <w:bCs w:val="0"/>
                      <w:snapToGrid w:val="0"/>
                      <w:color w:val="000000" w:themeColor="text1"/>
                      <w:sz w:val="21"/>
                      <w:szCs w:val="21"/>
                      <w:lang w:eastAsia="zh-CN"/>
                      <w14:textFill>
                        <w14:solidFill>
                          <w14:schemeClr w14:val="tx1"/>
                        </w14:solidFill>
                      </w14:textFill>
                    </w:rPr>
                    <w:t>最高允许排放浓度限值</w:t>
                  </w:r>
                  <w:r>
                    <w:rPr>
                      <w:rFonts w:hint="eastAsia"/>
                      <w:b w:val="0"/>
                      <w:bCs w:val="0"/>
                      <w:snapToGrid w:val="0"/>
                      <w:color w:val="000000" w:themeColor="text1"/>
                      <w:sz w:val="21"/>
                      <w:szCs w:val="21"/>
                      <w:lang w:val="en-US" w:eastAsia="zh-CN"/>
                      <w14:textFill>
                        <w14:solidFill>
                          <w14:schemeClr w14:val="tx1"/>
                        </w14:solidFill>
                      </w14:textFill>
                    </w:rPr>
                    <w:t>6</w:t>
                  </w:r>
                  <w:r>
                    <w:rPr>
                      <w:b w:val="0"/>
                      <w:bCs w:val="0"/>
                      <w:snapToGrid w:val="0"/>
                      <w:color w:val="000000" w:themeColor="text1"/>
                      <w:sz w:val="21"/>
                      <w:szCs w:val="21"/>
                      <w14:textFill>
                        <w14:solidFill>
                          <w14:schemeClr w14:val="tx1"/>
                        </w14:solidFill>
                      </w14:textFill>
                    </w:rPr>
                    <w:t>0mg/m</w:t>
                  </w:r>
                  <w:r>
                    <w:rPr>
                      <w:b w:val="0"/>
                      <w:bCs w:val="0"/>
                      <w:snapToGrid w:val="0"/>
                      <w:color w:val="000000" w:themeColor="text1"/>
                      <w:sz w:val="21"/>
                      <w:szCs w:val="21"/>
                      <w:vertAlign w:val="superscript"/>
                      <w14:textFill>
                        <w14:solidFill>
                          <w14:schemeClr w14:val="tx1"/>
                        </w14:solidFill>
                      </w14:textFill>
                    </w:rPr>
                    <w:t>3</w:t>
                  </w:r>
                  <w:r>
                    <w:rPr>
                      <w:color w:val="000000" w:themeColor="text1"/>
                      <w:spacing w:val="2"/>
                      <w:sz w:val="21"/>
                      <w:szCs w:val="21"/>
                      <w:vertAlign w:val="superscript"/>
                      <w14:textFill>
                        <w14:solidFill>
                          <w14:schemeClr w14:val="tx1"/>
                        </w14:solidFill>
                      </w14:textFill>
                    </w:rPr>
                    <w:br w:type="textWrapping"/>
                  </w:r>
                  <w:r>
                    <w:rPr>
                      <w:rFonts w:hint="eastAsia"/>
                      <w:color w:val="000000" w:themeColor="text1"/>
                      <w:kern w:val="0"/>
                      <w:szCs w:val="21"/>
                      <w14:textFill>
                        <w14:solidFill>
                          <w14:schemeClr w14:val="tx1"/>
                        </w14:solidFill>
                      </w14:textFill>
                    </w:rPr>
                    <w:t>颗粒物：</w:t>
                  </w:r>
                  <w:r>
                    <w:rPr>
                      <w:color w:val="000000" w:themeColor="text1"/>
                      <w:kern w:val="0"/>
                      <w:szCs w:val="21"/>
                      <w14:textFill>
                        <w14:solidFill>
                          <w14:schemeClr w14:val="tx1"/>
                        </w14:solidFill>
                      </w14:textFill>
                    </w:rPr>
                    <w:t>《大气污染物综合排放标准》（GB16297-1996）</w:t>
                  </w:r>
                  <w:r>
                    <w:rPr>
                      <w:rFonts w:hint="eastAsia"/>
                      <w:color w:val="000000" w:themeColor="text1"/>
                      <w:kern w:val="0"/>
                      <w:szCs w:val="21"/>
                      <w:lang w:eastAsia="zh-CN"/>
                      <w14:textFill>
                        <w14:solidFill>
                          <w14:schemeClr w14:val="tx1"/>
                        </w14:solidFill>
                      </w14:textFill>
                    </w:rPr>
                    <w:t>，</w:t>
                  </w:r>
                  <w:r>
                    <w:rPr>
                      <w:color w:val="000000" w:themeColor="text1"/>
                      <w:szCs w:val="21"/>
                      <w14:textFill>
                        <w14:solidFill>
                          <w14:schemeClr w14:val="tx1"/>
                        </w14:solidFill>
                      </w14:textFill>
                    </w:rPr>
                    <w:t>最高允许排放速率3.5kg/h（15m高排气筒）要求</w:t>
                  </w:r>
                  <w:r>
                    <w:rPr>
                      <w:rFonts w:hint="eastAsia"/>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周界外浓度最高点1.0mg/m³</w:t>
                  </w:r>
                </w:p>
                <w:p>
                  <w:pPr>
                    <w:jc w:val="center"/>
                    <w:textAlignment w:val="baseline"/>
                    <w:rPr>
                      <w:color w:val="000000"/>
                      <w:kern w:val="0"/>
                      <w:szCs w:val="21"/>
                    </w:rPr>
                  </w:pPr>
                  <w:r>
                    <w:rPr>
                      <w:rFonts w:hint="eastAsia"/>
                      <w:b w:val="0"/>
                      <w:bCs w:val="0"/>
                      <w:sz w:val="21"/>
                      <w:szCs w:val="21"/>
                      <w:lang w:eastAsia="zh-CN"/>
                    </w:rPr>
                    <w:t>《</w:t>
                  </w:r>
                  <w:r>
                    <w:rPr>
                      <w:rFonts w:hint="eastAsia"/>
                      <w:b w:val="0"/>
                      <w:bCs w:val="0"/>
                      <w:sz w:val="21"/>
                      <w:szCs w:val="21"/>
                    </w:rPr>
                    <w:t>合成树脂工业污染源排放标准</w:t>
                  </w:r>
                  <w:r>
                    <w:rPr>
                      <w:rFonts w:hint="eastAsia"/>
                      <w:b w:val="0"/>
                      <w:bCs w:val="0"/>
                      <w:sz w:val="21"/>
                      <w:szCs w:val="21"/>
                      <w:lang w:eastAsia="zh-CN"/>
                    </w:rPr>
                    <w:t>》（</w:t>
                  </w:r>
                  <w:r>
                    <w:rPr>
                      <w:rFonts w:hint="eastAsia"/>
                      <w:b w:val="0"/>
                      <w:bCs w:val="0"/>
                      <w:sz w:val="21"/>
                      <w:szCs w:val="21"/>
                      <w:lang w:val="en-US" w:eastAsia="zh-CN"/>
                    </w:rPr>
                    <w:t>GB31572-2015）颗粒物</w:t>
                  </w:r>
                  <w:r>
                    <w:rPr>
                      <w:rFonts w:hint="eastAsia"/>
                      <w:b w:val="0"/>
                      <w:bCs w:val="0"/>
                      <w:snapToGrid w:val="0"/>
                      <w:color w:val="000000" w:themeColor="text1"/>
                      <w:sz w:val="21"/>
                      <w:szCs w:val="21"/>
                      <w:lang w:eastAsia="zh-CN"/>
                      <w14:textFill>
                        <w14:solidFill>
                          <w14:schemeClr w14:val="tx1"/>
                        </w14:solidFill>
                      </w14:textFill>
                    </w:rPr>
                    <w:t>最高允许排放浓度</w:t>
                  </w:r>
                  <w:r>
                    <w:rPr>
                      <w:rFonts w:hint="eastAsia"/>
                      <w:b w:val="0"/>
                      <w:bCs w:val="0"/>
                      <w:snapToGrid w:val="0"/>
                      <w:sz w:val="21"/>
                      <w:szCs w:val="21"/>
                      <w:lang w:val="en-US" w:eastAsia="zh-CN"/>
                    </w:rPr>
                    <w:t>2</w:t>
                  </w:r>
                  <w:r>
                    <w:rPr>
                      <w:b w:val="0"/>
                      <w:bCs w:val="0"/>
                      <w:snapToGrid w:val="0"/>
                      <w:sz w:val="21"/>
                      <w:szCs w:val="21"/>
                    </w:rPr>
                    <w:t>0mg/m</w:t>
                  </w:r>
                  <w:r>
                    <w:rPr>
                      <w:b w:val="0"/>
                      <w:bCs w:val="0"/>
                      <w:snapToGrid w:val="0"/>
                      <w:sz w:val="21"/>
                      <w:szCs w:val="21"/>
                      <w:vertAlign w:val="superscript"/>
                    </w:rPr>
                    <w:t>3</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59" w:hRule="atLeast"/>
                <w:jc w:val="center"/>
              </w:trPr>
              <w:tc>
                <w:tcPr>
                  <w:tcW w:w="815" w:type="dxa"/>
                  <w:vMerge w:val="continue"/>
                  <w:tcBorders>
                    <w:tl2br w:val="nil"/>
                    <w:tr2bl w:val="nil"/>
                  </w:tcBorders>
                  <w:vAlign w:val="center"/>
                </w:tcPr>
                <w:p>
                  <w:pPr>
                    <w:jc w:val="center"/>
                    <w:textAlignment w:val="baseline"/>
                    <w:rPr>
                      <w:color w:val="000000"/>
                      <w:kern w:val="0"/>
                      <w:szCs w:val="21"/>
                    </w:rPr>
                  </w:pPr>
                </w:p>
              </w:tc>
              <w:tc>
                <w:tcPr>
                  <w:tcW w:w="1274" w:type="dxa"/>
                  <w:tcBorders>
                    <w:top w:val="single" w:color="auto" w:sz="4" w:space="0"/>
                    <w:bottom w:val="single" w:color="auto" w:sz="4" w:space="0"/>
                    <w:tl2br w:val="nil"/>
                    <w:tr2bl w:val="nil"/>
                  </w:tcBorders>
                  <w:vAlign w:val="center"/>
                </w:tcPr>
                <w:p>
                  <w:pPr>
                    <w:jc w:val="center"/>
                    <w:textAlignment w:val="baseline"/>
                    <w:rPr>
                      <w:rFonts w:hint="default" w:eastAsia="宋体"/>
                      <w:color w:val="000000"/>
                      <w:kern w:val="0"/>
                      <w:szCs w:val="21"/>
                      <w:lang w:val="en-US" w:eastAsia="zh-CN"/>
                    </w:rPr>
                  </w:pPr>
                  <w:r>
                    <w:rPr>
                      <w:rFonts w:hint="eastAsia"/>
                      <w:color w:val="000000"/>
                      <w:kern w:val="0"/>
                      <w:szCs w:val="21"/>
                    </w:rPr>
                    <w:t>注塑、吹塑废气排气筒</w:t>
                  </w:r>
                  <w:r>
                    <w:rPr>
                      <w:rFonts w:hint="eastAsia"/>
                      <w:color w:val="000000"/>
                      <w:kern w:val="0"/>
                      <w:szCs w:val="21"/>
                      <w:lang w:val="en-US" w:eastAsia="zh-CN"/>
                    </w:rPr>
                    <w:t>(P1排放口）</w:t>
                  </w:r>
                </w:p>
              </w:tc>
              <w:tc>
                <w:tcPr>
                  <w:tcW w:w="1555" w:type="dxa"/>
                  <w:tcBorders>
                    <w:top w:val="single" w:color="auto" w:sz="4" w:space="0"/>
                    <w:bottom w:val="single" w:color="auto" w:sz="4" w:space="0"/>
                    <w:tl2br w:val="nil"/>
                    <w:tr2bl w:val="nil"/>
                  </w:tcBorders>
                  <w:vAlign w:val="center"/>
                </w:tcPr>
                <w:p>
                  <w:pPr>
                    <w:jc w:val="center"/>
                    <w:textAlignment w:val="baseline"/>
                    <w:rPr>
                      <w:color w:val="000000"/>
                      <w:kern w:val="0"/>
                      <w:szCs w:val="21"/>
                    </w:rPr>
                  </w:pPr>
                  <w:r>
                    <w:rPr>
                      <w:rFonts w:hint="eastAsia"/>
                      <w:color w:val="000000"/>
                      <w:kern w:val="0"/>
                      <w:szCs w:val="21"/>
                    </w:rPr>
                    <w:t>非甲烷总烃</w:t>
                  </w:r>
                </w:p>
              </w:tc>
              <w:tc>
                <w:tcPr>
                  <w:tcW w:w="1114" w:type="dxa"/>
                  <w:vMerge w:val="continue"/>
                  <w:tcBorders>
                    <w:right w:val="single" w:color="auto" w:sz="4" w:space="0"/>
                    <w:tl2br w:val="nil"/>
                    <w:tr2bl w:val="nil"/>
                  </w:tcBorders>
                  <w:vAlign w:val="center"/>
                </w:tcPr>
                <w:p>
                  <w:pPr>
                    <w:jc w:val="center"/>
                    <w:textAlignment w:val="baseline"/>
                    <w:rPr>
                      <w:color w:val="000000"/>
                      <w:kern w:val="0"/>
                      <w:szCs w:val="21"/>
                    </w:rPr>
                  </w:pPr>
                </w:p>
              </w:tc>
              <w:tc>
                <w:tcPr>
                  <w:tcW w:w="3746" w:type="dxa"/>
                  <w:vMerge w:val="continue"/>
                  <w:tcBorders>
                    <w:left w:val="single" w:color="auto" w:sz="4" w:space="0"/>
                    <w:tl2br w:val="nil"/>
                    <w:tr2bl w:val="nil"/>
                  </w:tcBorders>
                  <w:vAlign w:val="center"/>
                </w:tcPr>
                <w:p>
                  <w:pPr>
                    <w:jc w:val="center"/>
                    <w:textAlignment w:val="baseline"/>
                    <w:rPr>
                      <w:color w:val="000000"/>
                      <w:kern w:val="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jc w:val="center"/>
                    <w:textAlignment w:val="baseline"/>
                    <w:rPr>
                      <w:color w:val="000000"/>
                      <w:kern w:val="0"/>
                      <w:szCs w:val="21"/>
                    </w:rPr>
                  </w:pPr>
                </w:p>
              </w:tc>
              <w:tc>
                <w:tcPr>
                  <w:tcW w:w="1274" w:type="dxa"/>
                  <w:tcBorders>
                    <w:top w:val="single" w:color="auto" w:sz="4" w:space="0"/>
                    <w:bottom w:val="single" w:color="auto" w:sz="4" w:space="0"/>
                    <w:tl2br w:val="nil"/>
                    <w:tr2bl w:val="nil"/>
                  </w:tcBorders>
                  <w:vAlign w:val="center"/>
                </w:tcPr>
                <w:p>
                  <w:pPr>
                    <w:jc w:val="center"/>
                    <w:textAlignment w:val="baseline"/>
                    <w:rPr>
                      <w:rFonts w:hint="eastAsia" w:eastAsia="宋体"/>
                      <w:color w:val="000000"/>
                      <w:kern w:val="0"/>
                      <w:szCs w:val="21"/>
                      <w:lang w:eastAsia="zh-CN"/>
                    </w:rPr>
                  </w:pPr>
                  <w:r>
                    <w:rPr>
                      <w:rFonts w:hint="eastAsia"/>
                      <w:color w:val="000000"/>
                      <w:kern w:val="0"/>
                      <w:szCs w:val="21"/>
                    </w:rPr>
                    <w:t>破碎废气排气筒</w:t>
                  </w:r>
                  <w:r>
                    <w:rPr>
                      <w:rFonts w:hint="eastAsia"/>
                      <w:color w:val="000000"/>
                      <w:kern w:val="0"/>
                      <w:szCs w:val="21"/>
                      <w:lang w:eastAsia="zh-CN"/>
                    </w:rPr>
                    <w:t>（</w:t>
                  </w:r>
                  <w:r>
                    <w:rPr>
                      <w:rFonts w:hint="eastAsia"/>
                      <w:color w:val="000000"/>
                      <w:kern w:val="0"/>
                      <w:szCs w:val="21"/>
                      <w:lang w:val="en-US" w:eastAsia="zh-CN"/>
                    </w:rPr>
                    <w:t>P2排放口</w:t>
                  </w:r>
                  <w:r>
                    <w:rPr>
                      <w:rFonts w:hint="eastAsia"/>
                      <w:color w:val="000000"/>
                      <w:kern w:val="0"/>
                      <w:szCs w:val="21"/>
                      <w:lang w:eastAsia="zh-CN"/>
                    </w:rPr>
                    <w:t>）</w:t>
                  </w:r>
                </w:p>
              </w:tc>
              <w:tc>
                <w:tcPr>
                  <w:tcW w:w="1555" w:type="dxa"/>
                  <w:tcBorders>
                    <w:top w:val="single" w:color="auto" w:sz="4" w:space="0"/>
                    <w:bottom w:val="single" w:color="auto" w:sz="4" w:space="0"/>
                    <w:tl2br w:val="nil"/>
                    <w:tr2bl w:val="nil"/>
                  </w:tcBorders>
                  <w:vAlign w:val="center"/>
                </w:tcPr>
                <w:p>
                  <w:pPr>
                    <w:jc w:val="center"/>
                    <w:textAlignment w:val="baseline"/>
                    <w:rPr>
                      <w:color w:val="000000"/>
                      <w:kern w:val="0"/>
                      <w:szCs w:val="21"/>
                    </w:rPr>
                  </w:pPr>
                  <w:r>
                    <w:rPr>
                      <w:rFonts w:hint="eastAsia"/>
                      <w:color w:val="000000"/>
                      <w:kern w:val="0"/>
                      <w:szCs w:val="21"/>
                    </w:rPr>
                    <w:t>颗粒物</w:t>
                  </w:r>
                </w:p>
              </w:tc>
              <w:tc>
                <w:tcPr>
                  <w:tcW w:w="1114" w:type="dxa"/>
                  <w:vMerge w:val="continue"/>
                  <w:tcBorders>
                    <w:right w:val="single" w:color="auto" w:sz="4" w:space="0"/>
                    <w:tl2br w:val="nil"/>
                    <w:tr2bl w:val="nil"/>
                  </w:tcBorders>
                  <w:vAlign w:val="center"/>
                </w:tcPr>
                <w:p>
                  <w:pPr>
                    <w:jc w:val="center"/>
                    <w:textAlignment w:val="baseline"/>
                    <w:rPr>
                      <w:color w:val="000000"/>
                      <w:kern w:val="0"/>
                      <w:szCs w:val="21"/>
                    </w:rPr>
                  </w:pPr>
                </w:p>
              </w:tc>
              <w:tc>
                <w:tcPr>
                  <w:tcW w:w="3746" w:type="dxa"/>
                  <w:vMerge w:val="continue"/>
                  <w:tcBorders>
                    <w:left w:val="single" w:color="auto" w:sz="4" w:space="0"/>
                    <w:tl2br w:val="nil"/>
                    <w:tr2bl w:val="nil"/>
                  </w:tcBorders>
                  <w:vAlign w:val="center"/>
                </w:tcPr>
                <w:p>
                  <w:pPr>
                    <w:jc w:val="center"/>
                    <w:textAlignment w:val="baseline"/>
                    <w:rPr>
                      <w:color w:val="000000"/>
                      <w:kern w:val="0"/>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dxa"/>
                  <w:tcBorders>
                    <w:tl2br w:val="nil"/>
                    <w:tr2bl w:val="nil"/>
                  </w:tcBorders>
                  <w:vAlign w:val="center"/>
                </w:tcPr>
                <w:p>
                  <w:pPr>
                    <w:jc w:val="center"/>
                    <w:textAlignment w:val="baseline"/>
                    <w:rPr>
                      <w:color w:val="000000"/>
                      <w:kern w:val="0"/>
                      <w:szCs w:val="21"/>
                    </w:rPr>
                  </w:pPr>
                  <w:r>
                    <w:rPr>
                      <w:color w:val="000000"/>
                      <w:kern w:val="0"/>
                      <w:szCs w:val="21"/>
                    </w:rPr>
                    <w:t>噪声</w:t>
                  </w:r>
                </w:p>
              </w:tc>
              <w:tc>
                <w:tcPr>
                  <w:tcW w:w="1274" w:type="dxa"/>
                  <w:tcBorders>
                    <w:tl2br w:val="nil"/>
                    <w:tr2bl w:val="nil"/>
                  </w:tcBorders>
                  <w:vAlign w:val="center"/>
                </w:tcPr>
                <w:p>
                  <w:pPr>
                    <w:jc w:val="center"/>
                    <w:textAlignment w:val="baseline"/>
                    <w:rPr>
                      <w:color w:val="000000"/>
                      <w:kern w:val="0"/>
                      <w:szCs w:val="21"/>
                    </w:rPr>
                  </w:pPr>
                  <w:r>
                    <w:rPr>
                      <w:color w:val="000000"/>
                      <w:kern w:val="0"/>
                      <w:szCs w:val="21"/>
                    </w:rPr>
                    <w:t>四周边界</w:t>
                  </w:r>
                </w:p>
              </w:tc>
              <w:tc>
                <w:tcPr>
                  <w:tcW w:w="1555" w:type="dxa"/>
                  <w:tcBorders>
                    <w:tl2br w:val="nil"/>
                    <w:tr2bl w:val="nil"/>
                  </w:tcBorders>
                  <w:vAlign w:val="center"/>
                </w:tcPr>
                <w:p>
                  <w:pPr>
                    <w:jc w:val="center"/>
                    <w:textAlignment w:val="baseline"/>
                    <w:rPr>
                      <w:color w:val="000000"/>
                      <w:kern w:val="0"/>
                      <w:szCs w:val="21"/>
                    </w:rPr>
                  </w:pPr>
                  <w:r>
                    <w:rPr>
                      <w:color w:val="000000"/>
                      <w:kern w:val="0"/>
                      <w:szCs w:val="21"/>
                    </w:rPr>
                    <w:t>等效连续A 声级</w:t>
                  </w:r>
                </w:p>
              </w:tc>
              <w:tc>
                <w:tcPr>
                  <w:tcW w:w="1114" w:type="dxa"/>
                  <w:tcBorders>
                    <w:tl2br w:val="nil"/>
                    <w:tr2bl w:val="nil"/>
                  </w:tcBorders>
                  <w:vAlign w:val="center"/>
                </w:tcPr>
                <w:p>
                  <w:pPr>
                    <w:jc w:val="center"/>
                    <w:textAlignment w:val="baseline"/>
                    <w:rPr>
                      <w:color w:val="000000"/>
                      <w:kern w:val="0"/>
                      <w:szCs w:val="21"/>
                    </w:rPr>
                  </w:pPr>
                  <w:r>
                    <w:rPr>
                      <w:kern w:val="0"/>
                      <w:szCs w:val="21"/>
                    </w:rPr>
                    <w:t>委托有监测资质的单位，</w:t>
                  </w:r>
                  <w:r>
                    <w:rPr>
                      <w:rFonts w:hint="eastAsia"/>
                      <w:kern w:val="0"/>
                      <w:szCs w:val="21"/>
                    </w:rPr>
                    <w:t>每季度</w:t>
                  </w:r>
                  <w:r>
                    <w:rPr>
                      <w:kern w:val="0"/>
                      <w:szCs w:val="21"/>
                    </w:rPr>
                    <w:t>监测1次</w:t>
                  </w:r>
                </w:p>
              </w:tc>
              <w:tc>
                <w:tcPr>
                  <w:tcW w:w="3746" w:type="dxa"/>
                  <w:tcBorders>
                    <w:top w:val="single" w:color="auto" w:sz="4" w:space="0"/>
                    <w:tl2br w:val="nil"/>
                    <w:tr2bl w:val="nil"/>
                  </w:tcBorders>
                  <w:vAlign w:val="center"/>
                </w:tcPr>
                <w:p>
                  <w:pPr>
                    <w:jc w:val="center"/>
                    <w:textAlignment w:val="baseline"/>
                    <w:rPr>
                      <w:color w:val="000000"/>
                      <w:kern w:val="0"/>
                      <w:szCs w:val="21"/>
                    </w:rPr>
                  </w:pPr>
                  <w:r>
                    <w:rPr>
                      <w:color w:val="000000"/>
                      <w:kern w:val="0"/>
                      <w:szCs w:val="21"/>
                    </w:rPr>
                    <w:t>《工业企业厂界环境噪声排放标准》（GB12348-2008）</w:t>
                  </w:r>
                  <w:r>
                    <w:rPr>
                      <w:rFonts w:hint="eastAsia"/>
                      <w:color w:val="000000"/>
                      <w:kern w:val="0"/>
                      <w:szCs w:val="21"/>
                    </w:rPr>
                    <w:t>3</w:t>
                  </w:r>
                  <w:r>
                    <w:rPr>
                      <w:color w:val="000000"/>
                      <w:kern w:val="0"/>
                      <w:szCs w:val="21"/>
                    </w:rPr>
                    <w:t>类标准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5" w:type="dxa"/>
                  <w:tcBorders>
                    <w:tl2br w:val="nil"/>
                    <w:tr2bl w:val="nil"/>
                  </w:tcBorders>
                  <w:vAlign w:val="center"/>
                </w:tcPr>
                <w:p>
                  <w:pPr>
                    <w:jc w:val="center"/>
                    <w:textAlignment w:val="baseline"/>
                    <w:rPr>
                      <w:color w:val="000000"/>
                      <w:kern w:val="0"/>
                      <w:szCs w:val="21"/>
                    </w:rPr>
                  </w:pPr>
                  <w:r>
                    <w:rPr>
                      <w:rFonts w:hint="eastAsia"/>
                      <w:color w:val="000000"/>
                      <w:kern w:val="0"/>
                      <w:szCs w:val="21"/>
                    </w:rPr>
                    <w:t>废水</w:t>
                  </w:r>
                </w:p>
              </w:tc>
              <w:tc>
                <w:tcPr>
                  <w:tcW w:w="1274" w:type="dxa"/>
                  <w:tcBorders>
                    <w:tl2br w:val="nil"/>
                    <w:tr2bl w:val="nil"/>
                  </w:tcBorders>
                  <w:vAlign w:val="center"/>
                </w:tcPr>
                <w:p>
                  <w:pPr>
                    <w:jc w:val="center"/>
                    <w:textAlignment w:val="baseline"/>
                    <w:rPr>
                      <w:color w:val="000000"/>
                      <w:kern w:val="0"/>
                      <w:szCs w:val="21"/>
                    </w:rPr>
                  </w:pPr>
                  <w:r>
                    <w:rPr>
                      <w:rFonts w:hint="eastAsia"/>
                      <w:color w:val="000000"/>
                      <w:kern w:val="0"/>
                      <w:szCs w:val="21"/>
                    </w:rPr>
                    <w:t>废水总排口</w:t>
                  </w:r>
                </w:p>
              </w:tc>
              <w:tc>
                <w:tcPr>
                  <w:tcW w:w="1555" w:type="dxa"/>
                  <w:tcBorders>
                    <w:tl2br w:val="nil"/>
                    <w:tr2bl w:val="nil"/>
                  </w:tcBorders>
                  <w:vAlign w:val="center"/>
                </w:tcPr>
                <w:p>
                  <w:pPr>
                    <w:jc w:val="center"/>
                    <w:textAlignment w:val="baseline"/>
                    <w:rPr>
                      <w:color w:val="000000"/>
                      <w:kern w:val="0"/>
                      <w:szCs w:val="21"/>
                    </w:rPr>
                  </w:pPr>
                  <w:r>
                    <w:rPr>
                      <w:rFonts w:hint="eastAsia"/>
                      <w:color w:val="000000"/>
                      <w:kern w:val="0"/>
                      <w:szCs w:val="21"/>
                    </w:rPr>
                    <w:t>COD、NH</w:t>
                  </w:r>
                  <w:r>
                    <w:rPr>
                      <w:rFonts w:hint="eastAsia"/>
                      <w:color w:val="000000"/>
                      <w:kern w:val="0"/>
                      <w:szCs w:val="21"/>
                      <w:vertAlign w:val="subscript"/>
                    </w:rPr>
                    <w:t>3</w:t>
                  </w:r>
                  <w:r>
                    <w:rPr>
                      <w:rFonts w:hint="eastAsia"/>
                      <w:color w:val="000000"/>
                      <w:kern w:val="0"/>
                      <w:szCs w:val="21"/>
                    </w:rPr>
                    <w:t>-N、TP</w:t>
                  </w:r>
                </w:p>
              </w:tc>
              <w:tc>
                <w:tcPr>
                  <w:tcW w:w="1114" w:type="dxa"/>
                  <w:tcBorders>
                    <w:tl2br w:val="nil"/>
                    <w:tr2bl w:val="nil"/>
                  </w:tcBorders>
                  <w:vAlign w:val="center"/>
                </w:tcPr>
                <w:p>
                  <w:pPr>
                    <w:jc w:val="center"/>
                    <w:textAlignment w:val="baseline"/>
                    <w:rPr>
                      <w:color w:val="000000"/>
                      <w:kern w:val="0"/>
                      <w:szCs w:val="21"/>
                    </w:rPr>
                  </w:pPr>
                  <w:r>
                    <w:rPr>
                      <w:kern w:val="0"/>
                      <w:szCs w:val="21"/>
                    </w:rPr>
                    <w:t>委托有监测资质的单位，</w:t>
                  </w:r>
                  <w:r>
                    <w:rPr>
                      <w:rFonts w:hint="eastAsia"/>
                      <w:kern w:val="0"/>
                      <w:szCs w:val="21"/>
                    </w:rPr>
                    <w:t>每季度</w:t>
                  </w:r>
                  <w:r>
                    <w:rPr>
                      <w:kern w:val="0"/>
                      <w:szCs w:val="21"/>
                    </w:rPr>
                    <w:t>监测1次</w:t>
                  </w:r>
                </w:p>
              </w:tc>
              <w:tc>
                <w:tcPr>
                  <w:tcW w:w="3746" w:type="dxa"/>
                  <w:tcBorders>
                    <w:tl2br w:val="nil"/>
                    <w:tr2bl w:val="nil"/>
                  </w:tcBorders>
                  <w:vAlign w:val="center"/>
                </w:tcPr>
                <w:p>
                  <w:pPr>
                    <w:jc w:val="center"/>
                    <w:textAlignment w:val="baseline"/>
                    <w:rPr>
                      <w:color w:val="000000"/>
                      <w:kern w:val="0"/>
                      <w:szCs w:val="21"/>
                    </w:rPr>
                  </w:pPr>
                  <w:r>
                    <w:rPr>
                      <w:rFonts w:hint="eastAsia"/>
                      <w:color w:val="000000"/>
                      <w:kern w:val="0"/>
                      <w:szCs w:val="21"/>
                    </w:rPr>
                    <w:t>贾屯污水处理厂</w:t>
                  </w:r>
                  <w:r>
                    <w:rPr>
                      <w:color w:val="000000"/>
                      <w:kern w:val="0"/>
                      <w:szCs w:val="21"/>
                    </w:rPr>
                    <w:t>收水水质</w:t>
                  </w:r>
                  <w:r>
                    <w:rPr>
                      <w:rFonts w:hint="eastAsia"/>
                      <w:color w:val="000000"/>
                      <w:kern w:val="0"/>
                      <w:szCs w:val="21"/>
                    </w:rPr>
                    <w:t>要求</w:t>
                  </w:r>
                </w:p>
              </w:tc>
            </w:tr>
          </w:tbl>
          <w:p>
            <w:pPr>
              <w:tabs>
                <w:tab w:val="right" w:leader="middleDot" w:pos="8820"/>
              </w:tabs>
              <w:autoSpaceDE w:val="0"/>
              <w:autoSpaceDN w:val="0"/>
              <w:spacing w:line="360" w:lineRule="auto"/>
              <w:ind w:firstLine="480" w:firstLineChars="200"/>
              <w:rPr>
                <w:snapToGrid w:val="0"/>
                <w:sz w:val="24"/>
              </w:rPr>
            </w:pPr>
            <w:r>
              <w:rPr>
                <w:snapToGrid w:val="0"/>
                <w:sz w:val="24"/>
              </w:rPr>
              <w:t>（</w:t>
            </w:r>
            <w:r>
              <w:rPr>
                <w:rFonts w:hint="eastAsia"/>
                <w:snapToGrid w:val="0"/>
                <w:sz w:val="24"/>
              </w:rPr>
              <w:t>5</w:t>
            </w:r>
            <w:r>
              <w:rPr>
                <w:snapToGrid w:val="0"/>
                <w:sz w:val="24"/>
              </w:rPr>
              <w:t>）规范排污口</w:t>
            </w:r>
          </w:p>
          <w:p>
            <w:pPr>
              <w:spacing w:line="360" w:lineRule="auto"/>
              <w:ind w:firstLine="480" w:firstLineChars="200"/>
              <w:rPr>
                <w:bCs/>
                <w:sz w:val="24"/>
              </w:rPr>
            </w:pPr>
            <w:r>
              <w:rPr>
                <w:bCs/>
                <w:sz w:val="24"/>
              </w:rPr>
              <w:t>根据《环境保护图形标志排放口（源）》（GB15562.1</w:t>
            </w:r>
            <w:r>
              <w:rPr>
                <w:rFonts w:hint="eastAsia"/>
                <w:bCs/>
                <w:sz w:val="24"/>
              </w:rPr>
              <w:t>-</w:t>
            </w:r>
            <w:r>
              <w:rPr>
                <w:bCs/>
                <w:sz w:val="24"/>
              </w:rPr>
              <w:t>1995）及《环境保护图形标志固体废物贮存（处置）场》（GB15562.2</w:t>
            </w:r>
            <w:r>
              <w:rPr>
                <w:rFonts w:hint="eastAsia"/>
                <w:bCs/>
                <w:sz w:val="24"/>
              </w:rPr>
              <w:t>-</w:t>
            </w:r>
            <w:r>
              <w:rPr>
                <w:bCs/>
                <w:sz w:val="24"/>
              </w:rPr>
              <w:t>1995）中有关规定，在厂区</w:t>
            </w:r>
            <w:r>
              <w:rPr>
                <w:rFonts w:hint="eastAsia" w:ascii="宋体" w:hAnsi="宋体" w:cs="宋体"/>
                <w:bCs/>
                <w:sz w:val="24"/>
              </w:rPr>
              <w:t>“三废”</w:t>
            </w:r>
            <w:r>
              <w:rPr>
                <w:bCs/>
                <w:sz w:val="24"/>
              </w:rPr>
              <w:t>及噪声排放点设置标志牌，标志牌应设在与之功能相应的醒目处。标志牌必须保持清晰、完整，当发现有形象损坏、颜色污染、退色等情况时，应及时修复或更换，检查时间至少每年一次。同时厂内总排口应根据环保要求留有采样口，并设置明显标志，以便环保部门定期检查、监督和验收。</w:t>
            </w:r>
          </w:p>
          <w:p>
            <w:pPr>
              <w:spacing w:line="360" w:lineRule="auto"/>
              <w:ind w:firstLine="480" w:firstLineChars="200"/>
              <w:rPr>
                <w:rFonts w:eastAsia="黑体"/>
                <w:bCs/>
                <w:sz w:val="24"/>
              </w:rPr>
            </w:pPr>
            <w:r>
              <w:rPr>
                <w:bCs/>
                <w:sz w:val="24"/>
              </w:rPr>
              <w:t>排放口图形标志见</w:t>
            </w:r>
            <w:r>
              <w:rPr>
                <w:rFonts w:hint="eastAsia"/>
                <w:bCs/>
                <w:sz w:val="24"/>
              </w:rPr>
              <w:t>表</w:t>
            </w:r>
            <w:r>
              <w:rPr>
                <w:rFonts w:hint="eastAsia"/>
                <w:bCs/>
                <w:sz w:val="24"/>
                <w:lang w:val="en-US" w:eastAsia="zh-CN"/>
              </w:rPr>
              <w:t>35</w:t>
            </w:r>
            <w:r>
              <w:rPr>
                <w:bCs/>
                <w:sz w:val="24"/>
              </w:rPr>
              <w:t>。</w:t>
            </w:r>
          </w:p>
          <w:p>
            <w:pPr>
              <w:jc w:val="center"/>
              <w:rPr>
                <w:rFonts w:eastAsia="黑体"/>
                <w:bCs/>
                <w:sz w:val="24"/>
              </w:rPr>
            </w:pPr>
            <w:r>
              <w:rPr>
                <w:rFonts w:eastAsia="黑体"/>
                <w:bCs/>
                <w:sz w:val="24"/>
              </w:rPr>
              <w:t>表</w:t>
            </w:r>
            <w:r>
              <w:rPr>
                <w:rFonts w:hint="eastAsia" w:eastAsia="黑体"/>
                <w:bCs/>
                <w:sz w:val="24"/>
                <w:lang w:val="en-US" w:eastAsia="zh-CN"/>
              </w:rPr>
              <w:t>35</w:t>
            </w:r>
            <w:r>
              <w:rPr>
                <w:rFonts w:eastAsia="黑体"/>
                <w:bCs/>
                <w:sz w:val="24"/>
              </w:rPr>
              <w:t xml:space="preserve">  排污口图形标示</w:t>
            </w:r>
          </w:p>
          <w:tbl>
            <w:tblPr>
              <w:tblStyle w:val="24"/>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770"/>
              <w:gridCol w:w="2364"/>
              <w:gridCol w:w="1701"/>
              <w:gridCol w:w="17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8" w:type="dxa"/>
                  <w:tcBorders>
                    <w:tl2br w:val="nil"/>
                    <w:tr2bl w:val="nil"/>
                  </w:tcBorders>
                  <w:vAlign w:val="center"/>
                </w:tcPr>
                <w:p>
                  <w:pPr>
                    <w:jc w:val="center"/>
                    <w:rPr>
                      <w:rFonts w:eastAsiaTheme="minorEastAsia"/>
                      <w:bCs/>
                      <w:szCs w:val="21"/>
                    </w:rPr>
                  </w:pPr>
                  <w:r>
                    <w:rPr>
                      <w:rFonts w:eastAsiaTheme="minorEastAsia"/>
                      <w:bCs/>
                      <w:szCs w:val="21"/>
                    </w:rPr>
                    <w:t>序号</w:t>
                  </w:r>
                </w:p>
              </w:tc>
              <w:tc>
                <w:tcPr>
                  <w:tcW w:w="1770" w:type="dxa"/>
                  <w:tcBorders>
                    <w:tl2br w:val="nil"/>
                    <w:tr2bl w:val="nil"/>
                  </w:tcBorders>
                  <w:vAlign w:val="center"/>
                </w:tcPr>
                <w:p>
                  <w:pPr>
                    <w:jc w:val="center"/>
                    <w:rPr>
                      <w:rFonts w:eastAsiaTheme="minorEastAsia"/>
                      <w:bCs/>
                      <w:szCs w:val="21"/>
                    </w:rPr>
                  </w:pPr>
                  <w:r>
                    <w:rPr>
                      <w:rFonts w:eastAsiaTheme="minorEastAsia"/>
                      <w:bCs/>
                      <w:szCs w:val="21"/>
                    </w:rPr>
                    <w:t>标志名称</w:t>
                  </w:r>
                </w:p>
              </w:tc>
              <w:tc>
                <w:tcPr>
                  <w:tcW w:w="2364" w:type="dxa"/>
                  <w:tcBorders>
                    <w:tl2br w:val="nil"/>
                    <w:tr2bl w:val="nil"/>
                  </w:tcBorders>
                  <w:vAlign w:val="center"/>
                </w:tcPr>
                <w:p>
                  <w:pPr>
                    <w:jc w:val="center"/>
                    <w:rPr>
                      <w:rFonts w:eastAsiaTheme="minorEastAsia"/>
                      <w:bCs/>
                      <w:szCs w:val="21"/>
                    </w:rPr>
                  </w:pPr>
                  <w:r>
                    <w:rPr>
                      <w:rFonts w:eastAsiaTheme="minorEastAsia"/>
                      <w:bCs/>
                      <w:szCs w:val="21"/>
                    </w:rPr>
                    <w:t>提示图形符号</w:t>
                  </w:r>
                </w:p>
              </w:tc>
              <w:tc>
                <w:tcPr>
                  <w:tcW w:w="1701" w:type="dxa"/>
                  <w:tcBorders>
                    <w:tl2br w:val="nil"/>
                    <w:tr2bl w:val="nil"/>
                  </w:tcBorders>
                  <w:vAlign w:val="center"/>
                </w:tcPr>
                <w:p>
                  <w:pPr>
                    <w:jc w:val="center"/>
                    <w:rPr>
                      <w:rFonts w:eastAsiaTheme="minorEastAsia"/>
                      <w:bCs/>
                      <w:szCs w:val="21"/>
                    </w:rPr>
                  </w:pPr>
                  <w:r>
                    <w:rPr>
                      <w:rFonts w:eastAsiaTheme="minorEastAsia"/>
                      <w:bCs/>
                      <w:szCs w:val="21"/>
                    </w:rPr>
                    <w:t>警告图形符号</w:t>
                  </w:r>
                </w:p>
              </w:tc>
              <w:tc>
                <w:tcPr>
                  <w:tcW w:w="1701" w:type="dxa"/>
                  <w:tcBorders>
                    <w:tl2br w:val="nil"/>
                    <w:tr2bl w:val="nil"/>
                  </w:tcBorders>
                  <w:vAlign w:val="center"/>
                </w:tcPr>
                <w:p>
                  <w:pPr>
                    <w:jc w:val="center"/>
                    <w:rPr>
                      <w:rFonts w:eastAsiaTheme="minorEastAsia"/>
                      <w:bCs/>
                      <w:szCs w:val="21"/>
                    </w:rPr>
                  </w:pPr>
                  <w:r>
                    <w:rPr>
                      <w:rFonts w:eastAsiaTheme="minorEastAsia"/>
                      <w:bCs/>
                      <w:szCs w:val="21"/>
                    </w:rPr>
                    <w:t>功能说明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8" w:type="dxa"/>
                  <w:tcBorders>
                    <w:tl2br w:val="nil"/>
                    <w:tr2bl w:val="nil"/>
                  </w:tcBorders>
                  <w:vAlign w:val="center"/>
                </w:tcPr>
                <w:p>
                  <w:pPr>
                    <w:jc w:val="center"/>
                    <w:rPr>
                      <w:rFonts w:eastAsiaTheme="minorEastAsia"/>
                      <w:bCs/>
                      <w:szCs w:val="21"/>
                    </w:rPr>
                  </w:pPr>
                  <w:r>
                    <w:rPr>
                      <w:rFonts w:eastAsiaTheme="minorEastAsia"/>
                      <w:bCs/>
                      <w:szCs w:val="21"/>
                    </w:rPr>
                    <w:t>1</w:t>
                  </w:r>
                </w:p>
              </w:tc>
              <w:tc>
                <w:tcPr>
                  <w:tcW w:w="1770" w:type="dxa"/>
                  <w:tcBorders>
                    <w:tl2br w:val="nil"/>
                    <w:tr2bl w:val="nil"/>
                  </w:tcBorders>
                  <w:vAlign w:val="center"/>
                </w:tcPr>
                <w:p>
                  <w:pPr>
                    <w:jc w:val="center"/>
                    <w:rPr>
                      <w:rFonts w:eastAsiaTheme="minorEastAsia"/>
                      <w:bCs/>
                      <w:szCs w:val="21"/>
                    </w:rPr>
                  </w:pPr>
                  <w:r>
                    <w:rPr>
                      <w:rFonts w:eastAsiaTheme="minorEastAsia"/>
                      <w:bCs/>
                      <w:szCs w:val="21"/>
                    </w:rPr>
                    <w:t>污水排放口</w:t>
                  </w:r>
                </w:p>
              </w:tc>
              <w:tc>
                <w:tcPr>
                  <w:tcW w:w="2364" w:type="dxa"/>
                  <w:tcBorders>
                    <w:tl2br w:val="nil"/>
                    <w:tr2bl w:val="nil"/>
                  </w:tcBorders>
                  <w:vAlign w:val="center"/>
                </w:tcPr>
                <w:p>
                  <w:pPr>
                    <w:jc w:val="center"/>
                    <w:rPr>
                      <w:rFonts w:eastAsiaTheme="minorEastAsia"/>
                      <w:bCs/>
                      <w:szCs w:val="21"/>
                    </w:rPr>
                  </w:pPr>
                  <w:r>
                    <w:rPr>
                      <w:rFonts w:eastAsiaTheme="minorEastAsia"/>
                      <w:szCs w:val="21"/>
                    </w:rPr>
                    <w:drawing>
                      <wp:inline distT="0" distB="0" distL="114300" distR="114300">
                        <wp:extent cx="942340" cy="942340"/>
                        <wp:effectExtent l="0" t="0" r="10160" b="1016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9" cstate="print"/>
                                <a:stretch>
                                  <a:fillRect/>
                                </a:stretch>
                              </pic:blipFill>
                              <pic:spPr>
                                <a:xfrm>
                                  <a:off x="0" y="0"/>
                                  <a:ext cx="942340" cy="942340"/>
                                </a:xfrm>
                                <a:prstGeom prst="rect">
                                  <a:avLst/>
                                </a:prstGeom>
                                <a:noFill/>
                                <a:ln w="9525">
                                  <a:noFill/>
                                </a:ln>
                              </pic:spPr>
                            </pic:pic>
                          </a:graphicData>
                        </a:graphic>
                      </wp:inline>
                    </w:drawing>
                  </w:r>
                </w:p>
              </w:tc>
              <w:tc>
                <w:tcPr>
                  <w:tcW w:w="1701" w:type="dxa"/>
                  <w:tcBorders>
                    <w:tl2br w:val="nil"/>
                    <w:tr2bl w:val="nil"/>
                  </w:tcBorders>
                  <w:vAlign w:val="center"/>
                </w:tcPr>
                <w:p>
                  <w:pPr>
                    <w:jc w:val="center"/>
                    <w:rPr>
                      <w:rFonts w:eastAsiaTheme="minorEastAsia"/>
                      <w:bCs/>
                      <w:szCs w:val="21"/>
                    </w:rPr>
                  </w:pPr>
                  <w:r>
                    <w:rPr>
                      <w:rFonts w:eastAsiaTheme="minorEastAsia"/>
                      <w:szCs w:val="21"/>
                    </w:rPr>
                    <w:drawing>
                      <wp:inline distT="0" distB="0" distL="114300" distR="114300">
                        <wp:extent cx="942340" cy="809625"/>
                        <wp:effectExtent l="0" t="0" r="10160" b="952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0" cstate="print"/>
                                <a:stretch>
                                  <a:fillRect/>
                                </a:stretch>
                              </pic:blipFill>
                              <pic:spPr>
                                <a:xfrm>
                                  <a:off x="0" y="0"/>
                                  <a:ext cx="942340" cy="809625"/>
                                </a:xfrm>
                                <a:prstGeom prst="rect">
                                  <a:avLst/>
                                </a:prstGeom>
                                <a:noFill/>
                                <a:ln w="9525">
                                  <a:noFill/>
                                </a:ln>
                              </pic:spPr>
                            </pic:pic>
                          </a:graphicData>
                        </a:graphic>
                      </wp:inline>
                    </w:drawing>
                  </w:r>
                </w:p>
              </w:tc>
              <w:tc>
                <w:tcPr>
                  <w:tcW w:w="1701" w:type="dxa"/>
                  <w:tcBorders>
                    <w:tl2br w:val="nil"/>
                    <w:tr2bl w:val="nil"/>
                  </w:tcBorders>
                  <w:vAlign w:val="center"/>
                </w:tcPr>
                <w:p>
                  <w:pPr>
                    <w:jc w:val="center"/>
                    <w:rPr>
                      <w:rFonts w:eastAsiaTheme="minorEastAsia"/>
                      <w:bCs/>
                      <w:szCs w:val="21"/>
                    </w:rPr>
                  </w:pPr>
                  <w:r>
                    <w:rPr>
                      <w:rFonts w:hint="eastAsia" w:eastAsiaTheme="minorEastAsia"/>
                      <w:bCs/>
                      <w:szCs w:val="21"/>
                    </w:rPr>
                    <w:t>表示污水向水体排放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8" w:type="dxa"/>
                  <w:tcBorders>
                    <w:tl2br w:val="nil"/>
                    <w:tr2bl w:val="nil"/>
                  </w:tcBorders>
                  <w:vAlign w:val="center"/>
                </w:tcPr>
                <w:p>
                  <w:pPr>
                    <w:jc w:val="center"/>
                    <w:rPr>
                      <w:rFonts w:eastAsiaTheme="minorEastAsia"/>
                      <w:bCs/>
                      <w:szCs w:val="21"/>
                    </w:rPr>
                  </w:pPr>
                  <w:r>
                    <w:rPr>
                      <w:rFonts w:eastAsiaTheme="minorEastAsia"/>
                      <w:bCs/>
                      <w:szCs w:val="21"/>
                    </w:rPr>
                    <w:t>2</w:t>
                  </w:r>
                </w:p>
              </w:tc>
              <w:tc>
                <w:tcPr>
                  <w:tcW w:w="1770" w:type="dxa"/>
                  <w:tcBorders>
                    <w:tl2br w:val="nil"/>
                    <w:tr2bl w:val="nil"/>
                  </w:tcBorders>
                  <w:vAlign w:val="center"/>
                </w:tcPr>
                <w:p>
                  <w:pPr>
                    <w:jc w:val="center"/>
                    <w:rPr>
                      <w:rFonts w:eastAsiaTheme="minorEastAsia"/>
                      <w:bCs/>
                      <w:szCs w:val="21"/>
                    </w:rPr>
                  </w:pPr>
                  <w:r>
                    <w:rPr>
                      <w:rFonts w:eastAsiaTheme="minorEastAsia"/>
                      <w:bCs/>
                      <w:szCs w:val="21"/>
                    </w:rPr>
                    <w:t>废气排放口</w:t>
                  </w:r>
                </w:p>
              </w:tc>
              <w:tc>
                <w:tcPr>
                  <w:tcW w:w="2364" w:type="dxa"/>
                  <w:tcBorders>
                    <w:tl2br w:val="nil"/>
                    <w:tr2bl w:val="nil"/>
                  </w:tcBorders>
                  <w:vAlign w:val="center"/>
                </w:tcPr>
                <w:p>
                  <w:pPr>
                    <w:jc w:val="center"/>
                    <w:rPr>
                      <w:rFonts w:eastAsiaTheme="minorEastAsia"/>
                      <w:bCs/>
                      <w:szCs w:val="21"/>
                    </w:rPr>
                  </w:pPr>
                  <w:r>
                    <w:rPr>
                      <w:rFonts w:eastAsiaTheme="minorEastAsia"/>
                      <w:bCs/>
                      <w:szCs w:val="21"/>
                    </w:rPr>
                    <w:drawing>
                      <wp:inline distT="0" distB="0" distL="114300" distR="114300">
                        <wp:extent cx="942340" cy="930910"/>
                        <wp:effectExtent l="0" t="0" r="10160" b="2540"/>
                        <wp:docPr id="5" name="图片 5" descr="1531720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31720425(1)"/>
                                <pic:cNvPicPr>
                                  <a:picLocks noChangeAspect="1"/>
                                </pic:cNvPicPr>
                              </pic:nvPicPr>
                              <pic:blipFill>
                                <a:blip r:embed="rId11" cstate="print"/>
                                <a:stretch>
                                  <a:fillRect/>
                                </a:stretch>
                              </pic:blipFill>
                              <pic:spPr>
                                <a:xfrm>
                                  <a:off x="0" y="0"/>
                                  <a:ext cx="942340" cy="930910"/>
                                </a:xfrm>
                                <a:prstGeom prst="rect">
                                  <a:avLst/>
                                </a:prstGeom>
                              </pic:spPr>
                            </pic:pic>
                          </a:graphicData>
                        </a:graphic>
                      </wp:inline>
                    </w:drawing>
                  </w:r>
                </w:p>
              </w:tc>
              <w:tc>
                <w:tcPr>
                  <w:tcW w:w="1701" w:type="dxa"/>
                  <w:tcBorders>
                    <w:tl2br w:val="nil"/>
                    <w:tr2bl w:val="nil"/>
                  </w:tcBorders>
                  <w:vAlign w:val="center"/>
                </w:tcPr>
                <w:p>
                  <w:pPr>
                    <w:jc w:val="center"/>
                    <w:rPr>
                      <w:rFonts w:eastAsiaTheme="minorEastAsia"/>
                      <w:bCs/>
                      <w:szCs w:val="21"/>
                    </w:rPr>
                  </w:pPr>
                  <w:r>
                    <w:rPr>
                      <w:rFonts w:eastAsiaTheme="minorEastAsia"/>
                      <w:szCs w:val="21"/>
                    </w:rPr>
                    <w:drawing>
                      <wp:inline distT="0" distB="0" distL="114300" distR="114300">
                        <wp:extent cx="942340" cy="858520"/>
                        <wp:effectExtent l="0" t="0" r="10160" b="1778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2" cstate="print"/>
                                <a:stretch>
                                  <a:fillRect/>
                                </a:stretch>
                              </pic:blipFill>
                              <pic:spPr>
                                <a:xfrm>
                                  <a:off x="0" y="0"/>
                                  <a:ext cx="942340" cy="858520"/>
                                </a:xfrm>
                                <a:prstGeom prst="rect">
                                  <a:avLst/>
                                </a:prstGeom>
                                <a:noFill/>
                                <a:ln w="9525">
                                  <a:noFill/>
                                </a:ln>
                              </pic:spPr>
                            </pic:pic>
                          </a:graphicData>
                        </a:graphic>
                      </wp:inline>
                    </w:drawing>
                  </w:r>
                </w:p>
              </w:tc>
              <w:tc>
                <w:tcPr>
                  <w:tcW w:w="1701" w:type="dxa"/>
                  <w:tcBorders>
                    <w:tl2br w:val="nil"/>
                    <w:tr2bl w:val="nil"/>
                  </w:tcBorders>
                  <w:vAlign w:val="center"/>
                </w:tcPr>
                <w:p>
                  <w:pPr>
                    <w:jc w:val="center"/>
                    <w:rPr>
                      <w:rFonts w:eastAsiaTheme="minorEastAsia"/>
                      <w:bCs/>
                      <w:szCs w:val="21"/>
                    </w:rPr>
                  </w:pPr>
                  <w:r>
                    <w:rPr>
                      <w:rFonts w:hint="eastAsia" w:eastAsiaTheme="minorEastAsia"/>
                      <w:bCs/>
                      <w:szCs w:val="21"/>
                    </w:rPr>
                    <w:t>表示废气向大气环境排放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8" w:type="dxa"/>
                  <w:tcBorders>
                    <w:tl2br w:val="nil"/>
                    <w:tr2bl w:val="nil"/>
                  </w:tcBorders>
                  <w:vAlign w:val="center"/>
                </w:tcPr>
                <w:p>
                  <w:pPr>
                    <w:jc w:val="center"/>
                    <w:rPr>
                      <w:rFonts w:eastAsiaTheme="minorEastAsia"/>
                      <w:bCs/>
                      <w:szCs w:val="21"/>
                    </w:rPr>
                  </w:pPr>
                  <w:r>
                    <w:rPr>
                      <w:rFonts w:eastAsiaTheme="minorEastAsia"/>
                      <w:bCs/>
                      <w:szCs w:val="21"/>
                    </w:rPr>
                    <w:t>3</w:t>
                  </w:r>
                </w:p>
              </w:tc>
              <w:tc>
                <w:tcPr>
                  <w:tcW w:w="1770" w:type="dxa"/>
                  <w:tcBorders>
                    <w:tl2br w:val="nil"/>
                    <w:tr2bl w:val="nil"/>
                  </w:tcBorders>
                  <w:vAlign w:val="center"/>
                </w:tcPr>
                <w:p>
                  <w:pPr>
                    <w:jc w:val="center"/>
                    <w:rPr>
                      <w:rFonts w:eastAsiaTheme="minorEastAsia"/>
                      <w:bCs/>
                      <w:szCs w:val="21"/>
                    </w:rPr>
                  </w:pPr>
                  <w:r>
                    <w:rPr>
                      <w:rFonts w:eastAsiaTheme="minorEastAsia"/>
                      <w:bCs/>
                      <w:szCs w:val="21"/>
                    </w:rPr>
                    <w:t>噪声排放源</w:t>
                  </w:r>
                </w:p>
              </w:tc>
              <w:tc>
                <w:tcPr>
                  <w:tcW w:w="2364" w:type="dxa"/>
                  <w:tcBorders>
                    <w:tl2br w:val="nil"/>
                    <w:tr2bl w:val="nil"/>
                  </w:tcBorders>
                  <w:vAlign w:val="center"/>
                </w:tcPr>
                <w:p>
                  <w:pPr>
                    <w:jc w:val="center"/>
                    <w:rPr>
                      <w:rFonts w:eastAsiaTheme="minorEastAsia"/>
                      <w:bCs/>
                      <w:szCs w:val="21"/>
                    </w:rPr>
                  </w:pPr>
                  <w:r>
                    <w:rPr>
                      <w:rFonts w:eastAsiaTheme="minorEastAsia"/>
                      <w:szCs w:val="21"/>
                    </w:rPr>
                    <w:drawing>
                      <wp:inline distT="0" distB="0" distL="114300" distR="114300">
                        <wp:extent cx="941705" cy="948055"/>
                        <wp:effectExtent l="0" t="0" r="10795" b="444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3" cstate="print"/>
                                <a:stretch>
                                  <a:fillRect/>
                                </a:stretch>
                              </pic:blipFill>
                              <pic:spPr>
                                <a:xfrm>
                                  <a:off x="0" y="0"/>
                                  <a:ext cx="941705" cy="948055"/>
                                </a:xfrm>
                                <a:prstGeom prst="rect">
                                  <a:avLst/>
                                </a:prstGeom>
                                <a:noFill/>
                                <a:ln w="9525">
                                  <a:noFill/>
                                </a:ln>
                              </pic:spPr>
                            </pic:pic>
                          </a:graphicData>
                        </a:graphic>
                      </wp:inline>
                    </w:drawing>
                  </w:r>
                </w:p>
              </w:tc>
              <w:tc>
                <w:tcPr>
                  <w:tcW w:w="1701" w:type="dxa"/>
                  <w:tcBorders>
                    <w:tl2br w:val="nil"/>
                    <w:tr2bl w:val="nil"/>
                  </w:tcBorders>
                  <w:vAlign w:val="center"/>
                </w:tcPr>
                <w:p>
                  <w:pPr>
                    <w:jc w:val="center"/>
                    <w:rPr>
                      <w:rFonts w:eastAsiaTheme="minorEastAsia"/>
                      <w:bCs/>
                      <w:szCs w:val="21"/>
                    </w:rPr>
                  </w:pPr>
                  <w:r>
                    <w:rPr>
                      <w:rFonts w:eastAsiaTheme="minorEastAsia"/>
                      <w:szCs w:val="21"/>
                    </w:rPr>
                    <w:drawing>
                      <wp:inline distT="0" distB="0" distL="114300" distR="114300">
                        <wp:extent cx="942975" cy="832485"/>
                        <wp:effectExtent l="0" t="0" r="9525" b="571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4" cstate="print"/>
                                <a:stretch>
                                  <a:fillRect/>
                                </a:stretch>
                              </pic:blipFill>
                              <pic:spPr>
                                <a:xfrm>
                                  <a:off x="0" y="0"/>
                                  <a:ext cx="942975" cy="832485"/>
                                </a:xfrm>
                                <a:prstGeom prst="rect">
                                  <a:avLst/>
                                </a:prstGeom>
                                <a:noFill/>
                                <a:ln w="9525">
                                  <a:noFill/>
                                </a:ln>
                              </pic:spPr>
                            </pic:pic>
                          </a:graphicData>
                        </a:graphic>
                      </wp:inline>
                    </w:drawing>
                  </w:r>
                </w:p>
              </w:tc>
              <w:tc>
                <w:tcPr>
                  <w:tcW w:w="1701" w:type="dxa"/>
                  <w:tcBorders>
                    <w:tl2br w:val="nil"/>
                    <w:tr2bl w:val="nil"/>
                  </w:tcBorders>
                  <w:vAlign w:val="center"/>
                </w:tcPr>
                <w:p>
                  <w:pPr>
                    <w:jc w:val="center"/>
                    <w:rPr>
                      <w:rFonts w:eastAsiaTheme="minorEastAsia"/>
                      <w:bCs/>
                      <w:szCs w:val="21"/>
                    </w:rPr>
                  </w:pPr>
                  <w:r>
                    <w:rPr>
                      <w:rFonts w:hint="eastAsia" w:eastAsiaTheme="minorEastAsia"/>
                      <w:bCs/>
                      <w:szCs w:val="21"/>
                    </w:rPr>
                    <w:t>表示噪声向外环境排放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8" w:type="dxa"/>
                  <w:tcBorders>
                    <w:tl2br w:val="nil"/>
                    <w:tr2bl w:val="nil"/>
                  </w:tcBorders>
                  <w:vAlign w:val="center"/>
                </w:tcPr>
                <w:p>
                  <w:pPr>
                    <w:jc w:val="center"/>
                    <w:rPr>
                      <w:rFonts w:eastAsiaTheme="minorEastAsia"/>
                      <w:bCs/>
                      <w:szCs w:val="21"/>
                    </w:rPr>
                  </w:pPr>
                  <w:r>
                    <w:rPr>
                      <w:rFonts w:eastAsiaTheme="minorEastAsia"/>
                      <w:bCs/>
                      <w:szCs w:val="21"/>
                    </w:rPr>
                    <w:t>4</w:t>
                  </w:r>
                </w:p>
              </w:tc>
              <w:tc>
                <w:tcPr>
                  <w:tcW w:w="1770" w:type="dxa"/>
                  <w:tcBorders>
                    <w:tl2br w:val="nil"/>
                    <w:tr2bl w:val="nil"/>
                  </w:tcBorders>
                  <w:vAlign w:val="center"/>
                </w:tcPr>
                <w:p>
                  <w:pPr>
                    <w:jc w:val="center"/>
                    <w:rPr>
                      <w:rFonts w:eastAsiaTheme="minorEastAsia"/>
                      <w:bCs/>
                      <w:szCs w:val="21"/>
                    </w:rPr>
                  </w:pPr>
                  <w:r>
                    <w:rPr>
                      <w:rFonts w:eastAsiaTheme="minorEastAsia"/>
                      <w:bCs/>
                      <w:szCs w:val="21"/>
                    </w:rPr>
                    <w:t>一般固体废物</w:t>
                  </w:r>
                </w:p>
              </w:tc>
              <w:tc>
                <w:tcPr>
                  <w:tcW w:w="2364" w:type="dxa"/>
                  <w:tcBorders>
                    <w:tl2br w:val="nil"/>
                    <w:tr2bl w:val="nil"/>
                  </w:tcBorders>
                  <w:vAlign w:val="center"/>
                </w:tcPr>
                <w:p>
                  <w:pPr>
                    <w:jc w:val="center"/>
                    <w:rPr>
                      <w:rFonts w:eastAsiaTheme="minorEastAsia"/>
                      <w:bCs/>
                      <w:szCs w:val="21"/>
                    </w:rPr>
                  </w:pPr>
                  <w:r>
                    <w:rPr>
                      <w:rFonts w:eastAsiaTheme="minorEastAsia"/>
                      <w:szCs w:val="21"/>
                    </w:rPr>
                    <w:drawing>
                      <wp:inline distT="0" distB="0" distL="114300" distR="114300">
                        <wp:extent cx="942975" cy="942975"/>
                        <wp:effectExtent l="0" t="0" r="9525" b="952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5" cstate="print"/>
                                <a:stretch>
                                  <a:fillRect/>
                                </a:stretch>
                              </pic:blipFill>
                              <pic:spPr>
                                <a:xfrm>
                                  <a:off x="0" y="0"/>
                                  <a:ext cx="942975" cy="942975"/>
                                </a:xfrm>
                                <a:prstGeom prst="rect">
                                  <a:avLst/>
                                </a:prstGeom>
                                <a:noFill/>
                                <a:ln w="9525">
                                  <a:noFill/>
                                </a:ln>
                              </pic:spPr>
                            </pic:pic>
                          </a:graphicData>
                        </a:graphic>
                      </wp:inline>
                    </w:drawing>
                  </w:r>
                </w:p>
              </w:tc>
              <w:tc>
                <w:tcPr>
                  <w:tcW w:w="1701" w:type="dxa"/>
                  <w:tcBorders>
                    <w:tl2br w:val="nil"/>
                    <w:tr2bl w:val="nil"/>
                  </w:tcBorders>
                  <w:vAlign w:val="center"/>
                </w:tcPr>
                <w:p>
                  <w:pPr>
                    <w:jc w:val="center"/>
                    <w:rPr>
                      <w:rFonts w:eastAsiaTheme="minorEastAsia"/>
                      <w:bCs/>
                      <w:szCs w:val="21"/>
                    </w:rPr>
                  </w:pPr>
                  <w:r>
                    <w:rPr>
                      <w:rFonts w:eastAsiaTheme="minorEastAsia"/>
                      <w:szCs w:val="21"/>
                    </w:rPr>
                    <w:drawing>
                      <wp:inline distT="0" distB="0" distL="114300" distR="114300">
                        <wp:extent cx="942340" cy="834390"/>
                        <wp:effectExtent l="0" t="0" r="10160" b="381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6" cstate="print"/>
                                <a:stretch>
                                  <a:fillRect/>
                                </a:stretch>
                              </pic:blipFill>
                              <pic:spPr>
                                <a:xfrm>
                                  <a:off x="0" y="0"/>
                                  <a:ext cx="942340" cy="834390"/>
                                </a:xfrm>
                                <a:prstGeom prst="rect">
                                  <a:avLst/>
                                </a:prstGeom>
                                <a:noFill/>
                                <a:ln w="9525">
                                  <a:noFill/>
                                </a:ln>
                              </pic:spPr>
                            </pic:pic>
                          </a:graphicData>
                        </a:graphic>
                      </wp:inline>
                    </w:drawing>
                  </w:r>
                </w:p>
              </w:tc>
              <w:tc>
                <w:tcPr>
                  <w:tcW w:w="1701" w:type="dxa"/>
                  <w:tcBorders>
                    <w:tl2br w:val="nil"/>
                    <w:tr2bl w:val="nil"/>
                  </w:tcBorders>
                  <w:vAlign w:val="center"/>
                </w:tcPr>
                <w:p>
                  <w:pPr>
                    <w:jc w:val="center"/>
                    <w:rPr>
                      <w:rFonts w:eastAsiaTheme="minorEastAsia"/>
                      <w:bCs/>
                      <w:szCs w:val="21"/>
                    </w:rPr>
                  </w:pPr>
                  <w:r>
                    <w:rPr>
                      <w:rFonts w:hint="eastAsia" w:eastAsiaTheme="minorEastAsia"/>
                      <w:bCs/>
                      <w:szCs w:val="21"/>
                    </w:rPr>
                    <w:t>表示一般固体废物贮存、处置场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8" w:type="dxa"/>
                  <w:tcBorders>
                    <w:tl2br w:val="nil"/>
                    <w:tr2bl w:val="nil"/>
                  </w:tcBorders>
                  <w:vAlign w:val="center"/>
                </w:tcPr>
                <w:p>
                  <w:pPr>
                    <w:jc w:val="center"/>
                    <w:rPr>
                      <w:rFonts w:eastAsiaTheme="minorEastAsia"/>
                      <w:bCs/>
                      <w:szCs w:val="21"/>
                    </w:rPr>
                  </w:pPr>
                  <w:r>
                    <w:rPr>
                      <w:rFonts w:eastAsiaTheme="minorEastAsia"/>
                      <w:bCs/>
                      <w:szCs w:val="21"/>
                    </w:rPr>
                    <w:t>5</w:t>
                  </w:r>
                </w:p>
              </w:tc>
              <w:tc>
                <w:tcPr>
                  <w:tcW w:w="1770" w:type="dxa"/>
                  <w:tcBorders>
                    <w:tl2br w:val="nil"/>
                    <w:tr2bl w:val="nil"/>
                  </w:tcBorders>
                  <w:vAlign w:val="center"/>
                </w:tcPr>
                <w:p>
                  <w:pPr>
                    <w:jc w:val="center"/>
                    <w:rPr>
                      <w:rFonts w:eastAsiaTheme="minorEastAsia"/>
                      <w:bCs/>
                      <w:szCs w:val="21"/>
                    </w:rPr>
                  </w:pPr>
                  <w:r>
                    <w:rPr>
                      <w:rFonts w:eastAsiaTheme="minorEastAsia"/>
                      <w:bCs/>
                      <w:szCs w:val="21"/>
                    </w:rPr>
                    <w:t>危险废物</w:t>
                  </w:r>
                </w:p>
              </w:tc>
              <w:tc>
                <w:tcPr>
                  <w:tcW w:w="2364" w:type="dxa"/>
                  <w:tcBorders>
                    <w:tl2br w:val="nil"/>
                    <w:tr2bl w:val="nil"/>
                  </w:tcBorders>
                  <w:vAlign w:val="center"/>
                </w:tcPr>
                <w:p>
                  <w:pPr>
                    <w:jc w:val="center"/>
                    <w:rPr>
                      <w:rFonts w:eastAsiaTheme="minorEastAsia"/>
                      <w:bCs/>
                      <w:szCs w:val="21"/>
                    </w:rPr>
                  </w:pPr>
                </w:p>
              </w:tc>
              <w:tc>
                <w:tcPr>
                  <w:tcW w:w="1701" w:type="dxa"/>
                  <w:tcBorders>
                    <w:tl2br w:val="nil"/>
                    <w:tr2bl w:val="nil"/>
                  </w:tcBorders>
                  <w:vAlign w:val="center"/>
                </w:tcPr>
                <w:p>
                  <w:pPr>
                    <w:jc w:val="center"/>
                    <w:rPr>
                      <w:rFonts w:eastAsiaTheme="minorEastAsia"/>
                      <w:bCs/>
                      <w:szCs w:val="21"/>
                    </w:rPr>
                  </w:pPr>
                  <w:r>
                    <w:rPr>
                      <w:rFonts w:eastAsiaTheme="minorEastAsia"/>
                      <w:szCs w:val="21"/>
                    </w:rPr>
                    <w:drawing>
                      <wp:inline distT="0" distB="0" distL="114300" distR="114300">
                        <wp:extent cx="942340" cy="813435"/>
                        <wp:effectExtent l="0" t="0" r="10160" b="5715"/>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7" cstate="print"/>
                                <a:stretch>
                                  <a:fillRect/>
                                </a:stretch>
                              </pic:blipFill>
                              <pic:spPr>
                                <a:xfrm>
                                  <a:off x="0" y="0"/>
                                  <a:ext cx="942340" cy="813435"/>
                                </a:xfrm>
                                <a:prstGeom prst="rect">
                                  <a:avLst/>
                                </a:prstGeom>
                                <a:noFill/>
                                <a:ln w="9525">
                                  <a:noFill/>
                                </a:ln>
                              </pic:spPr>
                            </pic:pic>
                          </a:graphicData>
                        </a:graphic>
                      </wp:inline>
                    </w:drawing>
                  </w:r>
                </w:p>
              </w:tc>
              <w:tc>
                <w:tcPr>
                  <w:tcW w:w="1701" w:type="dxa"/>
                  <w:tcBorders>
                    <w:tl2br w:val="nil"/>
                    <w:tr2bl w:val="nil"/>
                  </w:tcBorders>
                  <w:vAlign w:val="center"/>
                </w:tcPr>
                <w:p>
                  <w:pPr>
                    <w:jc w:val="center"/>
                    <w:rPr>
                      <w:rFonts w:eastAsiaTheme="minorEastAsia"/>
                      <w:bCs/>
                      <w:szCs w:val="21"/>
                    </w:rPr>
                  </w:pPr>
                  <w:r>
                    <w:rPr>
                      <w:rFonts w:hint="eastAsia" w:eastAsiaTheme="minorEastAsia"/>
                      <w:bCs/>
                      <w:szCs w:val="21"/>
                    </w:rPr>
                    <w:t>表示危险废物贮存、处置场</w:t>
                  </w:r>
                </w:p>
              </w:tc>
            </w:tr>
          </w:tbl>
          <w:p>
            <w:pPr>
              <w:keepNext w:val="0"/>
              <w:keepLines w:val="0"/>
              <w:pageBreakBefore w:val="0"/>
              <w:widowControl w:val="0"/>
              <w:kinsoku/>
              <w:wordWrap/>
              <w:overflowPunct/>
              <w:topLinePunct w:val="0"/>
              <w:autoSpaceDE/>
              <w:autoSpaceDN/>
              <w:bidi w:val="0"/>
              <w:adjustRightInd/>
              <w:snapToGrid/>
              <w:spacing w:line="480" w:lineRule="auto"/>
              <w:textAlignment w:val="auto"/>
              <w:rPr>
                <w:b/>
                <w:sz w:val="24"/>
              </w:rPr>
            </w:pPr>
            <w:r>
              <w:rPr>
                <w:rFonts w:hint="eastAsia"/>
                <w:b/>
                <w:sz w:val="24"/>
                <w:lang w:eastAsia="zh-CN"/>
              </w:rPr>
              <w:t>七</w:t>
            </w:r>
            <w:r>
              <w:rPr>
                <w:b/>
                <w:sz w:val="24"/>
              </w:rPr>
              <w:t>、</w:t>
            </w:r>
            <w:r>
              <w:rPr>
                <w:b/>
                <w:bCs/>
                <w:sz w:val="24"/>
              </w:rPr>
              <w:t>环保投资概算及环保设施验收</w:t>
            </w:r>
          </w:p>
          <w:p>
            <w:pPr>
              <w:spacing w:line="360" w:lineRule="auto"/>
              <w:ind w:firstLine="480" w:firstLineChars="200"/>
              <w:rPr>
                <w:rFonts w:eastAsia="黑体"/>
                <w:sz w:val="24"/>
              </w:rPr>
            </w:pPr>
            <w:r>
              <w:rPr>
                <w:sz w:val="24"/>
              </w:rPr>
              <w:t>本项目总投资为</w:t>
            </w:r>
            <w:r>
              <w:rPr>
                <w:rFonts w:hint="eastAsia"/>
                <w:sz w:val="24"/>
                <w:lang w:val="en-US" w:eastAsia="zh-CN"/>
              </w:rPr>
              <w:t>80</w:t>
            </w:r>
            <w:r>
              <w:rPr>
                <w:rFonts w:hint="eastAsia"/>
                <w:sz w:val="24"/>
              </w:rPr>
              <w:t>万元</w:t>
            </w:r>
            <w:r>
              <w:rPr>
                <w:sz w:val="24"/>
              </w:rPr>
              <w:t>，环保投资</w:t>
            </w:r>
            <w:r>
              <w:rPr>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22.4</w:t>
            </w:r>
            <w:r>
              <w:rPr>
                <w:color w:val="000000" w:themeColor="text1"/>
                <w:sz w:val="24"/>
                <w14:textFill>
                  <w14:solidFill>
                    <w14:schemeClr w14:val="tx1"/>
                  </w14:solidFill>
                </w14:textFill>
              </w:rPr>
              <w:t>万元，占总投资的</w:t>
            </w:r>
            <w:r>
              <w:rPr>
                <w:rFonts w:hint="eastAsia"/>
                <w:color w:val="000000" w:themeColor="text1"/>
                <w:sz w:val="24"/>
                <w:lang w:val="en-US" w:eastAsia="zh-CN"/>
                <w14:textFill>
                  <w14:solidFill>
                    <w14:schemeClr w14:val="tx1"/>
                  </w14:solidFill>
                </w14:textFill>
              </w:rPr>
              <w:t>28</w:t>
            </w:r>
            <w:r>
              <w:rPr>
                <w:color w:val="000000" w:themeColor="text1"/>
                <w:sz w:val="24"/>
                <w14:textFill>
                  <w14:solidFill>
                    <w14:schemeClr w14:val="tx1"/>
                  </w14:solidFill>
                </w14:textFill>
              </w:rPr>
              <w:t>％</w:t>
            </w:r>
            <w:r>
              <w:rPr>
                <w:sz w:val="24"/>
              </w:rPr>
              <w:t>。环保投资</w:t>
            </w:r>
            <w:r>
              <w:rPr>
                <w:kern w:val="0"/>
                <w:sz w:val="24"/>
              </w:rPr>
              <w:t>详见下表</w:t>
            </w:r>
            <w:r>
              <w:rPr>
                <w:rFonts w:hint="eastAsia"/>
                <w:kern w:val="0"/>
                <w:sz w:val="24"/>
                <w:lang w:val="en-US" w:eastAsia="zh-CN"/>
              </w:rPr>
              <w:t>36</w:t>
            </w:r>
            <w:r>
              <w:rPr>
                <w:kern w:val="0"/>
                <w:sz w:val="24"/>
              </w:rPr>
              <w:t>，环保竣工验收内容及执行标准见表</w:t>
            </w:r>
            <w:r>
              <w:rPr>
                <w:rFonts w:hint="eastAsia"/>
                <w:kern w:val="0"/>
                <w:sz w:val="24"/>
                <w:lang w:val="en-US" w:eastAsia="zh-CN"/>
              </w:rPr>
              <w:t>37</w:t>
            </w:r>
            <w:r>
              <w:rPr>
                <w:kern w:val="0"/>
                <w:sz w:val="24"/>
              </w:rPr>
              <w:t>。</w:t>
            </w:r>
          </w:p>
          <w:p>
            <w:pPr>
              <w:jc w:val="center"/>
              <w:rPr>
                <w:rFonts w:eastAsia="黑体"/>
                <w:sz w:val="24"/>
              </w:rPr>
            </w:pPr>
            <w:r>
              <w:rPr>
                <w:rFonts w:eastAsia="黑体"/>
                <w:sz w:val="24"/>
              </w:rPr>
              <w:t>表</w:t>
            </w:r>
            <w:r>
              <w:rPr>
                <w:rFonts w:hint="eastAsia" w:eastAsia="黑体"/>
                <w:sz w:val="24"/>
                <w:lang w:val="en-US" w:eastAsia="zh-CN"/>
              </w:rPr>
              <w:t>36</w:t>
            </w:r>
            <w:r>
              <w:rPr>
                <w:rFonts w:eastAsia="黑体"/>
                <w:sz w:val="24"/>
              </w:rPr>
              <w:t xml:space="preserve">  项目环保投资一览表</w:t>
            </w:r>
          </w:p>
          <w:tbl>
            <w:tblPr>
              <w:tblStyle w:val="23"/>
              <w:tblW w:w="8504" w:type="dxa"/>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728"/>
              <w:gridCol w:w="1576"/>
              <w:gridCol w:w="1499"/>
              <w:gridCol w:w="2062"/>
              <w:gridCol w:w="1088"/>
              <w:gridCol w:w="1551"/>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728" w:type="dxa"/>
                  <w:tcBorders>
                    <w:tl2br w:val="nil"/>
                    <w:tr2bl w:val="nil"/>
                  </w:tcBorders>
                  <w:vAlign w:val="center"/>
                </w:tcPr>
                <w:p>
                  <w:pPr>
                    <w:jc w:val="center"/>
                    <w:rPr>
                      <w:bCs/>
                      <w:szCs w:val="21"/>
                    </w:rPr>
                  </w:pPr>
                  <w:r>
                    <w:rPr>
                      <w:bCs/>
                      <w:szCs w:val="21"/>
                    </w:rPr>
                    <w:t>类别</w:t>
                  </w:r>
                </w:p>
              </w:tc>
              <w:tc>
                <w:tcPr>
                  <w:tcW w:w="1576" w:type="dxa"/>
                  <w:tcBorders>
                    <w:tl2br w:val="nil"/>
                    <w:tr2bl w:val="nil"/>
                  </w:tcBorders>
                  <w:vAlign w:val="center"/>
                </w:tcPr>
                <w:p>
                  <w:pPr>
                    <w:jc w:val="center"/>
                    <w:rPr>
                      <w:bCs/>
                      <w:szCs w:val="21"/>
                    </w:rPr>
                  </w:pPr>
                  <w:r>
                    <w:rPr>
                      <w:bCs/>
                      <w:szCs w:val="21"/>
                    </w:rPr>
                    <w:t>污染源</w:t>
                  </w:r>
                </w:p>
              </w:tc>
              <w:tc>
                <w:tcPr>
                  <w:tcW w:w="1499" w:type="dxa"/>
                  <w:tcBorders>
                    <w:tl2br w:val="nil"/>
                    <w:tr2bl w:val="nil"/>
                  </w:tcBorders>
                  <w:vAlign w:val="center"/>
                </w:tcPr>
                <w:p>
                  <w:pPr>
                    <w:jc w:val="center"/>
                    <w:rPr>
                      <w:bCs/>
                      <w:szCs w:val="21"/>
                    </w:rPr>
                  </w:pPr>
                  <w:r>
                    <w:rPr>
                      <w:bCs/>
                      <w:szCs w:val="21"/>
                    </w:rPr>
                    <w:t>污染物</w:t>
                  </w:r>
                </w:p>
              </w:tc>
              <w:tc>
                <w:tcPr>
                  <w:tcW w:w="3150" w:type="dxa"/>
                  <w:gridSpan w:val="2"/>
                  <w:tcBorders>
                    <w:tl2br w:val="nil"/>
                    <w:tr2bl w:val="nil"/>
                  </w:tcBorders>
                  <w:vAlign w:val="center"/>
                </w:tcPr>
                <w:p>
                  <w:pPr>
                    <w:jc w:val="center"/>
                    <w:rPr>
                      <w:bCs/>
                      <w:szCs w:val="21"/>
                    </w:rPr>
                  </w:pPr>
                  <w:r>
                    <w:rPr>
                      <w:bCs/>
                      <w:szCs w:val="21"/>
                    </w:rPr>
                    <w:t>环保措施</w:t>
                  </w:r>
                </w:p>
              </w:tc>
              <w:tc>
                <w:tcPr>
                  <w:tcW w:w="1551" w:type="dxa"/>
                  <w:tcBorders>
                    <w:tl2br w:val="nil"/>
                    <w:tr2bl w:val="nil"/>
                  </w:tcBorders>
                  <w:vAlign w:val="center"/>
                </w:tcPr>
                <w:p>
                  <w:pPr>
                    <w:jc w:val="center"/>
                    <w:rPr>
                      <w:bCs/>
                      <w:szCs w:val="21"/>
                    </w:rPr>
                  </w:pPr>
                  <w:r>
                    <w:rPr>
                      <w:bCs/>
                      <w:szCs w:val="21"/>
                    </w:rPr>
                    <w:t>投资</w:t>
                  </w:r>
                </w:p>
                <w:p>
                  <w:pPr>
                    <w:jc w:val="center"/>
                    <w:rPr>
                      <w:bCs/>
                      <w:szCs w:val="21"/>
                    </w:rPr>
                  </w:pPr>
                  <w:r>
                    <w:rPr>
                      <w:bCs/>
                      <w:szCs w:val="21"/>
                    </w:rPr>
                    <w:t>（万元）</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restart"/>
                  <w:tcBorders>
                    <w:tl2br w:val="nil"/>
                    <w:tr2bl w:val="nil"/>
                  </w:tcBorders>
                  <w:vAlign w:val="center"/>
                </w:tcPr>
                <w:p>
                  <w:pPr>
                    <w:jc w:val="center"/>
                    <w:rPr>
                      <w:bCs/>
                      <w:szCs w:val="21"/>
                    </w:rPr>
                  </w:pPr>
                  <w:r>
                    <w:rPr>
                      <w:rFonts w:hint="eastAsia"/>
                      <w:bCs/>
                      <w:szCs w:val="21"/>
                    </w:rPr>
                    <w:t>废气</w:t>
                  </w:r>
                </w:p>
              </w:tc>
              <w:tc>
                <w:tcPr>
                  <w:tcW w:w="1576" w:type="dxa"/>
                  <w:tcBorders>
                    <w:bottom w:val="single" w:color="auto" w:sz="4" w:space="0"/>
                    <w:tl2br w:val="nil"/>
                    <w:tr2bl w:val="nil"/>
                  </w:tcBorders>
                  <w:vAlign w:val="center"/>
                </w:tcPr>
                <w:p>
                  <w:pPr>
                    <w:widowControl/>
                    <w:jc w:val="center"/>
                    <w:rPr>
                      <w:rFonts w:hint="eastAsia" w:eastAsia="宋体"/>
                      <w:bCs/>
                      <w:szCs w:val="21"/>
                      <w:lang w:eastAsia="zh-CN"/>
                    </w:rPr>
                  </w:pPr>
                  <w:r>
                    <w:rPr>
                      <w:rFonts w:hint="eastAsia"/>
                      <w:szCs w:val="21"/>
                    </w:rPr>
                    <w:t>注塑、吹塑</w:t>
                  </w:r>
                  <w:r>
                    <w:rPr>
                      <w:rFonts w:hint="eastAsia"/>
                      <w:szCs w:val="21"/>
                      <w:lang w:eastAsia="zh-CN"/>
                    </w:rPr>
                    <w:t>（</w:t>
                  </w:r>
                  <w:r>
                    <w:rPr>
                      <w:rFonts w:hint="eastAsia"/>
                      <w:szCs w:val="21"/>
                      <w:lang w:val="en-US" w:eastAsia="zh-CN"/>
                    </w:rPr>
                    <w:t>P1排放口</w:t>
                  </w:r>
                  <w:r>
                    <w:rPr>
                      <w:rFonts w:hint="eastAsia"/>
                      <w:szCs w:val="21"/>
                      <w:lang w:eastAsia="zh-CN"/>
                    </w:rPr>
                    <w:t>）</w:t>
                  </w:r>
                </w:p>
              </w:tc>
              <w:tc>
                <w:tcPr>
                  <w:tcW w:w="1499" w:type="dxa"/>
                  <w:tcBorders>
                    <w:bottom w:val="single" w:color="auto" w:sz="4" w:space="0"/>
                    <w:tl2br w:val="nil"/>
                    <w:tr2bl w:val="nil"/>
                  </w:tcBorders>
                  <w:vAlign w:val="center"/>
                </w:tcPr>
                <w:p>
                  <w:pPr>
                    <w:jc w:val="center"/>
                    <w:rPr>
                      <w:bCs/>
                      <w:szCs w:val="21"/>
                    </w:rPr>
                  </w:pPr>
                  <w:r>
                    <w:rPr>
                      <w:rFonts w:hint="eastAsia"/>
                      <w:bCs/>
                      <w:szCs w:val="21"/>
                    </w:rPr>
                    <w:t>非甲烷总烃</w:t>
                  </w:r>
                </w:p>
              </w:tc>
              <w:tc>
                <w:tcPr>
                  <w:tcW w:w="2062" w:type="dxa"/>
                  <w:tcBorders>
                    <w:bottom w:val="single" w:color="auto" w:sz="4" w:space="0"/>
                    <w:tl2br w:val="nil"/>
                    <w:tr2bl w:val="nil"/>
                  </w:tcBorders>
                  <w:vAlign w:val="center"/>
                </w:tcPr>
                <w:p>
                  <w:pPr>
                    <w:jc w:val="center"/>
                    <w:rPr>
                      <w:bCs/>
                      <w:szCs w:val="21"/>
                    </w:rPr>
                  </w:pPr>
                  <w:r>
                    <w:rPr>
                      <w:rFonts w:hint="eastAsia"/>
                      <w:bCs/>
                      <w:color w:val="000000" w:themeColor="text1"/>
                      <w:szCs w:val="21"/>
                      <w:lang w:val="en-US" w:eastAsia="zh-CN"/>
                      <w14:textFill>
                        <w14:solidFill>
                          <w14:schemeClr w14:val="tx1"/>
                        </w14:solidFill>
                      </w14:textFill>
                    </w:rPr>
                    <w:t>5</w:t>
                  </w:r>
                  <w:r>
                    <w:rPr>
                      <w:rFonts w:hint="eastAsia"/>
                      <w:bCs/>
                      <w:color w:val="000000" w:themeColor="text1"/>
                      <w:szCs w:val="21"/>
                      <w14:textFill>
                        <w14:solidFill>
                          <w14:schemeClr w14:val="tx1"/>
                        </w14:solidFill>
                      </w14:textFill>
                    </w:rPr>
                    <w:t>个集气罩、1套UV光催化氧化设备+活性炭吸附</w:t>
                  </w:r>
                  <w:r>
                    <w:rPr>
                      <w:rFonts w:hint="eastAsia"/>
                      <w:bCs/>
                      <w:szCs w:val="21"/>
                    </w:rPr>
                    <w:t>装置</w:t>
                  </w:r>
                </w:p>
              </w:tc>
              <w:tc>
                <w:tcPr>
                  <w:tcW w:w="1088" w:type="dxa"/>
                  <w:tcBorders>
                    <w:tl2br w:val="nil"/>
                    <w:tr2bl w:val="nil"/>
                  </w:tcBorders>
                  <w:vAlign w:val="center"/>
                </w:tcPr>
                <w:p>
                  <w:pPr>
                    <w:jc w:val="center"/>
                    <w:rPr>
                      <w:bCs/>
                      <w:szCs w:val="21"/>
                    </w:rPr>
                  </w:pPr>
                  <w:r>
                    <w:rPr>
                      <w:rFonts w:hint="eastAsia"/>
                      <w:bCs/>
                      <w:szCs w:val="21"/>
                      <w:lang w:val="en-US" w:eastAsia="zh-CN"/>
                    </w:rPr>
                    <w:t>P1:</w:t>
                  </w:r>
                  <w:r>
                    <w:rPr>
                      <w:rFonts w:hint="eastAsia"/>
                      <w:bCs/>
                      <w:szCs w:val="21"/>
                    </w:rPr>
                    <w:t>1根15m高排气筒</w:t>
                  </w:r>
                </w:p>
              </w:tc>
              <w:tc>
                <w:tcPr>
                  <w:tcW w:w="1551" w:type="dxa"/>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868" w:hRule="atLeast"/>
                <w:jc w:val="center"/>
              </w:trPr>
              <w:tc>
                <w:tcPr>
                  <w:tcW w:w="728" w:type="dxa"/>
                  <w:vMerge w:val="continue"/>
                  <w:tcBorders>
                    <w:tl2br w:val="nil"/>
                    <w:tr2bl w:val="nil"/>
                  </w:tcBorders>
                  <w:vAlign w:val="center"/>
                </w:tcPr>
                <w:p>
                  <w:pPr>
                    <w:jc w:val="center"/>
                    <w:rPr>
                      <w:bCs/>
                      <w:szCs w:val="21"/>
                    </w:rPr>
                  </w:pPr>
                </w:p>
              </w:tc>
              <w:tc>
                <w:tcPr>
                  <w:tcW w:w="1576" w:type="dxa"/>
                  <w:tcBorders>
                    <w:tl2br w:val="nil"/>
                    <w:tr2bl w:val="nil"/>
                  </w:tcBorders>
                  <w:vAlign w:val="center"/>
                </w:tcPr>
                <w:p>
                  <w:pPr>
                    <w:widowControl/>
                    <w:jc w:val="center"/>
                    <w:rPr>
                      <w:rFonts w:hint="eastAsia" w:eastAsia="宋体"/>
                      <w:szCs w:val="21"/>
                      <w:lang w:eastAsia="zh-CN"/>
                    </w:rPr>
                  </w:pPr>
                  <w:r>
                    <w:rPr>
                      <w:rFonts w:hint="eastAsia"/>
                      <w:szCs w:val="21"/>
                    </w:rPr>
                    <w:t>破碎</w:t>
                  </w:r>
                  <w:r>
                    <w:rPr>
                      <w:rFonts w:hint="eastAsia"/>
                      <w:szCs w:val="21"/>
                      <w:lang w:eastAsia="zh-CN"/>
                    </w:rPr>
                    <w:t>（</w:t>
                  </w:r>
                  <w:r>
                    <w:rPr>
                      <w:rFonts w:hint="eastAsia"/>
                      <w:szCs w:val="21"/>
                      <w:lang w:val="en-US" w:eastAsia="zh-CN"/>
                    </w:rPr>
                    <w:t>P2排放口</w:t>
                  </w:r>
                  <w:r>
                    <w:rPr>
                      <w:rFonts w:hint="eastAsia"/>
                      <w:szCs w:val="21"/>
                      <w:lang w:eastAsia="zh-CN"/>
                    </w:rPr>
                    <w:t>）</w:t>
                  </w:r>
                </w:p>
              </w:tc>
              <w:tc>
                <w:tcPr>
                  <w:tcW w:w="1499" w:type="dxa"/>
                  <w:tcBorders>
                    <w:tl2br w:val="nil"/>
                    <w:tr2bl w:val="nil"/>
                  </w:tcBorders>
                  <w:vAlign w:val="center"/>
                </w:tcPr>
                <w:p>
                  <w:pPr>
                    <w:jc w:val="center"/>
                    <w:rPr>
                      <w:bCs/>
                      <w:szCs w:val="21"/>
                    </w:rPr>
                  </w:pPr>
                  <w:r>
                    <w:rPr>
                      <w:rFonts w:hint="eastAsia"/>
                      <w:bCs/>
                      <w:szCs w:val="21"/>
                    </w:rPr>
                    <w:t>颗粒物</w:t>
                  </w:r>
                </w:p>
              </w:tc>
              <w:tc>
                <w:tcPr>
                  <w:tcW w:w="2062" w:type="dxa"/>
                  <w:tcBorders>
                    <w:tl2br w:val="nil"/>
                    <w:tr2bl w:val="nil"/>
                  </w:tcBorders>
                  <w:vAlign w:val="center"/>
                </w:tcPr>
                <w:p>
                  <w:pPr>
                    <w:jc w:val="center"/>
                    <w:rPr>
                      <w:bCs/>
                      <w:szCs w:val="21"/>
                    </w:rPr>
                  </w:pPr>
                  <w:r>
                    <w:rPr>
                      <w:rFonts w:hint="eastAsia"/>
                      <w:bCs/>
                      <w:szCs w:val="21"/>
                    </w:rPr>
                    <w:t>1个集气罩、一套袋式除尘器</w:t>
                  </w:r>
                </w:p>
              </w:tc>
              <w:tc>
                <w:tcPr>
                  <w:tcW w:w="1088" w:type="dxa"/>
                  <w:tcBorders>
                    <w:tl2br w:val="nil"/>
                    <w:tr2bl w:val="nil"/>
                  </w:tcBorders>
                  <w:vAlign w:val="center"/>
                </w:tcPr>
                <w:p>
                  <w:pPr>
                    <w:jc w:val="center"/>
                    <w:rPr>
                      <w:bCs/>
                      <w:szCs w:val="21"/>
                    </w:rPr>
                  </w:pPr>
                  <w:r>
                    <w:rPr>
                      <w:rFonts w:hint="eastAsia"/>
                      <w:bCs/>
                      <w:szCs w:val="21"/>
                      <w:lang w:val="en-US" w:eastAsia="zh-CN"/>
                    </w:rPr>
                    <w:t>P2:</w:t>
                  </w:r>
                  <w:r>
                    <w:rPr>
                      <w:rFonts w:hint="eastAsia"/>
                      <w:bCs/>
                      <w:szCs w:val="21"/>
                    </w:rPr>
                    <w:t>1根15m高排气筒</w:t>
                  </w:r>
                </w:p>
              </w:tc>
              <w:tc>
                <w:tcPr>
                  <w:tcW w:w="1551" w:type="dxa"/>
                  <w:tcBorders>
                    <w:tl2br w:val="nil"/>
                    <w:tr2bl w:val="nil"/>
                  </w:tcBorders>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728" w:type="dxa"/>
                  <w:tcBorders>
                    <w:tl2br w:val="nil"/>
                    <w:tr2bl w:val="nil"/>
                  </w:tcBorders>
                  <w:vAlign w:val="center"/>
                </w:tcPr>
                <w:p>
                  <w:pPr>
                    <w:jc w:val="center"/>
                    <w:rPr>
                      <w:szCs w:val="21"/>
                    </w:rPr>
                  </w:pPr>
                  <w:r>
                    <w:rPr>
                      <w:szCs w:val="21"/>
                    </w:rPr>
                    <w:t>废水</w:t>
                  </w:r>
                </w:p>
              </w:tc>
              <w:tc>
                <w:tcPr>
                  <w:tcW w:w="1576" w:type="dxa"/>
                  <w:tcBorders>
                    <w:tl2br w:val="nil"/>
                    <w:tr2bl w:val="nil"/>
                  </w:tcBorders>
                  <w:vAlign w:val="center"/>
                </w:tcPr>
                <w:p>
                  <w:pPr>
                    <w:jc w:val="center"/>
                    <w:rPr>
                      <w:szCs w:val="21"/>
                    </w:rPr>
                  </w:pPr>
                  <w:r>
                    <w:rPr>
                      <w:color w:val="000000"/>
                      <w:kern w:val="0"/>
                      <w:szCs w:val="21"/>
                    </w:rPr>
                    <w:t>生活污水</w:t>
                  </w:r>
                </w:p>
              </w:tc>
              <w:tc>
                <w:tcPr>
                  <w:tcW w:w="1499" w:type="dxa"/>
                  <w:tcBorders>
                    <w:tl2br w:val="nil"/>
                    <w:tr2bl w:val="nil"/>
                  </w:tcBorders>
                  <w:vAlign w:val="center"/>
                </w:tcPr>
                <w:p>
                  <w:pPr>
                    <w:jc w:val="center"/>
                    <w:rPr>
                      <w:szCs w:val="21"/>
                    </w:rPr>
                  </w:pPr>
                  <w:r>
                    <w:rPr>
                      <w:szCs w:val="21"/>
                    </w:rPr>
                    <w:t>COD、NH</w:t>
                  </w:r>
                  <w:r>
                    <w:rPr>
                      <w:szCs w:val="21"/>
                      <w:vertAlign w:val="subscript"/>
                    </w:rPr>
                    <w:t>3</w:t>
                  </w:r>
                  <w:r>
                    <w:rPr>
                      <w:szCs w:val="21"/>
                    </w:rPr>
                    <w:t>-N</w:t>
                  </w:r>
                  <w:r>
                    <w:rPr>
                      <w:rFonts w:hint="eastAsia"/>
                      <w:szCs w:val="21"/>
                    </w:rPr>
                    <w:t>、TP</w:t>
                  </w:r>
                </w:p>
              </w:tc>
              <w:tc>
                <w:tcPr>
                  <w:tcW w:w="3150" w:type="dxa"/>
                  <w:gridSpan w:val="2"/>
                  <w:tcBorders>
                    <w:tl2br w:val="nil"/>
                    <w:tr2bl w:val="nil"/>
                  </w:tcBorders>
                  <w:vAlign w:val="center"/>
                </w:tcPr>
                <w:p>
                  <w:pPr>
                    <w:jc w:val="center"/>
                    <w:rPr>
                      <w:szCs w:val="21"/>
                    </w:rPr>
                  </w:pPr>
                  <w:r>
                    <w:rPr>
                      <w:rFonts w:hint="eastAsia"/>
                      <w:color w:val="000000" w:themeColor="text1"/>
                      <w:kern w:val="0"/>
                      <w:szCs w:val="21"/>
                      <w14:textFill>
                        <w14:solidFill>
                          <w14:schemeClr w14:val="tx1"/>
                        </w14:solidFill>
                      </w14:textFill>
                    </w:rPr>
                    <w:t>经</w:t>
                  </w:r>
                  <w:r>
                    <w:rPr>
                      <w:color w:val="000000" w:themeColor="text1"/>
                      <w:kern w:val="0"/>
                      <w:szCs w:val="21"/>
                      <w14:textFill>
                        <w14:solidFill>
                          <w14:schemeClr w14:val="tx1"/>
                        </w14:solidFill>
                      </w14:textFill>
                    </w:rPr>
                    <w:t>化粪池</w:t>
                  </w:r>
                  <w:r>
                    <w:rPr>
                      <w:rFonts w:hint="eastAsia"/>
                      <w:color w:val="000000" w:themeColor="text1"/>
                      <w:kern w:val="0"/>
                      <w:szCs w:val="21"/>
                      <w14:textFill>
                        <w14:solidFill>
                          <w14:schemeClr w14:val="tx1"/>
                        </w14:solidFill>
                      </w14:textFill>
                    </w:rPr>
                    <w:t>处理后排入贾屯污水处理厂</w:t>
                  </w:r>
                </w:p>
              </w:tc>
              <w:tc>
                <w:tcPr>
                  <w:tcW w:w="155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0.2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728" w:type="dxa"/>
                  <w:tcBorders>
                    <w:tl2br w:val="nil"/>
                    <w:tr2bl w:val="nil"/>
                  </w:tcBorders>
                  <w:vAlign w:val="center"/>
                </w:tcPr>
                <w:p>
                  <w:pPr>
                    <w:jc w:val="center"/>
                    <w:rPr>
                      <w:szCs w:val="21"/>
                    </w:rPr>
                  </w:pPr>
                  <w:r>
                    <w:rPr>
                      <w:szCs w:val="21"/>
                    </w:rPr>
                    <w:t>噪声</w:t>
                  </w:r>
                </w:p>
              </w:tc>
              <w:tc>
                <w:tcPr>
                  <w:tcW w:w="1576" w:type="dxa"/>
                  <w:tcBorders>
                    <w:tl2br w:val="nil"/>
                    <w:tr2bl w:val="nil"/>
                  </w:tcBorders>
                  <w:vAlign w:val="center"/>
                </w:tcPr>
                <w:p>
                  <w:pPr>
                    <w:jc w:val="center"/>
                    <w:rPr>
                      <w:szCs w:val="21"/>
                    </w:rPr>
                  </w:pPr>
                  <w:r>
                    <w:rPr>
                      <w:rFonts w:hint="eastAsia"/>
                      <w:szCs w:val="21"/>
                    </w:rPr>
                    <w:t>高噪声</w:t>
                  </w:r>
                  <w:r>
                    <w:rPr>
                      <w:szCs w:val="21"/>
                    </w:rPr>
                    <w:t>设备</w:t>
                  </w:r>
                </w:p>
              </w:tc>
              <w:tc>
                <w:tcPr>
                  <w:tcW w:w="1499" w:type="dxa"/>
                  <w:tcBorders>
                    <w:tl2br w:val="nil"/>
                    <w:tr2bl w:val="nil"/>
                  </w:tcBorders>
                  <w:vAlign w:val="center"/>
                </w:tcPr>
                <w:p>
                  <w:pPr>
                    <w:jc w:val="center"/>
                    <w:rPr>
                      <w:szCs w:val="21"/>
                    </w:rPr>
                  </w:pPr>
                  <w:r>
                    <w:rPr>
                      <w:szCs w:val="21"/>
                    </w:rPr>
                    <w:t>噪声</w:t>
                  </w:r>
                </w:p>
              </w:tc>
              <w:tc>
                <w:tcPr>
                  <w:tcW w:w="3150" w:type="dxa"/>
                  <w:gridSpan w:val="2"/>
                  <w:tcBorders>
                    <w:tl2br w:val="nil"/>
                    <w:tr2bl w:val="nil"/>
                  </w:tcBorders>
                  <w:vAlign w:val="center"/>
                </w:tcPr>
                <w:p>
                  <w:pPr>
                    <w:jc w:val="center"/>
                    <w:rPr>
                      <w:szCs w:val="21"/>
                    </w:rPr>
                  </w:pPr>
                  <w:r>
                    <w:rPr>
                      <w:szCs w:val="21"/>
                    </w:rPr>
                    <w:t>高噪声设备减振基础、厂房隔声及距离衰减</w:t>
                  </w:r>
                </w:p>
              </w:tc>
              <w:tc>
                <w:tcPr>
                  <w:tcW w:w="155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restart"/>
                  <w:tcBorders>
                    <w:tl2br w:val="nil"/>
                    <w:tr2bl w:val="nil"/>
                  </w:tcBorders>
                  <w:vAlign w:val="center"/>
                </w:tcPr>
                <w:p>
                  <w:pPr>
                    <w:jc w:val="center"/>
                    <w:rPr>
                      <w:szCs w:val="21"/>
                    </w:rPr>
                  </w:pPr>
                  <w:r>
                    <w:rPr>
                      <w:szCs w:val="21"/>
                    </w:rPr>
                    <w:t>固废</w:t>
                  </w:r>
                </w:p>
              </w:tc>
              <w:tc>
                <w:tcPr>
                  <w:tcW w:w="1576" w:type="dxa"/>
                  <w:tcBorders>
                    <w:bottom w:val="single" w:color="auto" w:sz="4" w:space="0"/>
                    <w:tl2br w:val="nil"/>
                    <w:tr2bl w:val="nil"/>
                  </w:tcBorders>
                  <w:vAlign w:val="center"/>
                </w:tcPr>
                <w:p>
                  <w:pPr>
                    <w:jc w:val="center"/>
                    <w:rPr>
                      <w:szCs w:val="21"/>
                    </w:rPr>
                  </w:pPr>
                  <w:r>
                    <w:rPr>
                      <w:rFonts w:hint="eastAsia"/>
                      <w:snapToGrid w:val="0"/>
                      <w:kern w:val="0"/>
                      <w:szCs w:val="21"/>
                    </w:rPr>
                    <w:t>检验</w:t>
                  </w:r>
                </w:p>
              </w:tc>
              <w:tc>
                <w:tcPr>
                  <w:tcW w:w="1499" w:type="dxa"/>
                  <w:tcBorders>
                    <w:bottom w:val="single" w:color="auto" w:sz="4" w:space="0"/>
                    <w:tl2br w:val="nil"/>
                    <w:tr2bl w:val="nil"/>
                  </w:tcBorders>
                  <w:vAlign w:val="center"/>
                </w:tcPr>
                <w:p>
                  <w:pPr>
                    <w:jc w:val="center"/>
                    <w:rPr>
                      <w:szCs w:val="21"/>
                    </w:rPr>
                  </w:pPr>
                  <w:r>
                    <w:rPr>
                      <w:rFonts w:hint="eastAsia"/>
                      <w:szCs w:val="21"/>
                    </w:rPr>
                    <w:t>不合格品</w:t>
                  </w:r>
                </w:p>
              </w:tc>
              <w:tc>
                <w:tcPr>
                  <w:tcW w:w="2062" w:type="dxa"/>
                  <w:tcBorders>
                    <w:bottom w:val="single" w:color="auto" w:sz="4" w:space="0"/>
                    <w:tl2br w:val="nil"/>
                    <w:tr2bl w:val="nil"/>
                  </w:tcBorders>
                  <w:vAlign w:val="center"/>
                </w:tcPr>
                <w:p>
                  <w:pPr>
                    <w:jc w:val="center"/>
                    <w:rPr>
                      <w:color w:val="000000"/>
                      <w:szCs w:val="21"/>
                    </w:rPr>
                  </w:pPr>
                  <w:r>
                    <w:rPr>
                      <w:rFonts w:hint="eastAsia"/>
                      <w:snapToGrid w:val="0"/>
                      <w:color w:val="000000"/>
                      <w:kern w:val="0"/>
                      <w:szCs w:val="21"/>
                    </w:rPr>
                    <w:t>集中收集后外售</w:t>
                  </w:r>
                </w:p>
              </w:tc>
              <w:tc>
                <w:tcPr>
                  <w:tcW w:w="1088" w:type="dxa"/>
                  <w:tcBorders>
                    <w:tl2br w:val="nil"/>
                    <w:tr2bl w:val="nil"/>
                  </w:tcBorders>
                  <w:vAlign w:val="center"/>
                </w:tcPr>
                <w:p>
                  <w:pPr>
                    <w:jc w:val="center"/>
                    <w:rPr>
                      <w:szCs w:val="21"/>
                    </w:rPr>
                  </w:pPr>
                  <w:r>
                    <w:rPr>
                      <w:szCs w:val="21"/>
                    </w:rPr>
                    <w:t>设置一般固废暂存间</w:t>
                  </w:r>
                  <w:r>
                    <w:rPr>
                      <w:rFonts w:hint="eastAsia"/>
                      <w:szCs w:val="21"/>
                    </w:rPr>
                    <w:t>10</w:t>
                  </w:r>
                  <w:r>
                    <w:rPr>
                      <w:szCs w:val="21"/>
                    </w:rPr>
                    <w:t>m</w:t>
                  </w:r>
                  <w:r>
                    <w:rPr>
                      <w:szCs w:val="21"/>
                      <w:vertAlign w:val="superscript"/>
                    </w:rPr>
                    <w:t>2</w:t>
                  </w:r>
                </w:p>
              </w:tc>
              <w:tc>
                <w:tcPr>
                  <w:tcW w:w="1551"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l2br w:val="nil"/>
                    <w:tr2bl w:val="nil"/>
                  </w:tcBorders>
                  <w:vAlign w:val="center"/>
                </w:tcPr>
                <w:p>
                  <w:pPr>
                    <w:jc w:val="center"/>
                    <w:rPr>
                      <w:szCs w:val="21"/>
                    </w:rPr>
                  </w:pPr>
                </w:p>
              </w:tc>
              <w:tc>
                <w:tcPr>
                  <w:tcW w:w="1576" w:type="dxa"/>
                  <w:tcBorders>
                    <w:bottom w:val="single" w:color="auto" w:sz="4" w:space="0"/>
                    <w:tl2br w:val="nil"/>
                    <w:tr2bl w:val="nil"/>
                  </w:tcBorders>
                  <w:vAlign w:val="center"/>
                </w:tcPr>
                <w:p>
                  <w:pPr>
                    <w:adjustRightInd w:val="0"/>
                    <w:snapToGrid w:val="0"/>
                    <w:jc w:val="center"/>
                    <w:rPr>
                      <w:snapToGrid w:val="0"/>
                      <w:kern w:val="0"/>
                      <w:szCs w:val="21"/>
                    </w:rPr>
                  </w:pPr>
                  <w:r>
                    <w:rPr>
                      <w:rFonts w:hint="eastAsia"/>
                      <w:snapToGrid w:val="0"/>
                      <w:kern w:val="21"/>
                      <w:szCs w:val="21"/>
                    </w:rPr>
                    <w:t>活性炭吸附装置</w:t>
                  </w:r>
                </w:p>
              </w:tc>
              <w:tc>
                <w:tcPr>
                  <w:tcW w:w="1499" w:type="dxa"/>
                  <w:tcBorders>
                    <w:bottom w:val="single" w:color="auto" w:sz="4" w:space="0"/>
                    <w:tl2br w:val="nil"/>
                    <w:tr2bl w:val="nil"/>
                  </w:tcBorders>
                  <w:vAlign w:val="center"/>
                </w:tcPr>
                <w:p>
                  <w:pPr>
                    <w:adjustRightInd w:val="0"/>
                    <w:snapToGrid w:val="0"/>
                    <w:jc w:val="center"/>
                    <w:rPr>
                      <w:szCs w:val="21"/>
                    </w:rPr>
                  </w:pPr>
                  <w:r>
                    <w:rPr>
                      <w:rFonts w:hint="eastAsia"/>
                      <w:snapToGrid w:val="0"/>
                      <w:kern w:val="21"/>
                      <w:szCs w:val="21"/>
                    </w:rPr>
                    <w:t>废活性炭</w:t>
                  </w:r>
                </w:p>
              </w:tc>
              <w:tc>
                <w:tcPr>
                  <w:tcW w:w="2062" w:type="dxa"/>
                  <w:tcBorders>
                    <w:bottom w:val="single" w:color="auto" w:sz="4" w:space="0"/>
                    <w:tl2br w:val="nil"/>
                    <w:tr2bl w:val="nil"/>
                  </w:tcBorders>
                  <w:vAlign w:val="center"/>
                </w:tcPr>
                <w:p>
                  <w:pPr>
                    <w:adjustRightInd w:val="0"/>
                    <w:snapToGrid w:val="0"/>
                    <w:jc w:val="center"/>
                    <w:rPr>
                      <w:snapToGrid w:val="0"/>
                      <w:color w:val="000000"/>
                      <w:kern w:val="0"/>
                      <w:szCs w:val="21"/>
                    </w:rPr>
                  </w:pPr>
                  <w:r>
                    <w:rPr>
                      <w:rFonts w:hint="eastAsia"/>
                      <w:color w:val="000000"/>
                      <w:szCs w:val="21"/>
                    </w:rPr>
                    <w:t>专门容器收集</w:t>
                  </w:r>
                </w:p>
              </w:tc>
              <w:tc>
                <w:tcPr>
                  <w:tcW w:w="1088" w:type="dxa"/>
                  <w:vMerge w:val="restart"/>
                  <w:tcBorders>
                    <w:tl2br w:val="nil"/>
                    <w:tr2bl w:val="nil"/>
                  </w:tcBorders>
                  <w:vAlign w:val="center"/>
                </w:tcPr>
                <w:p>
                  <w:pPr>
                    <w:jc w:val="center"/>
                    <w:rPr>
                      <w:szCs w:val="21"/>
                    </w:rPr>
                  </w:pPr>
                  <w:r>
                    <w:rPr>
                      <w:rFonts w:hint="eastAsia"/>
                      <w:szCs w:val="21"/>
                    </w:rPr>
                    <w:t>由厂家更换时回收</w:t>
                  </w:r>
                </w:p>
              </w:tc>
              <w:tc>
                <w:tcPr>
                  <w:tcW w:w="1551"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l2br w:val="nil"/>
                    <w:tr2bl w:val="nil"/>
                  </w:tcBorders>
                  <w:vAlign w:val="center"/>
                </w:tcPr>
                <w:p>
                  <w:pPr>
                    <w:jc w:val="center"/>
                    <w:rPr>
                      <w:szCs w:val="21"/>
                    </w:rPr>
                  </w:pPr>
                </w:p>
              </w:tc>
              <w:tc>
                <w:tcPr>
                  <w:tcW w:w="1576" w:type="dxa"/>
                  <w:vMerge w:val="restart"/>
                  <w:tcBorders>
                    <w:top w:val="single" w:color="auto" w:sz="4" w:space="0"/>
                    <w:tl2br w:val="nil"/>
                    <w:tr2bl w:val="nil"/>
                  </w:tcBorders>
                  <w:vAlign w:val="center"/>
                </w:tcPr>
                <w:p>
                  <w:pPr>
                    <w:jc w:val="center"/>
                    <w:rPr>
                      <w:snapToGrid w:val="0"/>
                      <w:kern w:val="0"/>
                      <w:szCs w:val="21"/>
                    </w:rPr>
                  </w:pPr>
                  <w:r>
                    <w:rPr>
                      <w:rFonts w:hint="eastAsia"/>
                      <w:snapToGrid w:val="0"/>
                      <w:kern w:val="21"/>
                      <w:szCs w:val="21"/>
                    </w:rPr>
                    <w:t>UV光催化氧化设备</w:t>
                  </w:r>
                </w:p>
              </w:tc>
              <w:tc>
                <w:tcPr>
                  <w:tcW w:w="1499" w:type="dxa"/>
                  <w:tcBorders>
                    <w:top w:val="single" w:color="auto" w:sz="4" w:space="0"/>
                    <w:bottom w:val="single" w:color="auto" w:sz="4" w:space="0"/>
                    <w:tl2br w:val="nil"/>
                    <w:tr2bl w:val="nil"/>
                  </w:tcBorders>
                  <w:vAlign w:val="center"/>
                </w:tcPr>
                <w:p>
                  <w:pPr>
                    <w:jc w:val="center"/>
                    <w:rPr>
                      <w:snapToGrid w:val="0"/>
                      <w:kern w:val="21"/>
                      <w:szCs w:val="21"/>
                    </w:rPr>
                  </w:pPr>
                  <w:r>
                    <w:rPr>
                      <w:rFonts w:hint="eastAsia"/>
                      <w:snapToGrid w:val="0"/>
                      <w:kern w:val="21"/>
                      <w:szCs w:val="21"/>
                    </w:rPr>
                    <w:t>废催化板</w:t>
                  </w:r>
                </w:p>
              </w:tc>
              <w:tc>
                <w:tcPr>
                  <w:tcW w:w="2062" w:type="dxa"/>
                  <w:tcBorders>
                    <w:top w:val="single" w:color="auto" w:sz="4" w:space="0"/>
                    <w:bottom w:val="single" w:color="auto" w:sz="4" w:space="0"/>
                    <w:tl2br w:val="nil"/>
                    <w:tr2bl w:val="nil"/>
                  </w:tcBorders>
                  <w:vAlign w:val="center"/>
                </w:tcPr>
                <w:p>
                  <w:pPr>
                    <w:jc w:val="center"/>
                    <w:rPr>
                      <w:color w:val="000000"/>
                      <w:szCs w:val="21"/>
                    </w:rPr>
                  </w:pPr>
                  <w:r>
                    <w:rPr>
                      <w:rFonts w:hint="eastAsia"/>
                      <w:snapToGrid w:val="0"/>
                      <w:kern w:val="21"/>
                      <w:szCs w:val="21"/>
                    </w:rPr>
                    <w:t>专门容器收集</w:t>
                  </w:r>
                </w:p>
              </w:tc>
              <w:tc>
                <w:tcPr>
                  <w:tcW w:w="1088" w:type="dxa"/>
                  <w:vMerge w:val="continue"/>
                  <w:tcBorders>
                    <w:bottom w:val="single" w:color="auto" w:sz="4" w:space="0"/>
                    <w:tl2br w:val="nil"/>
                    <w:tr2bl w:val="nil"/>
                  </w:tcBorders>
                  <w:vAlign w:val="center"/>
                </w:tcPr>
                <w:p>
                  <w:pPr>
                    <w:jc w:val="center"/>
                    <w:rPr>
                      <w:szCs w:val="21"/>
                    </w:rPr>
                  </w:pPr>
                </w:p>
              </w:tc>
              <w:tc>
                <w:tcPr>
                  <w:tcW w:w="1551" w:type="dxa"/>
                  <w:vMerge w:val="continue"/>
                  <w:tcBorders>
                    <w:bottom w:val="single" w:color="auto" w:sz="4" w:space="0"/>
                    <w:tl2br w:val="nil"/>
                    <w:tr2bl w:val="nil"/>
                  </w:tcBorders>
                  <w:vAlign w:val="center"/>
                </w:tcPr>
                <w:p>
                  <w:pPr>
                    <w:jc w:val="center"/>
                    <w:rPr>
                      <w:color w:val="000000" w:themeColor="text1"/>
                      <w:szCs w:val="21"/>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l2br w:val="nil"/>
                    <w:tr2bl w:val="nil"/>
                  </w:tcBorders>
                  <w:vAlign w:val="center"/>
                </w:tcPr>
                <w:p>
                  <w:pPr>
                    <w:jc w:val="center"/>
                    <w:rPr>
                      <w:szCs w:val="21"/>
                    </w:rPr>
                  </w:pPr>
                </w:p>
              </w:tc>
              <w:tc>
                <w:tcPr>
                  <w:tcW w:w="1576" w:type="dxa"/>
                  <w:vMerge w:val="continue"/>
                  <w:tcBorders>
                    <w:tl2br w:val="nil"/>
                    <w:tr2bl w:val="nil"/>
                  </w:tcBorders>
                  <w:vAlign w:val="center"/>
                </w:tcPr>
                <w:p>
                  <w:pPr>
                    <w:jc w:val="center"/>
                    <w:rPr>
                      <w:snapToGrid w:val="0"/>
                      <w:kern w:val="0"/>
                      <w:szCs w:val="21"/>
                    </w:rPr>
                  </w:pPr>
                </w:p>
              </w:tc>
              <w:tc>
                <w:tcPr>
                  <w:tcW w:w="1499" w:type="dxa"/>
                  <w:tcBorders>
                    <w:top w:val="single" w:color="auto" w:sz="4" w:space="0"/>
                    <w:tl2br w:val="nil"/>
                    <w:tr2bl w:val="nil"/>
                  </w:tcBorders>
                  <w:vAlign w:val="center"/>
                </w:tcPr>
                <w:p>
                  <w:pPr>
                    <w:jc w:val="center"/>
                    <w:rPr>
                      <w:snapToGrid w:val="0"/>
                      <w:kern w:val="21"/>
                      <w:szCs w:val="21"/>
                    </w:rPr>
                  </w:pPr>
                  <w:r>
                    <w:rPr>
                      <w:rFonts w:hint="eastAsia"/>
                      <w:snapToGrid w:val="0"/>
                      <w:kern w:val="21"/>
                      <w:szCs w:val="21"/>
                    </w:rPr>
                    <w:t>废灯管</w:t>
                  </w:r>
                </w:p>
              </w:tc>
              <w:tc>
                <w:tcPr>
                  <w:tcW w:w="2062" w:type="dxa"/>
                  <w:tcBorders>
                    <w:top w:val="single" w:color="auto" w:sz="4" w:space="0"/>
                    <w:tl2br w:val="nil"/>
                    <w:tr2bl w:val="nil"/>
                  </w:tcBorders>
                  <w:vAlign w:val="center"/>
                </w:tcPr>
                <w:p>
                  <w:pPr>
                    <w:jc w:val="center"/>
                    <w:rPr>
                      <w:szCs w:val="21"/>
                    </w:rPr>
                  </w:pPr>
                  <w:r>
                    <w:rPr>
                      <w:rFonts w:hint="eastAsia"/>
                      <w:color w:val="000000"/>
                      <w:szCs w:val="21"/>
                    </w:rPr>
                    <w:t>专门容器收集</w:t>
                  </w:r>
                </w:p>
              </w:tc>
              <w:tc>
                <w:tcPr>
                  <w:tcW w:w="1088" w:type="dxa"/>
                  <w:vMerge w:val="restart"/>
                  <w:tcBorders>
                    <w:top w:val="single" w:color="auto" w:sz="4" w:space="0"/>
                    <w:bottom w:val="single" w:color="auto" w:sz="4" w:space="0"/>
                    <w:tl2br w:val="nil"/>
                    <w:tr2bl w:val="nil"/>
                  </w:tcBorders>
                  <w:vAlign w:val="center"/>
                </w:tcPr>
                <w:p>
                  <w:pPr>
                    <w:jc w:val="center"/>
                    <w:rPr>
                      <w:color w:val="000000"/>
                      <w:szCs w:val="21"/>
                    </w:rPr>
                  </w:pPr>
                  <w:r>
                    <w:rPr>
                      <w:szCs w:val="21"/>
                    </w:rPr>
                    <w:t>设置</w:t>
                  </w:r>
                  <w:r>
                    <w:rPr>
                      <w:rFonts w:hint="eastAsia"/>
                      <w:szCs w:val="21"/>
                    </w:rPr>
                    <w:t>危废</w:t>
                  </w:r>
                  <w:r>
                    <w:rPr>
                      <w:szCs w:val="21"/>
                    </w:rPr>
                    <w:t>暂存间</w:t>
                  </w:r>
                  <w:r>
                    <w:rPr>
                      <w:rFonts w:hint="eastAsia"/>
                      <w:szCs w:val="21"/>
                    </w:rPr>
                    <w:t>10</w:t>
                  </w:r>
                  <w:r>
                    <w:rPr>
                      <w:szCs w:val="21"/>
                    </w:rPr>
                    <w:t>m</w:t>
                  </w:r>
                  <w:r>
                    <w:rPr>
                      <w:szCs w:val="21"/>
                      <w:vertAlign w:val="superscript"/>
                    </w:rPr>
                    <w:t>2</w:t>
                  </w:r>
                  <w:r>
                    <w:rPr>
                      <w:rFonts w:hint="eastAsia"/>
                      <w:szCs w:val="21"/>
                    </w:rPr>
                    <w:t>集中收存，交由资质单位处理</w:t>
                  </w:r>
                </w:p>
              </w:tc>
              <w:tc>
                <w:tcPr>
                  <w:tcW w:w="1551" w:type="dxa"/>
                  <w:vMerge w:val="restart"/>
                  <w:tcBorders>
                    <w:top w:val="single" w:color="auto" w:sz="4" w:space="0"/>
                    <w:bottom w:val="single" w:color="auto" w:sz="4" w:space="0"/>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l2br w:val="nil"/>
                    <w:tr2bl w:val="nil"/>
                  </w:tcBorders>
                  <w:vAlign w:val="center"/>
                </w:tcPr>
                <w:p>
                  <w:pPr>
                    <w:jc w:val="center"/>
                    <w:rPr>
                      <w:szCs w:val="21"/>
                    </w:rPr>
                  </w:pPr>
                </w:p>
              </w:tc>
              <w:tc>
                <w:tcPr>
                  <w:tcW w:w="1576" w:type="dxa"/>
                  <w:vMerge w:val="restart"/>
                  <w:tcBorders>
                    <w:top w:val="single" w:color="auto" w:sz="4" w:space="0"/>
                    <w:bottom w:val="single" w:color="auto" w:sz="4" w:space="0"/>
                    <w:tl2br w:val="nil"/>
                    <w:tr2bl w:val="nil"/>
                  </w:tcBorders>
                  <w:vAlign w:val="center"/>
                </w:tcPr>
                <w:p>
                  <w:pPr>
                    <w:jc w:val="center"/>
                    <w:rPr>
                      <w:snapToGrid w:val="0"/>
                      <w:kern w:val="0"/>
                      <w:szCs w:val="21"/>
                    </w:rPr>
                  </w:pPr>
                  <w:r>
                    <w:rPr>
                      <w:rFonts w:hint="eastAsia"/>
                      <w:snapToGrid w:val="0"/>
                      <w:kern w:val="21"/>
                      <w:szCs w:val="21"/>
                    </w:rPr>
                    <w:t>设备检修</w:t>
                  </w:r>
                </w:p>
              </w:tc>
              <w:tc>
                <w:tcPr>
                  <w:tcW w:w="1499" w:type="dxa"/>
                  <w:tcBorders>
                    <w:top w:val="single" w:color="auto" w:sz="4" w:space="0"/>
                    <w:bottom w:val="single" w:color="auto" w:sz="4" w:space="0"/>
                    <w:tl2br w:val="nil"/>
                    <w:tr2bl w:val="nil"/>
                  </w:tcBorders>
                  <w:vAlign w:val="center"/>
                </w:tcPr>
                <w:p>
                  <w:pPr>
                    <w:jc w:val="center"/>
                    <w:rPr>
                      <w:snapToGrid w:val="0"/>
                      <w:kern w:val="0"/>
                      <w:szCs w:val="21"/>
                    </w:rPr>
                  </w:pPr>
                  <w:r>
                    <w:rPr>
                      <w:rFonts w:hint="eastAsia"/>
                      <w:snapToGrid w:val="0"/>
                      <w:kern w:val="21"/>
                      <w:szCs w:val="21"/>
                    </w:rPr>
                    <w:t>废机油</w:t>
                  </w:r>
                </w:p>
              </w:tc>
              <w:tc>
                <w:tcPr>
                  <w:tcW w:w="2062" w:type="dxa"/>
                  <w:tcBorders>
                    <w:top w:val="single" w:color="auto" w:sz="4" w:space="0"/>
                    <w:bottom w:val="single" w:color="auto" w:sz="4" w:space="0"/>
                    <w:tl2br w:val="nil"/>
                    <w:tr2bl w:val="nil"/>
                  </w:tcBorders>
                  <w:vAlign w:val="center"/>
                </w:tcPr>
                <w:p>
                  <w:pPr>
                    <w:jc w:val="center"/>
                    <w:rPr>
                      <w:color w:val="000000"/>
                      <w:szCs w:val="21"/>
                    </w:rPr>
                  </w:pPr>
                  <w:r>
                    <w:rPr>
                      <w:rFonts w:hint="eastAsia"/>
                      <w:color w:val="000000"/>
                      <w:szCs w:val="21"/>
                    </w:rPr>
                    <w:t>塑料桶收集</w:t>
                  </w:r>
                </w:p>
              </w:tc>
              <w:tc>
                <w:tcPr>
                  <w:tcW w:w="1088" w:type="dxa"/>
                  <w:vMerge w:val="continue"/>
                  <w:tcBorders>
                    <w:top w:val="single" w:color="auto" w:sz="4" w:space="0"/>
                    <w:bottom w:val="single" w:color="auto" w:sz="4" w:space="0"/>
                    <w:tl2br w:val="nil"/>
                    <w:tr2bl w:val="nil"/>
                  </w:tcBorders>
                  <w:vAlign w:val="center"/>
                </w:tcPr>
                <w:p>
                  <w:pPr>
                    <w:jc w:val="center"/>
                    <w:rPr>
                      <w:color w:val="000000"/>
                      <w:szCs w:val="21"/>
                    </w:rPr>
                  </w:pPr>
                </w:p>
              </w:tc>
              <w:tc>
                <w:tcPr>
                  <w:tcW w:w="1551" w:type="dxa"/>
                  <w:vMerge w:val="continue"/>
                  <w:tcBorders>
                    <w:top w:val="single" w:color="auto" w:sz="4" w:space="0"/>
                    <w:bottom w:val="single" w:color="auto" w:sz="4" w:space="0"/>
                    <w:tl2br w:val="nil"/>
                    <w:tr2bl w:val="nil"/>
                  </w:tcBorders>
                  <w:vAlign w:val="center"/>
                </w:tcPr>
                <w:p>
                  <w:pPr>
                    <w:jc w:val="center"/>
                    <w:rPr>
                      <w:color w:val="000000" w:themeColor="text1"/>
                      <w:szCs w:val="21"/>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l2br w:val="nil"/>
                    <w:tr2bl w:val="nil"/>
                  </w:tcBorders>
                  <w:vAlign w:val="center"/>
                </w:tcPr>
                <w:p>
                  <w:pPr>
                    <w:jc w:val="center"/>
                    <w:rPr>
                      <w:szCs w:val="21"/>
                    </w:rPr>
                  </w:pPr>
                </w:p>
              </w:tc>
              <w:tc>
                <w:tcPr>
                  <w:tcW w:w="1576" w:type="dxa"/>
                  <w:vMerge w:val="continue"/>
                  <w:tcBorders>
                    <w:top w:val="single" w:color="auto" w:sz="4" w:space="0"/>
                    <w:tl2br w:val="nil"/>
                    <w:tr2bl w:val="nil"/>
                  </w:tcBorders>
                  <w:vAlign w:val="center"/>
                </w:tcPr>
                <w:p>
                  <w:pPr>
                    <w:jc w:val="center"/>
                    <w:rPr>
                      <w:snapToGrid w:val="0"/>
                      <w:kern w:val="0"/>
                      <w:szCs w:val="21"/>
                    </w:rPr>
                  </w:pPr>
                </w:p>
              </w:tc>
              <w:tc>
                <w:tcPr>
                  <w:tcW w:w="1499" w:type="dxa"/>
                  <w:tcBorders>
                    <w:top w:val="single" w:color="auto" w:sz="4" w:space="0"/>
                    <w:tl2br w:val="nil"/>
                    <w:tr2bl w:val="nil"/>
                  </w:tcBorders>
                  <w:vAlign w:val="center"/>
                </w:tcPr>
                <w:p>
                  <w:pPr>
                    <w:jc w:val="center"/>
                    <w:rPr>
                      <w:snapToGrid w:val="0"/>
                      <w:kern w:val="0"/>
                      <w:szCs w:val="21"/>
                    </w:rPr>
                  </w:pPr>
                  <w:r>
                    <w:rPr>
                      <w:rFonts w:hint="eastAsia"/>
                      <w:snapToGrid w:val="0"/>
                      <w:kern w:val="21"/>
                      <w:szCs w:val="21"/>
                    </w:rPr>
                    <w:t>废液压油</w:t>
                  </w:r>
                </w:p>
              </w:tc>
              <w:tc>
                <w:tcPr>
                  <w:tcW w:w="2062" w:type="dxa"/>
                  <w:tcBorders>
                    <w:top w:val="single" w:color="auto" w:sz="4" w:space="0"/>
                    <w:bottom w:val="single" w:color="auto" w:sz="4" w:space="0"/>
                    <w:tl2br w:val="nil"/>
                    <w:tr2bl w:val="nil"/>
                  </w:tcBorders>
                  <w:vAlign w:val="center"/>
                </w:tcPr>
                <w:p>
                  <w:pPr>
                    <w:jc w:val="center"/>
                    <w:rPr>
                      <w:color w:val="000000"/>
                      <w:szCs w:val="21"/>
                    </w:rPr>
                  </w:pPr>
                  <w:r>
                    <w:rPr>
                      <w:rFonts w:hint="eastAsia"/>
                      <w:color w:val="000000"/>
                      <w:szCs w:val="21"/>
                    </w:rPr>
                    <w:t>塑料桶收集</w:t>
                  </w:r>
                </w:p>
              </w:tc>
              <w:tc>
                <w:tcPr>
                  <w:tcW w:w="1088" w:type="dxa"/>
                  <w:vMerge w:val="continue"/>
                  <w:tcBorders>
                    <w:top w:val="single" w:color="auto" w:sz="4" w:space="0"/>
                    <w:bottom w:val="single" w:color="auto" w:sz="4" w:space="0"/>
                    <w:tl2br w:val="nil"/>
                    <w:tr2bl w:val="nil"/>
                  </w:tcBorders>
                  <w:vAlign w:val="center"/>
                </w:tcPr>
                <w:p>
                  <w:pPr>
                    <w:jc w:val="center"/>
                    <w:rPr>
                      <w:color w:val="000000"/>
                      <w:szCs w:val="21"/>
                    </w:rPr>
                  </w:pPr>
                </w:p>
              </w:tc>
              <w:tc>
                <w:tcPr>
                  <w:tcW w:w="1551" w:type="dxa"/>
                  <w:vMerge w:val="continue"/>
                  <w:tcBorders>
                    <w:top w:val="single" w:color="auto" w:sz="4" w:space="0"/>
                    <w:bottom w:val="single" w:color="auto" w:sz="4" w:space="0"/>
                    <w:tl2br w:val="nil"/>
                    <w:tr2bl w:val="nil"/>
                  </w:tcBorders>
                  <w:vAlign w:val="center"/>
                </w:tcPr>
                <w:p>
                  <w:pPr>
                    <w:jc w:val="center"/>
                    <w:rPr>
                      <w:color w:val="000000" w:themeColor="text1"/>
                      <w:szCs w:val="21"/>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17" w:hRule="atLeast"/>
                <w:jc w:val="center"/>
              </w:trPr>
              <w:tc>
                <w:tcPr>
                  <w:tcW w:w="728" w:type="dxa"/>
                  <w:vMerge w:val="continue"/>
                  <w:tcBorders>
                    <w:bottom w:val="single" w:color="auto" w:sz="4" w:space="0"/>
                    <w:tl2br w:val="nil"/>
                    <w:tr2bl w:val="nil"/>
                  </w:tcBorders>
                  <w:vAlign w:val="center"/>
                </w:tcPr>
                <w:p>
                  <w:pPr>
                    <w:jc w:val="center"/>
                    <w:rPr>
                      <w:szCs w:val="21"/>
                    </w:rPr>
                  </w:pPr>
                </w:p>
              </w:tc>
              <w:tc>
                <w:tcPr>
                  <w:tcW w:w="1576" w:type="dxa"/>
                  <w:tcBorders>
                    <w:bottom w:val="single" w:color="auto" w:sz="4" w:space="0"/>
                    <w:tl2br w:val="nil"/>
                    <w:tr2bl w:val="nil"/>
                  </w:tcBorders>
                  <w:vAlign w:val="center"/>
                </w:tcPr>
                <w:p>
                  <w:pPr>
                    <w:jc w:val="center"/>
                    <w:rPr>
                      <w:szCs w:val="21"/>
                    </w:rPr>
                  </w:pPr>
                  <w:r>
                    <w:rPr>
                      <w:rFonts w:hint="eastAsia"/>
                      <w:snapToGrid w:val="0"/>
                      <w:kern w:val="21"/>
                      <w:szCs w:val="21"/>
                    </w:rPr>
                    <w:t>职工生活</w:t>
                  </w:r>
                </w:p>
              </w:tc>
              <w:tc>
                <w:tcPr>
                  <w:tcW w:w="1499" w:type="dxa"/>
                  <w:tcBorders>
                    <w:bottom w:val="single" w:color="auto" w:sz="4" w:space="0"/>
                    <w:tl2br w:val="nil"/>
                    <w:tr2bl w:val="nil"/>
                  </w:tcBorders>
                  <w:vAlign w:val="center"/>
                </w:tcPr>
                <w:p>
                  <w:pPr>
                    <w:jc w:val="center"/>
                    <w:rPr>
                      <w:szCs w:val="21"/>
                    </w:rPr>
                  </w:pPr>
                  <w:r>
                    <w:rPr>
                      <w:rFonts w:hint="eastAsia"/>
                      <w:snapToGrid w:val="0"/>
                      <w:kern w:val="21"/>
                      <w:szCs w:val="21"/>
                    </w:rPr>
                    <w:t>生活垃圾</w:t>
                  </w:r>
                </w:p>
              </w:tc>
              <w:tc>
                <w:tcPr>
                  <w:tcW w:w="3150" w:type="dxa"/>
                  <w:gridSpan w:val="2"/>
                  <w:tcBorders>
                    <w:top w:val="single" w:color="auto" w:sz="4" w:space="0"/>
                    <w:bottom w:val="single" w:color="auto" w:sz="4" w:space="0"/>
                    <w:tl2br w:val="nil"/>
                    <w:tr2bl w:val="nil"/>
                  </w:tcBorders>
                  <w:vAlign w:val="center"/>
                </w:tcPr>
                <w:p>
                  <w:pPr>
                    <w:jc w:val="center"/>
                    <w:rPr>
                      <w:color w:val="000000"/>
                      <w:szCs w:val="21"/>
                    </w:rPr>
                  </w:pPr>
                  <w:r>
                    <w:rPr>
                      <w:rFonts w:hint="eastAsia"/>
                      <w:color w:val="000000"/>
                      <w:szCs w:val="21"/>
                    </w:rPr>
                    <w:t>设置垃圾桶若干，交由环卫部门处理</w:t>
                  </w:r>
                </w:p>
              </w:tc>
              <w:tc>
                <w:tcPr>
                  <w:tcW w:w="1551" w:type="dxa"/>
                  <w:tcBorders>
                    <w:top w:val="single" w:color="auto" w:sz="4" w:space="0"/>
                    <w:bottom w:val="single" w:color="auto" w:sz="4" w:space="0"/>
                    <w:tl2br w:val="nil"/>
                    <w:tr2bl w:val="nil"/>
                  </w:tcBorders>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17" w:hRule="atLeast"/>
                <w:jc w:val="center"/>
              </w:trPr>
              <w:tc>
                <w:tcPr>
                  <w:tcW w:w="728" w:type="dxa"/>
                  <w:vMerge w:val="restart"/>
                  <w:tcBorders>
                    <w:tl2br w:val="nil"/>
                    <w:tr2bl w:val="nil"/>
                  </w:tcBorders>
                  <w:vAlign w:val="center"/>
                </w:tcPr>
                <w:p>
                  <w:pPr>
                    <w:jc w:val="center"/>
                    <w:rPr>
                      <w:szCs w:val="21"/>
                    </w:rPr>
                  </w:pPr>
                  <w:r>
                    <w:rPr>
                      <w:rFonts w:hint="eastAsia"/>
                      <w:szCs w:val="21"/>
                    </w:rPr>
                    <w:t>其他</w:t>
                  </w:r>
                </w:p>
              </w:tc>
              <w:tc>
                <w:tcPr>
                  <w:tcW w:w="6225" w:type="dxa"/>
                  <w:gridSpan w:val="4"/>
                  <w:tcBorders>
                    <w:bottom w:val="single" w:color="auto" w:sz="4" w:space="0"/>
                    <w:tl2br w:val="nil"/>
                    <w:tr2bl w:val="nil"/>
                  </w:tcBorders>
                  <w:vAlign w:val="center"/>
                </w:tcPr>
                <w:p>
                  <w:pPr>
                    <w:jc w:val="center"/>
                    <w:rPr>
                      <w:color w:val="000000"/>
                      <w:szCs w:val="21"/>
                    </w:rPr>
                  </w:pPr>
                  <w:r>
                    <w:rPr>
                      <w:rFonts w:hint="eastAsia"/>
                      <w:color w:val="000000"/>
                      <w:szCs w:val="21"/>
                    </w:rPr>
                    <w:t>VOCs排放口设置在线监控设备</w:t>
                  </w:r>
                </w:p>
              </w:tc>
              <w:tc>
                <w:tcPr>
                  <w:tcW w:w="1551" w:type="dxa"/>
                  <w:tcBorders>
                    <w:top w:val="single" w:color="auto" w:sz="4" w:space="0"/>
                    <w:bottom w:val="single" w:color="auto" w:sz="4" w:space="0"/>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17" w:hRule="atLeast"/>
                <w:jc w:val="center"/>
              </w:trPr>
              <w:tc>
                <w:tcPr>
                  <w:tcW w:w="728" w:type="dxa"/>
                  <w:vMerge w:val="continue"/>
                  <w:tcBorders>
                    <w:bottom w:val="single" w:color="auto" w:sz="4" w:space="0"/>
                    <w:tl2br w:val="nil"/>
                    <w:tr2bl w:val="nil"/>
                  </w:tcBorders>
                  <w:vAlign w:val="center"/>
                </w:tcPr>
                <w:p>
                  <w:pPr>
                    <w:jc w:val="center"/>
                    <w:rPr>
                      <w:rFonts w:hint="eastAsia"/>
                      <w:szCs w:val="21"/>
                    </w:rPr>
                  </w:pPr>
                </w:p>
              </w:tc>
              <w:tc>
                <w:tcPr>
                  <w:tcW w:w="6225" w:type="dxa"/>
                  <w:gridSpan w:val="4"/>
                  <w:tcBorders>
                    <w:bottom w:val="single" w:color="auto" w:sz="4" w:space="0"/>
                    <w:tl2br w:val="nil"/>
                    <w:tr2bl w:val="nil"/>
                  </w:tcBorders>
                  <w:vAlign w:val="center"/>
                </w:tcPr>
                <w:p>
                  <w:pPr>
                    <w:jc w:val="center"/>
                    <w:rPr>
                      <w:rFonts w:hint="eastAsia" w:eastAsia="宋体"/>
                      <w:color w:val="000000"/>
                      <w:szCs w:val="21"/>
                      <w:lang w:eastAsia="zh-CN"/>
                    </w:rPr>
                  </w:pPr>
                  <w:r>
                    <w:rPr>
                      <w:rFonts w:hint="eastAsia" w:asciiTheme="minorEastAsia" w:hAnsiTheme="minorEastAsia" w:eastAsiaTheme="minorEastAsia" w:cstheme="minorEastAsia"/>
                      <w:sz w:val="21"/>
                      <w:szCs w:val="21"/>
                    </w:rPr>
                    <w:t>用电量监控系统终端</w:t>
                  </w:r>
                </w:p>
              </w:tc>
              <w:tc>
                <w:tcPr>
                  <w:tcW w:w="1551" w:type="dxa"/>
                  <w:tcBorders>
                    <w:top w:val="single" w:color="auto" w:sz="4" w:space="0"/>
                    <w:bottom w:val="single" w:color="auto" w:sz="4" w:space="0"/>
                    <w:tl2br w:val="nil"/>
                    <w:tr2bl w:val="nil"/>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2304" w:type="dxa"/>
                  <w:gridSpan w:val="2"/>
                  <w:tcBorders>
                    <w:tl2br w:val="nil"/>
                    <w:tr2bl w:val="nil"/>
                  </w:tcBorders>
                  <w:vAlign w:val="center"/>
                </w:tcPr>
                <w:p>
                  <w:pPr>
                    <w:jc w:val="center"/>
                    <w:rPr>
                      <w:szCs w:val="21"/>
                    </w:rPr>
                  </w:pPr>
                  <w:r>
                    <w:rPr>
                      <w:szCs w:val="21"/>
                    </w:rPr>
                    <w:t>合计</w:t>
                  </w:r>
                </w:p>
              </w:tc>
              <w:tc>
                <w:tcPr>
                  <w:tcW w:w="1499" w:type="dxa"/>
                  <w:tcBorders>
                    <w:tl2br w:val="nil"/>
                    <w:tr2bl w:val="nil"/>
                  </w:tcBorders>
                  <w:vAlign w:val="center"/>
                </w:tcPr>
                <w:p>
                  <w:pPr>
                    <w:jc w:val="center"/>
                    <w:rPr>
                      <w:szCs w:val="21"/>
                    </w:rPr>
                  </w:pPr>
                  <w:r>
                    <w:rPr>
                      <w:szCs w:val="21"/>
                    </w:rPr>
                    <w:t>/</w:t>
                  </w:r>
                </w:p>
              </w:tc>
              <w:tc>
                <w:tcPr>
                  <w:tcW w:w="3150" w:type="dxa"/>
                  <w:gridSpan w:val="2"/>
                  <w:tcBorders>
                    <w:tl2br w:val="nil"/>
                    <w:tr2bl w:val="nil"/>
                  </w:tcBorders>
                  <w:vAlign w:val="center"/>
                </w:tcPr>
                <w:p>
                  <w:pPr>
                    <w:jc w:val="center"/>
                    <w:rPr>
                      <w:szCs w:val="21"/>
                    </w:rPr>
                  </w:pPr>
                  <w:r>
                    <w:rPr>
                      <w:szCs w:val="21"/>
                    </w:rPr>
                    <w:t>/</w:t>
                  </w:r>
                </w:p>
              </w:tc>
              <w:tc>
                <w:tcPr>
                  <w:tcW w:w="1551" w:type="dxa"/>
                  <w:tcBorders>
                    <w:tl2br w:val="nil"/>
                    <w:tr2bl w:val="nil"/>
                  </w:tcBorders>
                  <w:vAlign w:val="center"/>
                </w:tcPr>
                <w:p>
                  <w:pPr>
                    <w:bidi w:val="0"/>
                    <w:jc w:val="center"/>
                    <w:rPr>
                      <w:rFonts w:hint="default"/>
                      <w:lang w:val="en-US" w:eastAsia="zh-CN"/>
                    </w:rPr>
                  </w:pPr>
                  <w:r>
                    <w:rPr>
                      <w:rFonts w:hint="eastAsia"/>
                      <w:lang w:val="en-US" w:eastAsia="zh-CN"/>
                    </w:rPr>
                    <w:t>22.4</w:t>
                  </w:r>
                </w:p>
              </w:tc>
            </w:tr>
          </w:tbl>
          <w:p>
            <w:pPr>
              <w:jc w:val="center"/>
              <w:rPr>
                <w:rFonts w:eastAsia="黑体"/>
                <w:color w:val="000000"/>
                <w:kern w:val="0"/>
                <w:sz w:val="24"/>
              </w:rPr>
            </w:pPr>
            <w:r>
              <w:rPr>
                <w:rFonts w:eastAsia="黑体"/>
                <w:color w:val="000000"/>
                <w:kern w:val="0"/>
                <w:sz w:val="24"/>
              </w:rPr>
              <w:t>表</w:t>
            </w:r>
            <w:r>
              <w:rPr>
                <w:rFonts w:hint="eastAsia" w:eastAsia="黑体"/>
                <w:color w:val="000000"/>
                <w:kern w:val="0"/>
                <w:sz w:val="24"/>
                <w:lang w:val="en-US" w:eastAsia="zh-CN"/>
              </w:rPr>
              <w:t>37</w:t>
            </w:r>
            <w:r>
              <w:rPr>
                <w:rFonts w:eastAsia="黑体"/>
                <w:color w:val="000000"/>
                <w:kern w:val="0"/>
                <w:sz w:val="24"/>
              </w:rPr>
              <w:t xml:space="preserve">  项目</w:t>
            </w:r>
            <w:r>
              <w:rPr>
                <w:rFonts w:hint="eastAsia" w:ascii="宋体" w:hAnsi="宋体" w:cs="宋体"/>
                <w:color w:val="000000"/>
                <w:kern w:val="0"/>
                <w:sz w:val="24"/>
              </w:rPr>
              <w:t>“</w:t>
            </w:r>
            <w:r>
              <w:rPr>
                <w:rFonts w:eastAsia="黑体"/>
                <w:color w:val="000000"/>
                <w:kern w:val="0"/>
                <w:sz w:val="24"/>
              </w:rPr>
              <w:t>三同时</w:t>
            </w:r>
            <w:r>
              <w:rPr>
                <w:rFonts w:hint="eastAsia" w:ascii="宋体" w:hAnsi="宋体" w:cs="宋体"/>
                <w:color w:val="000000"/>
                <w:kern w:val="0"/>
                <w:sz w:val="24"/>
              </w:rPr>
              <w:t>”</w:t>
            </w:r>
            <w:r>
              <w:rPr>
                <w:rFonts w:eastAsia="黑体"/>
                <w:color w:val="000000"/>
                <w:kern w:val="0"/>
                <w:sz w:val="24"/>
              </w:rPr>
              <w:t>环保竣工验收一览表</w:t>
            </w:r>
          </w:p>
          <w:tbl>
            <w:tblPr>
              <w:tblStyle w:val="23"/>
              <w:tblW w:w="8320" w:type="dxa"/>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712"/>
              <w:gridCol w:w="1313"/>
              <w:gridCol w:w="998"/>
              <w:gridCol w:w="1526"/>
              <w:gridCol w:w="1292"/>
              <w:gridCol w:w="2479"/>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31" w:hRule="atLeast"/>
                <w:jc w:val="center"/>
              </w:trPr>
              <w:tc>
                <w:tcPr>
                  <w:tcW w:w="712" w:type="dxa"/>
                  <w:tcBorders>
                    <w:tl2br w:val="nil"/>
                    <w:tr2bl w:val="nil"/>
                  </w:tcBorders>
                  <w:vAlign w:val="center"/>
                </w:tcPr>
                <w:p>
                  <w:pPr>
                    <w:jc w:val="center"/>
                    <w:rPr>
                      <w:bCs/>
                      <w:szCs w:val="21"/>
                    </w:rPr>
                  </w:pPr>
                  <w:r>
                    <w:rPr>
                      <w:bCs/>
                      <w:szCs w:val="21"/>
                    </w:rPr>
                    <w:t>类别</w:t>
                  </w:r>
                </w:p>
              </w:tc>
              <w:tc>
                <w:tcPr>
                  <w:tcW w:w="1313" w:type="dxa"/>
                  <w:tcBorders>
                    <w:tl2br w:val="nil"/>
                    <w:tr2bl w:val="nil"/>
                  </w:tcBorders>
                  <w:vAlign w:val="center"/>
                </w:tcPr>
                <w:p>
                  <w:pPr>
                    <w:jc w:val="center"/>
                    <w:rPr>
                      <w:bCs/>
                      <w:szCs w:val="21"/>
                    </w:rPr>
                  </w:pPr>
                  <w:r>
                    <w:rPr>
                      <w:bCs/>
                      <w:szCs w:val="21"/>
                    </w:rPr>
                    <w:t>污染源</w:t>
                  </w:r>
                </w:p>
              </w:tc>
              <w:tc>
                <w:tcPr>
                  <w:tcW w:w="998" w:type="dxa"/>
                  <w:tcBorders>
                    <w:tl2br w:val="nil"/>
                    <w:tr2bl w:val="nil"/>
                  </w:tcBorders>
                  <w:vAlign w:val="center"/>
                </w:tcPr>
                <w:p>
                  <w:pPr>
                    <w:jc w:val="center"/>
                    <w:rPr>
                      <w:bCs/>
                      <w:szCs w:val="21"/>
                    </w:rPr>
                  </w:pPr>
                  <w:r>
                    <w:rPr>
                      <w:bCs/>
                      <w:szCs w:val="21"/>
                    </w:rPr>
                    <w:t>污染物</w:t>
                  </w:r>
                </w:p>
              </w:tc>
              <w:tc>
                <w:tcPr>
                  <w:tcW w:w="2818" w:type="dxa"/>
                  <w:gridSpan w:val="2"/>
                  <w:tcBorders>
                    <w:tl2br w:val="nil"/>
                    <w:tr2bl w:val="nil"/>
                  </w:tcBorders>
                  <w:vAlign w:val="center"/>
                </w:tcPr>
                <w:p>
                  <w:pPr>
                    <w:jc w:val="center"/>
                    <w:rPr>
                      <w:bCs/>
                      <w:szCs w:val="21"/>
                    </w:rPr>
                  </w:pPr>
                  <w:r>
                    <w:rPr>
                      <w:rFonts w:hint="eastAsia"/>
                      <w:bCs/>
                      <w:szCs w:val="21"/>
                    </w:rPr>
                    <w:t>验收内容</w:t>
                  </w:r>
                </w:p>
              </w:tc>
              <w:tc>
                <w:tcPr>
                  <w:tcW w:w="2479" w:type="dxa"/>
                  <w:tcBorders>
                    <w:tl2br w:val="nil"/>
                    <w:tr2bl w:val="nil"/>
                  </w:tcBorders>
                  <w:vAlign w:val="center"/>
                </w:tcPr>
                <w:p>
                  <w:pPr>
                    <w:jc w:val="center"/>
                    <w:rPr>
                      <w:bCs/>
                      <w:szCs w:val="21"/>
                    </w:rPr>
                  </w:pPr>
                  <w:r>
                    <w:rPr>
                      <w:color w:val="000000"/>
                      <w:kern w:val="0"/>
                      <w:szCs w:val="21"/>
                    </w:rPr>
                    <w:t>执行标准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853" w:hRule="atLeast"/>
                <w:jc w:val="center"/>
              </w:trPr>
              <w:tc>
                <w:tcPr>
                  <w:tcW w:w="712" w:type="dxa"/>
                  <w:vMerge w:val="restart"/>
                  <w:tcBorders>
                    <w:tl2br w:val="nil"/>
                    <w:tr2bl w:val="nil"/>
                  </w:tcBorders>
                  <w:vAlign w:val="center"/>
                </w:tcPr>
                <w:p>
                  <w:pPr>
                    <w:jc w:val="center"/>
                    <w:rPr>
                      <w:bCs/>
                      <w:szCs w:val="21"/>
                    </w:rPr>
                  </w:pPr>
                  <w:r>
                    <w:rPr>
                      <w:rFonts w:hint="eastAsia"/>
                      <w:bCs/>
                      <w:szCs w:val="21"/>
                    </w:rPr>
                    <w:t>废气</w:t>
                  </w:r>
                </w:p>
              </w:tc>
              <w:tc>
                <w:tcPr>
                  <w:tcW w:w="1313" w:type="dxa"/>
                  <w:tcBorders>
                    <w:bottom w:val="single" w:color="auto" w:sz="4" w:space="0"/>
                    <w:tl2br w:val="nil"/>
                    <w:tr2bl w:val="nil"/>
                  </w:tcBorders>
                  <w:vAlign w:val="center"/>
                </w:tcPr>
                <w:p>
                  <w:pPr>
                    <w:widowControl/>
                    <w:jc w:val="center"/>
                    <w:rPr>
                      <w:rFonts w:hint="eastAsia" w:eastAsia="宋体"/>
                      <w:bCs/>
                      <w:szCs w:val="21"/>
                      <w:lang w:eastAsia="zh-CN"/>
                    </w:rPr>
                  </w:pPr>
                  <w:r>
                    <w:rPr>
                      <w:rFonts w:hint="eastAsia"/>
                      <w:szCs w:val="21"/>
                    </w:rPr>
                    <w:t>注塑、吹塑</w:t>
                  </w:r>
                  <w:r>
                    <w:rPr>
                      <w:rFonts w:hint="eastAsia"/>
                      <w:szCs w:val="21"/>
                      <w:lang w:eastAsia="zh-CN"/>
                    </w:rPr>
                    <w:t>（</w:t>
                  </w:r>
                  <w:r>
                    <w:rPr>
                      <w:rFonts w:hint="eastAsia"/>
                      <w:szCs w:val="21"/>
                      <w:lang w:val="en-US" w:eastAsia="zh-CN"/>
                    </w:rPr>
                    <w:t>P1排放口</w:t>
                  </w:r>
                  <w:r>
                    <w:rPr>
                      <w:rFonts w:hint="eastAsia"/>
                      <w:szCs w:val="21"/>
                      <w:lang w:eastAsia="zh-CN"/>
                    </w:rPr>
                    <w:t>）</w:t>
                  </w:r>
                </w:p>
              </w:tc>
              <w:tc>
                <w:tcPr>
                  <w:tcW w:w="998" w:type="dxa"/>
                  <w:tcBorders>
                    <w:bottom w:val="single" w:color="auto" w:sz="4" w:space="0"/>
                    <w:tl2br w:val="nil"/>
                    <w:tr2bl w:val="nil"/>
                  </w:tcBorders>
                  <w:vAlign w:val="center"/>
                </w:tcPr>
                <w:p>
                  <w:pPr>
                    <w:jc w:val="center"/>
                    <w:rPr>
                      <w:bCs/>
                      <w:szCs w:val="21"/>
                    </w:rPr>
                  </w:pPr>
                  <w:r>
                    <w:rPr>
                      <w:rFonts w:hint="eastAsia"/>
                      <w:bCs/>
                      <w:szCs w:val="21"/>
                    </w:rPr>
                    <w:t>非甲烷总烃</w:t>
                  </w:r>
                </w:p>
              </w:tc>
              <w:tc>
                <w:tcPr>
                  <w:tcW w:w="2818" w:type="dxa"/>
                  <w:gridSpan w:val="2"/>
                  <w:tcBorders>
                    <w:bottom w:val="single" w:color="auto" w:sz="4" w:space="0"/>
                    <w:tl2br w:val="nil"/>
                    <w:tr2bl w:val="nil"/>
                  </w:tcBorders>
                  <w:vAlign w:val="center"/>
                </w:tcPr>
                <w:p>
                  <w:pPr>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w:t>
                  </w:r>
                  <w:r>
                    <w:rPr>
                      <w:rFonts w:hint="eastAsia"/>
                      <w:bCs/>
                      <w:color w:val="000000" w:themeColor="text1"/>
                      <w:szCs w:val="21"/>
                      <w14:textFill>
                        <w14:solidFill>
                          <w14:schemeClr w14:val="tx1"/>
                        </w14:solidFill>
                      </w14:textFill>
                    </w:rPr>
                    <w:t>个集气罩、1套UV光催化氧化设备+活性炭吸附装置、1根15m高排气筒</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P1排放口</w:t>
                  </w:r>
                  <w:r>
                    <w:rPr>
                      <w:rFonts w:hint="eastAsia"/>
                      <w:bCs/>
                      <w:color w:val="000000" w:themeColor="text1"/>
                      <w:szCs w:val="21"/>
                      <w:lang w:eastAsia="zh-CN"/>
                      <w14:textFill>
                        <w14:solidFill>
                          <w14:schemeClr w14:val="tx1"/>
                        </w14:solidFill>
                      </w14:textFill>
                    </w:rPr>
                    <w:t>）</w:t>
                  </w:r>
                </w:p>
              </w:tc>
              <w:tc>
                <w:tcPr>
                  <w:tcW w:w="2479" w:type="dxa"/>
                  <w:tcBorders>
                    <w:tl2br w:val="nil"/>
                    <w:tr2bl w:val="nil"/>
                  </w:tcBorders>
                  <w:vAlign w:val="center"/>
                </w:tcPr>
                <w:p>
                  <w:pPr>
                    <w:jc w:val="center"/>
                    <w:textAlignment w:val="baseline"/>
                    <w:rPr>
                      <w:color w:val="000000"/>
                      <w:spacing w:val="2"/>
                      <w:szCs w:val="21"/>
                    </w:rPr>
                  </w:pPr>
                  <w:r>
                    <w:rPr>
                      <w:rFonts w:hint="eastAsia"/>
                      <w:color w:val="000000"/>
                      <w:spacing w:val="2"/>
                      <w:szCs w:val="21"/>
                    </w:rPr>
                    <w:t>《关于全省开展工业企业挥发性有机物专项治理工作中排放建议值的通知》（豫环攻坚办〔2017〕162号）中，其他行业非甲烷总烃80</w:t>
                  </w:r>
                  <w:r>
                    <w:rPr>
                      <w:color w:val="000000"/>
                      <w:spacing w:val="2"/>
                      <w:szCs w:val="21"/>
                    </w:rPr>
                    <w:t>mg/m³</w:t>
                  </w:r>
                  <w:r>
                    <w:rPr>
                      <w:rFonts w:hint="eastAsia"/>
                      <w:color w:val="000000"/>
                      <w:spacing w:val="2"/>
                      <w:szCs w:val="21"/>
                    </w:rPr>
                    <w:t>、去除效率≥70%；</w:t>
                  </w:r>
                </w:p>
                <w:p>
                  <w:pPr>
                    <w:jc w:val="center"/>
                    <w:textAlignment w:val="baseline"/>
                    <w:rPr>
                      <w:bCs/>
                      <w:szCs w:val="21"/>
                    </w:rPr>
                  </w:pPr>
                  <w:r>
                    <w:rPr>
                      <w:rFonts w:hint="eastAsia"/>
                      <w:color w:val="000000"/>
                      <w:spacing w:val="2"/>
                      <w:szCs w:val="21"/>
                    </w:rPr>
                    <w:t>无组织：厂界处非甲烷总烃2</w:t>
                  </w:r>
                  <w:r>
                    <w:rPr>
                      <w:color w:val="000000"/>
                      <w:spacing w:val="2"/>
                      <w:szCs w:val="21"/>
                    </w:rPr>
                    <w:t>.0mg/m</w:t>
                  </w:r>
                  <w:r>
                    <w:rPr>
                      <w:color w:val="000000"/>
                      <w:spacing w:val="2"/>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935" w:hRule="atLeast"/>
                <w:jc w:val="center"/>
              </w:trPr>
              <w:tc>
                <w:tcPr>
                  <w:tcW w:w="712" w:type="dxa"/>
                  <w:vMerge w:val="continue"/>
                  <w:tcBorders>
                    <w:tl2br w:val="nil"/>
                    <w:tr2bl w:val="nil"/>
                  </w:tcBorders>
                  <w:vAlign w:val="center"/>
                </w:tcPr>
                <w:p>
                  <w:pPr>
                    <w:jc w:val="center"/>
                    <w:rPr>
                      <w:bCs/>
                      <w:szCs w:val="21"/>
                    </w:rPr>
                  </w:pPr>
                </w:p>
              </w:tc>
              <w:tc>
                <w:tcPr>
                  <w:tcW w:w="1313" w:type="dxa"/>
                  <w:tcBorders>
                    <w:tl2br w:val="nil"/>
                    <w:tr2bl w:val="nil"/>
                  </w:tcBorders>
                  <w:vAlign w:val="center"/>
                </w:tcPr>
                <w:p>
                  <w:pPr>
                    <w:widowControl/>
                    <w:jc w:val="center"/>
                    <w:rPr>
                      <w:rFonts w:hint="eastAsia" w:eastAsia="宋体"/>
                      <w:szCs w:val="21"/>
                      <w:lang w:eastAsia="zh-CN"/>
                    </w:rPr>
                  </w:pPr>
                  <w:r>
                    <w:rPr>
                      <w:rFonts w:hint="eastAsia"/>
                      <w:szCs w:val="21"/>
                    </w:rPr>
                    <w:t>破碎</w:t>
                  </w:r>
                  <w:r>
                    <w:rPr>
                      <w:rFonts w:hint="eastAsia"/>
                      <w:szCs w:val="21"/>
                      <w:lang w:eastAsia="zh-CN"/>
                    </w:rPr>
                    <w:t>（</w:t>
                  </w:r>
                  <w:r>
                    <w:rPr>
                      <w:rFonts w:hint="eastAsia"/>
                      <w:szCs w:val="21"/>
                      <w:lang w:val="en-US" w:eastAsia="zh-CN"/>
                    </w:rPr>
                    <w:t>P2排放口</w:t>
                  </w:r>
                  <w:r>
                    <w:rPr>
                      <w:rFonts w:hint="eastAsia"/>
                      <w:szCs w:val="21"/>
                      <w:lang w:eastAsia="zh-CN"/>
                    </w:rPr>
                    <w:t>）</w:t>
                  </w:r>
                </w:p>
              </w:tc>
              <w:tc>
                <w:tcPr>
                  <w:tcW w:w="998" w:type="dxa"/>
                  <w:tcBorders>
                    <w:tl2br w:val="nil"/>
                    <w:tr2bl w:val="nil"/>
                  </w:tcBorders>
                  <w:vAlign w:val="center"/>
                </w:tcPr>
                <w:p>
                  <w:pPr>
                    <w:jc w:val="center"/>
                    <w:rPr>
                      <w:bCs/>
                      <w:szCs w:val="21"/>
                    </w:rPr>
                  </w:pPr>
                  <w:r>
                    <w:rPr>
                      <w:rFonts w:hint="eastAsia"/>
                      <w:bCs/>
                      <w:szCs w:val="21"/>
                    </w:rPr>
                    <w:t>颗粒物</w:t>
                  </w:r>
                </w:p>
              </w:tc>
              <w:tc>
                <w:tcPr>
                  <w:tcW w:w="2818" w:type="dxa"/>
                  <w:gridSpan w:val="2"/>
                  <w:tcBorders>
                    <w:tl2br w:val="nil"/>
                    <w:tr2bl w:val="nil"/>
                  </w:tcBorders>
                  <w:vAlign w:val="center"/>
                </w:tcPr>
                <w:p>
                  <w:pPr>
                    <w:jc w:val="center"/>
                    <w:rPr>
                      <w:rFonts w:hint="eastAsia" w:eastAsia="宋体"/>
                      <w:bCs/>
                      <w:szCs w:val="21"/>
                      <w:lang w:eastAsia="zh-CN"/>
                    </w:rPr>
                  </w:pPr>
                  <w:r>
                    <w:rPr>
                      <w:rFonts w:hint="eastAsia"/>
                      <w:bCs/>
                      <w:szCs w:val="21"/>
                    </w:rPr>
                    <w:t>1个集气罩、1套袋式除尘器、1根15m高排气筒</w:t>
                  </w:r>
                  <w:r>
                    <w:rPr>
                      <w:rFonts w:hint="eastAsia"/>
                      <w:bCs/>
                      <w:szCs w:val="21"/>
                      <w:lang w:eastAsia="zh-CN"/>
                    </w:rPr>
                    <w:t>（</w:t>
                  </w:r>
                  <w:r>
                    <w:rPr>
                      <w:rFonts w:hint="eastAsia"/>
                      <w:bCs/>
                      <w:szCs w:val="21"/>
                      <w:lang w:val="en-US" w:eastAsia="zh-CN"/>
                    </w:rPr>
                    <w:t>P2排放口</w:t>
                  </w:r>
                  <w:r>
                    <w:rPr>
                      <w:rFonts w:hint="eastAsia"/>
                      <w:bCs/>
                      <w:szCs w:val="21"/>
                      <w:lang w:eastAsia="zh-CN"/>
                    </w:rPr>
                    <w:t>）</w:t>
                  </w:r>
                </w:p>
              </w:tc>
              <w:tc>
                <w:tcPr>
                  <w:tcW w:w="2479" w:type="dxa"/>
                  <w:tcBorders>
                    <w:tl2br w:val="nil"/>
                    <w:tr2bl w:val="nil"/>
                  </w:tcBorders>
                  <w:vAlign w:val="center"/>
                </w:tcPr>
                <w:p>
                  <w:pPr>
                    <w:jc w:val="center"/>
                    <w:textAlignment w:val="baseline"/>
                    <w:rPr>
                      <w:color w:val="000000"/>
                      <w:spacing w:val="2"/>
                      <w:szCs w:val="21"/>
                    </w:rPr>
                  </w:pPr>
                  <w:r>
                    <w:rPr>
                      <w:color w:val="000000"/>
                      <w:kern w:val="0"/>
                      <w:szCs w:val="21"/>
                    </w:rPr>
                    <w:t>《大气污染物综合排放标准》（GB16297-1996）</w:t>
                  </w:r>
                  <w:r>
                    <w:rPr>
                      <w:color w:val="000000"/>
                      <w:szCs w:val="21"/>
                    </w:rPr>
                    <w:t>表2颗粒物最高允许排放浓度120mg/m³，最高允许排放速率3.5kg/h（15m高排气筒）要求</w:t>
                  </w:r>
                  <w:r>
                    <w:rPr>
                      <w:rFonts w:hint="eastAsia"/>
                      <w:color w:val="000000"/>
                      <w:szCs w:val="21"/>
                    </w:rPr>
                    <w:t>；</w:t>
                  </w:r>
                  <w:r>
                    <w:rPr>
                      <w:color w:val="000000"/>
                      <w:kern w:val="0"/>
                      <w:szCs w:val="21"/>
                    </w:rPr>
                    <w:t>周界外浓度最高点1.0mg/m³</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869" w:hRule="atLeast"/>
                <w:jc w:val="center"/>
              </w:trPr>
              <w:tc>
                <w:tcPr>
                  <w:tcW w:w="712" w:type="dxa"/>
                  <w:tcBorders>
                    <w:tl2br w:val="nil"/>
                    <w:tr2bl w:val="nil"/>
                  </w:tcBorders>
                  <w:vAlign w:val="center"/>
                </w:tcPr>
                <w:p>
                  <w:pPr>
                    <w:jc w:val="center"/>
                    <w:rPr>
                      <w:szCs w:val="21"/>
                    </w:rPr>
                  </w:pPr>
                  <w:r>
                    <w:rPr>
                      <w:szCs w:val="21"/>
                    </w:rPr>
                    <w:t>废水</w:t>
                  </w:r>
                </w:p>
              </w:tc>
              <w:tc>
                <w:tcPr>
                  <w:tcW w:w="1313" w:type="dxa"/>
                  <w:tcBorders>
                    <w:tl2br w:val="nil"/>
                    <w:tr2bl w:val="nil"/>
                  </w:tcBorders>
                  <w:vAlign w:val="center"/>
                </w:tcPr>
                <w:p>
                  <w:pPr>
                    <w:jc w:val="center"/>
                    <w:rPr>
                      <w:szCs w:val="21"/>
                    </w:rPr>
                  </w:pPr>
                  <w:r>
                    <w:rPr>
                      <w:color w:val="000000"/>
                      <w:kern w:val="0"/>
                      <w:szCs w:val="21"/>
                    </w:rPr>
                    <w:t>生活污水</w:t>
                  </w:r>
                </w:p>
              </w:tc>
              <w:tc>
                <w:tcPr>
                  <w:tcW w:w="998" w:type="dxa"/>
                  <w:tcBorders>
                    <w:tl2br w:val="nil"/>
                    <w:tr2bl w:val="nil"/>
                  </w:tcBorders>
                  <w:vAlign w:val="center"/>
                </w:tcPr>
                <w:p>
                  <w:pPr>
                    <w:jc w:val="center"/>
                    <w:rPr>
                      <w:szCs w:val="21"/>
                    </w:rPr>
                  </w:pPr>
                  <w:r>
                    <w:rPr>
                      <w:szCs w:val="21"/>
                    </w:rPr>
                    <w:t>COD、NH</w:t>
                  </w:r>
                  <w:r>
                    <w:rPr>
                      <w:szCs w:val="21"/>
                      <w:vertAlign w:val="subscript"/>
                    </w:rPr>
                    <w:t>3</w:t>
                  </w:r>
                  <w:r>
                    <w:rPr>
                      <w:szCs w:val="21"/>
                    </w:rPr>
                    <w:t>-N</w:t>
                  </w:r>
                  <w:r>
                    <w:rPr>
                      <w:rFonts w:hint="eastAsia"/>
                      <w:szCs w:val="21"/>
                    </w:rPr>
                    <w:t>、TP</w:t>
                  </w:r>
                </w:p>
              </w:tc>
              <w:tc>
                <w:tcPr>
                  <w:tcW w:w="2818" w:type="dxa"/>
                  <w:gridSpan w:val="2"/>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经</w:t>
                  </w:r>
                  <w:r>
                    <w:rPr>
                      <w:color w:val="000000" w:themeColor="text1"/>
                      <w:kern w:val="0"/>
                      <w:szCs w:val="21"/>
                      <w14:textFill>
                        <w14:solidFill>
                          <w14:schemeClr w14:val="tx1"/>
                        </w14:solidFill>
                      </w14:textFill>
                    </w:rPr>
                    <w:t>化粪池</w:t>
                  </w:r>
                  <w:r>
                    <w:rPr>
                      <w:rFonts w:hint="eastAsia"/>
                      <w:color w:val="000000" w:themeColor="text1"/>
                      <w:kern w:val="0"/>
                      <w:szCs w:val="21"/>
                      <w14:textFill>
                        <w14:solidFill>
                          <w14:schemeClr w14:val="tx1"/>
                        </w14:solidFill>
                      </w14:textFill>
                    </w:rPr>
                    <w:t>处理后排入贾屯污水处理厂</w:t>
                  </w:r>
                </w:p>
              </w:tc>
              <w:tc>
                <w:tcPr>
                  <w:tcW w:w="2479"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贾屯污水处理厂收水水质要求</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153" w:hRule="atLeast"/>
                <w:jc w:val="center"/>
              </w:trPr>
              <w:tc>
                <w:tcPr>
                  <w:tcW w:w="712" w:type="dxa"/>
                  <w:tcBorders>
                    <w:tl2br w:val="nil"/>
                    <w:tr2bl w:val="nil"/>
                  </w:tcBorders>
                  <w:vAlign w:val="center"/>
                </w:tcPr>
                <w:p>
                  <w:pPr>
                    <w:jc w:val="center"/>
                    <w:rPr>
                      <w:szCs w:val="21"/>
                    </w:rPr>
                  </w:pPr>
                  <w:r>
                    <w:rPr>
                      <w:szCs w:val="21"/>
                    </w:rPr>
                    <w:t>噪声</w:t>
                  </w:r>
                </w:p>
              </w:tc>
              <w:tc>
                <w:tcPr>
                  <w:tcW w:w="1313" w:type="dxa"/>
                  <w:tcBorders>
                    <w:tl2br w:val="nil"/>
                    <w:tr2bl w:val="nil"/>
                  </w:tcBorders>
                  <w:vAlign w:val="center"/>
                </w:tcPr>
                <w:p>
                  <w:pPr>
                    <w:jc w:val="center"/>
                    <w:rPr>
                      <w:szCs w:val="21"/>
                    </w:rPr>
                  </w:pPr>
                  <w:r>
                    <w:rPr>
                      <w:rFonts w:hint="eastAsia"/>
                      <w:szCs w:val="21"/>
                    </w:rPr>
                    <w:t>高噪声</w:t>
                  </w:r>
                  <w:r>
                    <w:rPr>
                      <w:szCs w:val="21"/>
                    </w:rPr>
                    <w:t>设备</w:t>
                  </w:r>
                </w:p>
              </w:tc>
              <w:tc>
                <w:tcPr>
                  <w:tcW w:w="998" w:type="dxa"/>
                  <w:tcBorders>
                    <w:tl2br w:val="nil"/>
                    <w:tr2bl w:val="nil"/>
                  </w:tcBorders>
                  <w:vAlign w:val="center"/>
                </w:tcPr>
                <w:p>
                  <w:pPr>
                    <w:jc w:val="center"/>
                    <w:rPr>
                      <w:szCs w:val="21"/>
                    </w:rPr>
                  </w:pPr>
                  <w:r>
                    <w:rPr>
                      <w:szCs w:val="21"/>
                    </w:rPr>
                    <w:t>噪声</w:t>
                  </w:r>
                </w:p>
              </w:tc>
              <w:tc>
                <w:tcPr>
                  <w:tcW w:w="2818" w:type="dxa"/>
                  <w:gridSpan w:val="2"/>
                  <w:tcBorders>
                    <w:tl2br w:val="nil"/>
                    <w:tr2bl w:val="nil"/>
                  </w:tcBorders>
                  <w:vAlign w:val="center"/>
                </w:tcPr>
                <w:p>
                  <w:pPr>
                    <w:jc w:val="center"/>
                    <w:rPr>
                      <w:szCs w:val="21"/>
                    </w:rPr>
                  </w:pPr>
                  <w:r>
                    <w:rPr>
                      <w:szCs w:val="21"/>
                    </w:rPr>
                    <w:t>高噪声设备减振基础、厂房隔声及距离衰减</w:t>
                  </w:r>
                </w:p>
              </w:tc>
              <w:tc>
                <w:tcPr>
                  <w:tcW w:w="2479" w:type="dxa"/>
                  <w:tcBorders>
                    <w:tl2br w:val="nil"/>
                    <w:tr2bl w:val="nil"/>
                  </w:tcBorders>
                  <w:vAlign w:val="center"/>
                </w:tcPr>
                <w:p>
                  <w:pPr>
                    <w:jc w:val="center"/>
                    <w:rPr>
                      <w:szCs w:val="21"/>
                    </w:rPr>
                  </w:pPr>
                  <w:r>
                    <w:rPr>
                      <w:color w:val="000000"/>
                      <w:kern w:val="0"/>
                      <w:szCs w:val="21"/>
                    </w:rPr>
                    <w:t>《工业企业厂界环境噪声排放标准》（GB12348-2008）</w:t>
                  </w:r>
                  <w:r>
                    <w:rPr>
                      <w:rFonts w:hint="eastAsia"/>
                      <w:color w:val="000000"/>
                      <w:kern w:val="0"/>
                      <w:szCs w:val="21"/>
                    </w:rPr>
                    <w:t>3</w:t>
                  </w:r>
                  <w:r>
                    <w:rPr>
                      <w:color w:val="000000"/>
                      <w:kern w:val="0"/>
                      <w:szCs w:val="21"/>
                    </w:rPr>
                    <w:t>类标准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1153" w:hRule="atLeast"/>
                <w:jc w:val="center"/>
              </w:trPr>
              <w:tc>
                <w:tcPr>
                  <w:tcW w:w="712" w:type="dxa"/>
                  <w:vMerge w:val="restart"/>
                  <w:tcBorders>
                    <w:tl2br w:val="nil"/>
                    <w:tr2bl w:val="nil"/>
                  </w:tcBorders>
                  <w:vAlign w:val="center"/>
                </w:tcPr>
                <w:p>
                  <w:pPr>
                    <w:jc w:val="center"/>
                    <w:rPr>
                      <w:szCs w:val="21"/>
                    </w:rPr>
                  </w:pPr>
                  <w:r>
                    <w:rPr>
                      <w:szCs w:val="21"/>
                    </w:rPr>
                    <w:t>固废</w:t>
                  </w:r>
                </w:p>
              </w:tc>
              <w:tc>
                <w:tcPr>
                  <w:tcW w:w="1313" w:type="dxa"/>
                  <w:tcBorders>
                    <w:bottom w:val="single" w:color="auto" w:sz="4" w:space="0"/>
                    <w:tl2br w:val="nil"/>
                    <w:tr2bl w:val="nil"/>
                  </w:tcBorders>
                  <w:vAlign w:val="center"/>
                </w:tcPr>
                <w:p>
                  <w:pPr>
                    <w:jc w:val="center"/>
                    <w:rPr>
                      <w:szCs w:val="21"/>
                    </w:rPr>
                  </w:pPr>
                  <w:r>
                    <w:rPr>
                      <w:rFonts w:hint="eastAsia"/>
                      <w:snapToGrid w:val="0"/>
                      <w:kern w:val="0"/>
                      <w:szCs w:val="21"/>
                    </w:rPr>
                    <w:t>检验</w:t>
                  </w:r>
                </w:p>
              </w:tc>
              <w:tc>
                <w:tcPr>
                  <w:tcW w:w="998" w:type="dxa"/>
                  <w:tcBorders>
                    <w:bottom w:val="single" w:color="auto" w:sz="4" w:space="0"/>
                    <w:tl2br w:val="nil"/>
                    <w:tr2bl w:val="nil"/>
                  </w:tcBorders>
                  <w:vAlign w:val="center"/>
                </w:tcPr>
                <w:p>
                  <w:pPr>
                    <w:jc w:val="center"/>
                    <w:rPr>
                      <w:szCs w:val="21"/>
                    </w:rPr>
                  </w:pPr>
                  <w:r>
                    <w:rPr>
                      <w:rFonts w:hint="eastAsia"/>
                      <w:szCs w:val="21"/>
                    </w:rPr>
                    <w:t>不合格品</w:t>
                  </w:r>
                </w:p>
              </w:tc>
              <w:tc>
                <w:tcPr>
                  <w:tcW w:w="2818" w:type="dxa"/>
                  <w:gridSpan w:val="2"/>
                  <w:tcBorders>
                    <w:tl2br w:val="nil"/>
                    <w:tr2bl w:val="nil"/>
                  </w:tcBorders>
                  <w:vAlign w:val="center"/>
                </w:tcPr>
                <w:p>
                  <w:pPr>
                    <w:jc w:val="center"/>
                    <w:rPr>
                      <w:szCs w:val="21"/>
                    </w:rPr>
                  </w:pPr>
                  <w:r>
                    <w:rPr>
                      <w:szCs w:val="21"/>
                    </w:rPr>
                    <w:t>设置一般固废暂存间</w:t>
                  </w:r>
                  <w:r>
                    <w:rPr>
                      <w:rFonts w:hint="eastAsia"/>
                      <w:szCs w:val="21"/>
                    </w:rPr>
                    <w:t>10</w:t>
                  </w:r>
                  <w:r>
                    <w:rPr>
                      <w:szCs w:val="21"/>
                    </w:rPr>
                    <w:t>m</w:t>
                  </w:r>
                  <w:r>
                    <w:rPr>
                      <w:szCs w:val="21"/>
                      <w:vertAlign w:val="superscript"/>
                    </w:rPr>
                    <w:t>2</w:t>
                  </w:r>
                </w:p>
              </w:tc>
              <w:tc>
                <w:tcPr>
                  <w:tcW w:w="2479" w:type="dxa"/>
                  <w:tcBorders>
                    <w:tl2br w:val="nil"/>
                    <w:tr2bl w:val="nil"/>
                  </w:tcBorders>
                  <w:vAlign w:val="center"/>
                </w:tcPr>
                <w:p>
                  <w:pPr>
                    <w:jc w:val="center"/>
                    <w:rPr>
                      <w:color w:val="000000"/>
                      <w:kern w:val="0"/>
                      <w:szCs w:val="21"/>
                    </w:rPr>
                  </w:pPr>
                  <w:r>
                    <w:rPr>
                      <w:color w:val="000000"/>
                      <w:kern w:val="0"/>
                      <w:szCs w:val="21"/>
                    </w:rPr>
                    <w:t>《一般工业固体废物贮存、处置场污染控制标准》</w:t>
                  </w:r>
                </w:p>
                <w:p>
                  <w:pPr>
                    <w:jc w:val="center"/>
                    <w:rPr>
                      <w:szCs w:val="21"/>
                    </w:rPr>
                  </w:pPr>
                  <w:r>
                    <w:rPr>
                      <w:color w:val="000000"/>
                      <w:kern w:val="0"/>
                      <w:szCs w:val="21"/>
                    </w:rPr>
                    <w:t>（GB 18599-2001）及修改单</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513" w:hRule="atLeast"/>
                <w:jc w:val="center"/>
              </w:trPr>
              <w:tc>
                <w:tcPr>
                  <w:tcW w:w="712" w:type="dxa"/>
                  <w:vMerge w:val="continue"/>
                  <w:tcBorders>
                    <w:tl2br w:val="nil"/>
                    <w:tr2bl w:val="nil"/>
                  </w:tcBorders>
                  <w:vAlign w:val="center"/>
                </w:tcPr>
                <w:p>
                  <w:pPr>
                    <w:jc w:val="center"/>
                    <w:rPr>
                      <w:szCs w:val="21"/>
                    </w:rPr>
                  </w:pPr>
                </w:p>
              </w:tc>
              <w:tc>
                <w:tcPr>
                  <w:tcW w:w="1313" w:type="dxa"/>
                  <w:tcBorders>
                    <w:bottom w:val="single" w:color="auto" w:sz="4" w:space="0"/>
                    <w:tl2br w:val="nil"/>
                    <w:tr2bl w:val="nil"/>
                  </w:tcBorders>
                  <w:vAlign w:val="center"/>
                </w:tcPr>
                <w:p>
                  <w:pPr>
                    <w:adjustRightInd w:val="0"/>
                    <w:snapToGrid w:val="0"/>
                    <w:jc w:val="center"/>
                    <w:rPr>
                      <w:snapToGrid w:val="0"/>
                      <w:kern w:val="0"/>
                      <w:szCs w:val="21"/>
                    </w:rPr>
                  </w:pPr>
                  <w:r>
                    <w:rPr>
                      <w:rFonts w:hint="eastAsia"/>
                      <w:snapToGrid w:val="0"/>
                      <w:kern w:val="21"/>
                      <w:szCs w:val="21"/>
                    </w:rPr>
                    <w:t>活性炭吸附装置</w:t>
                  </w:r>
                </w:p>
              </w:tc>
              <w:tc>
                <w:tcPr>
                  <w:tcW w:w="998" w:type="dxa"/>
                  <w:tcBorders>
                    <w:bottom w:val="single" w:color="auto" w:sz="4" w:space="0"/>
                    <w:tl2br w:val="nil"/>
                    <w:tr2bl w:val="nil"/>
                  </w:tcBorders>
                  <w:vAlign w:val="center"/>
                </w:tcPr>
                <w:p>
                  <w:pPr>
                    <w:adjustRightInd w:val="0"/>
                    <w:snapToGrid w:val="0"/>
                    <w:jc w:val="center"/>
                    <w:rPr>
                      <w:szCs w:val="21"/>
                    </w:rPr>
                  </w:pPr>
                  <w:r>
                    <w:rPr>
                      <w:rFonts w:hint="eastAsia"/>
                      <w:snapToGrid w:val="0"/>
                      <w:kern w:val="21"/>
                      <w:szCs w:val="21"/>
                    </w:rPr>
                    <w:t>废活性炭</w:t>
                  </w:r>
                </w:p>
              </w:tc>
              <w:tc>
                <w:tcPr>
                  <w:tcW w:w="1526" w:type="dxa"/>
                  <w:tcBorders>
                    <w:tl2br w:val="nil"/>
                    <w:tr2bl w:val="nil"/>
                  </w:tcBorders>
                  <w:vAlign w:val="center"/>
                </w:tcPr>
                <w:p>
                  <w:pPr>
                    <w:adjustRightInd w:val="0"/>
                    <w:snapToGrid w:val="0"/>
                    <w:jc w:val="center"/>
                    <w:rPr>
                      <w:szCs w:val="21"/>
                    </w:rPr>
                  </w:pPr>
                  <w:r>
                    <w:rPr>
                      <w:rFonts w:hint="eastAsia"/>
                      <w:color w:val="000000"/>
                      <w:szCs w:val="21"/>
                    </w:rPr>
                    <w:t>专门容器收集</w:t>
                  </w:r>
                </w:p>
              </w:tc>
              <w:tc>
                <w:tcPr>
                  <w:tcW w:w="1292" w:type="dxa"/>
                  <w:vMerge w:val="restart"/>
                  <w:tcBorders>
                    <w:tl2br w:val="nil"/>
                    <w:tr2bl w:val="nil"/>
                  </w:tcBorders>
                  <w:vAlign w:val="center"/>
                </w:tcPr>
                <w:p>
                  <w:pPr>
                    <w:jc w:val="center"/>
                    <w:rPr>
                      <w:szCs w:val="21"/>
                    </w:rPr>
                  </w:pPr>
                  <w:r>
                    <w:rPr>
                      <w:rFonts w:hint="eastAsia"/>
                      <w:szCs w:val="21"/>
                    </w:rPr>
                    <w:t>由厂家更换时回收</w:t>
                  </w:r>
                </w:p>
              </w:tc>
              <w:tc>
                <w:tcPr>
                  <w:tcW w:w="2479" w:type="dxa"/>
                  <w:vMerge w:val="restart"/>
                  <w:tcBorders>
                    <w:tl2br w:val="nil"/>
                    <w:tr2bl w:val="nil"/>
                  </w:tcBorders>
                  <w:vAlign w:val="center"/>
                </w:tcPr>
                <w:p>
                  <w:pPr>
                    <w:jc w:val="center"/>
                    <w:rPr>
                      <w:color w:val="000000"/>
                      <w:kern w:val="0"/>
                      <w:szCs w:val="21"/>
                    </w:rPr>
                  </w:pPr>
                  <w:r>
                    <w:rPr>
                      <w:rFonts w:hint="eastAsia"/>
                      <w:color w:val="000000"/>
                      <w:kern w:val="0"/>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586" w:hRule="atLeast"/>
                <w:jc w:val="center"/>
              </w:trPr>
              <w:tc>
                <w:tcPr>
                  <w:tcW w:w="712" w:type="dxa"/>
                  <w:vMerge w:val="continue"/>
                  <w:tcBorders>
                    <w:tl2br w:val="nil"/>
                    <w:tr2bl w:val="nil"/>
                  </w:tcBorders>
                  <w:vAlign w:val="center"/>
                </w:tcPr>
                <w:p>
                  <w:pPr>
                    <w:jc w:val="center"/>
                    <w:rPr>
                      <w:szCs w:val="21"/>
                    </w:rPr>
                  </w:pPr>
                </w:p>
              </w:tc>
              <w:tc>
                <w:tcPr>
                  <w:tcW w:w="1313" w:type="dxa"/>
                  <w:vMerge w:val="restart"/>
                  <w:tcBorders>
                    <w:top w:val="single" w:color="auto" w:sz="4" w:space="0"/>
                    <w:tl2br w:val="nil"/>
                    <w:tr2bl w:val="nil"/>
                  </w:tcBorders>
                  <w:vAlign w:val="center"/>
                </w:tcPr>
                <w:p>
                  <w:pPr>
                    <w:jc w:val="center"/>
                    <w:rPr>
                      <w:snapToGrid w:val="0"/>
                      <w:kern w:val="0"/>
                      <w:szCs w:val="21"/>
                    </w:rPr>
                  </w:pPr>
                  <w:r>
                    <w:rPr>
                      <w:rFonts w:hint="eastAsia"/>
                      <w:snapToGrid w:val="0"/>
                      <w:kern w:val="21"/>
                      <w:szCs w:val="21"/>
                    </w:rPr>
                    <w:t>UV光催化氧化设备</w:t>
                  </w:r>
                </w:p>
              </w:tc>
              <w:tc>
                <w:tcPr>
                  <w:tcW w:w="998" w:type="dxa"/>
                  <w:tcBorders>
                    <w:top w:val="single" w:color="auto" w:sz="4" w:space="0"/>
                    <w:bottom w:val="single" w:color="auto" w:sz="4" w:space="0"/>
                    <w:tl2br w:val="nil"/>
                    <w:tr2bl w:val="nil"/>
                  </w:tcBorders>
                  <w:vAlign w:val="center"/>
                </w:tcPr>
                <w:p>
                  <w:pPr>
                    <w:jc w:val="center"/>
                    <w:rPr>
                      <w:snapToGrid w:val="0"/>
                      <w:kern w:val="21"/>
                      <w:szCs w:val="21"/>
                    </w:rPr>
                  </w:pPr>
                  <w:r>
                    <w:rPr>
                      <w:rFonts w:hint="eastAsia"/>
                      <w:snapToGrid w:val="0"/>
                      <w:kern w:val="21"/>
                      <w:szCs w:val="21"/>
                    </w:rPr>
                    <w:t>废催化板</w:t>
                  </w:r>
                </w:p>
              </w:tc>
              <w:tc>
                <w:tcPr>
                  <w:tcW w:w="1526" w:type="dxa"/>
                  <w:tcBorders>
                    <w:top w:val="single" w:color="auto" w:sz="4" w:space="0"/>
                    <w:bottom w:val="single" w:color="auto" w:sz="4" w:space="0"/>
                    <w:tl2br w:val="nil"/>
                    <w:tr2bl w:val="nil"/>
                  </w:tcBorders>
                  <w:vAlign w:val="center"/>
                </w:tcPr>
                <w:p>
                  <w:pPr>
                    <w:jc w:val="center"/>
                    <w:rPr>
                      <w:color w:val="000000"/>
                      <w:szCs w:val="21"/>
                    </w:rPr>
                  </w:pPr>
                  <w:r>
                    <w:rPr>
                      <w:rFonts w:hint="eastAsia"/>
                      <w:snapToGrid w:val="0"/>
                      <w:kern w:val="21"/>
                      <w:szCs w:val="21"/>
                    </w:rPr>
                    <w:t>专门容器收集</w:t>
                  </w:r>
                </w:p>
              </w:tc>
              <w:tc>
                <w:tcPr>
                  <w:tcW w:w="1292" w:type="dxa"/>
                  <w:vMerge w:val="continue"/>
                  <w:tcBorders>
                    <w:bottom w:val="single" w:color="auto" w:sz="4" w:space="0"/>
                    <w:tl2br w:val="nil"/>
                    <w:tr2bl w:val="nil"/>
                  </w:tcBorders>
                  <w:vAlign w:val="center"/>
                </w:tcPr>
                <w:p>
                  <w:pPr>
                    <w:jc w:val="center"/>
                    <w:rPr>
                      <w:szCs w:val="21"/>
                    </w:rPr>
                  </w:pPr>
                </w:p>
              </w:tc>
              <w:tc>
                <w:tcPr>
                  <w:tcW w:w="2479" w:type="dxa"/>
                  <w:vMerge w:val="continue"/>
                  <w:tcBorders>
                    <w:bottom w:val="single" w:color="auto" w:sz="4" w:space="0"/>
                    <w:tl2br w:val="nil"/>
                    <w:tr2bl w:val="nil"/>
                  </w:tcBorders>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31" w:hRule="atLeast"/>
                <w:jc w:val="center"/>
              </w:trPr>
              <w:tc>
                <w:tcPr>
                  <w:tcW w:w="712" w:type="dxa"/>
                  <w:vMerge w:val="continue"/>
                  <w:tcBorders>
                    <w:tl2br w:val="nil"/>
                    <w:tr2bl w:val="nil"/>
                  </w:tcBorders>
                  <w:vAlign w:val="center"/>
                </w:tcPr>
                <w:p>
                  <w:pPr>
                    <w:jc w:val="center"/>
                    <w:rPr>
                      <w:szCs w:val="21"/>
                    </w:rPr>
                  </w:pPr>
                </w:p>
              </w:tc>
              <w:tc>
                <w:tcPr>
                  <w:tcW w:w="1313" w:type="dxa"/>
                  <w:vMerge w:val="continue"/>
                  <w:tcBorders>
                    <w:tl2br w:val="nil"/>
                    <w:tr2bl w:val="nil"/>
                  </w:tcBorders>
                  <w:vAlign w:val="center"/>
                </w:tcPr>
                <w:p>
                  <w:pPr>
                    <w:jc w:val="center"/>
                    <w:rPr>
                      <w:snapToGrid w:val="0"/>
                      <w:kern w:val="0"/>
                      <w:szCs w:val="21"/>
                    </w:rPr>
                  </w:pPr>
                </w:p>
              </w:tc>
              <w:tc>
                <w:tcPr>
                  <w:tcW w:w="998" w:type="dxa"/>
                  <w:tcBorders>
                    <w:top w:val="single" w:color="auto" w:sz="4" w:space="0"/>
                    <w:tl2br w:val="nil"/>
                    <w:tr2bl w:val="nil"/>
                  </w:tcBorders>
                  <w:vAlign w:val="center"/>
                </w:tcPr>
                <w:p>
                  <w:pPr>
                    <w:jc w:val="center"/>
                    <w:rPr>
                      <w:snapToGrid w:val="0"/>
                      <w:kern w:val="21"/>
                      <w:szCs w:val="21"/>
                    </w:rPr>
                  </w:pPr>
                  <w:r>
                    <w:rPr>
                      <w:rFonts w:hint="eastAsia"/>
                      <w:snapToGrid w:val="0"/>
                      <w:kern w:val="21"/>
                      <w:szCs w:val="21"/>
                    </w:rPr>
                    <w:t>废灯管</w:t>
                  </w:r>
                </w:p>
              </w:tc>
              <w:tc>
                <w:tcPr>
                  <w:tcW w:w="1526" w:type="dxa"/>
                  <w:tcBorders>
                    <w:top w:val="single" w:color="auto" w:sz="4" w:space="0"/>
                    <w:tl2br w:val="nil"/>
                    <w:tr2bl w:val="nil"/>
                  </w:tcBorders>
                  <w:vAlign w:val="center"/>
                </w:tcPr>
                <w:p>
                  <w:pPr>
                    <w:jc w:val="center"/>
                    <w:rPr>
                      <w:szCs w:val="21"/>
                    </w:rPr>
                  </w:pPr>
                  <w:r>
                    <w:rPr>
                      <w:rFonts w:hint="eastAsia"/>
                      <w:color w:val="000000"/>
                      <w:szCs w:val="21"/>
                    </w:rPr>
                    <w:t>专门容器收集</w:t>
                  </w:r>
                </w:p>
              </w:tc>
              <w:tc>
                <w:tcPr>
                  <w:tcW w:w="1292" w:type="dxa"/>
                  <w:vMerge w:val="restart"/>
                  <w:tcBorders>
                    <w:top w:val="single" w:color="auto" w:sz="4" w:space="0"/>
                    <w:bottom w:val="single" w:color="auto" w:sz="4" w:space="0"/>
                    <w:tl2br w:val="nil"/>
                    <w:tr2bl w:val="nil"/>
                  </w:tcBorders>
                  <w:vAlign w:val="center"/>
                </w:tcPr>
                <w:p>
                  <w:pPr>
                    <w:jc w:val="center"/>
                    <w:rPr>
                      <w:color w:val="000000"/>
                      <w:szCs w:val="21"/>
                    </w:rPr>
                  </w:pPr>
                  <w:r>
                    <w:rPr>
                      <w:szCs w:val="21"/>
                    </w:rPr>
                    <w:t>设置</w:t>
                  </w:r>
                  <w:r>
                    <w:rPr>
                      <w:rFonts w:hint="eastAsia"/>
                      <w:szCs w:val="21"/>
                    </w:rPr>
                    <w:t>危废</w:t>
                  </w:r>
                  <w:r>
                    <w:rPr>
                      <w:szCs w:val="21"/>
                    </w:rPr>
                    <w:t>暂存间</w:t>
                  </w:r>
                  <w:r>
                    <w:rPr>
                      <w:rFonts w:hint="eastAsia"/>
                      <w:szCs w:val="21"/>
                    </w:rPr>
                    <w:t>10</w:t>
                  </w:r>
                  <w:r>
                    <w:rPr>
                      <w:szCs w:val="21"/>
                    </w:rPr>
                    <w:t>m</w:t>
                  </w:r>
                  <w:r>
                    <w:rPr>
                      <w:szCs w:val="21"/>
                      <w:vertAlign w:val="superscript"/>
                    </w:rPr>
                    <w:t>2</w:t>
                  </w:r>
                  <w:r>
                    <w:rPr>
                      <w:rFonts w:hint="eastAsia"/>
                      <w:szCs w:val="21"/>
                    </w:rPr>
                    <w:t>集中收存，交由资质单位处理</w:t>
                  </w:r>
                </w:p>
              </w:tc>
              <w:tc>
                <w:tcPr>
                  <w:tcW w:w="2479" w:type="dxa"/>
                  <w:vMerge w:val="restart"/>
                  <w:tcBorders>
                    <w:top w:val="single" w:color="auto" w:sz="4" w:space="0"/>
                    <w:bottom w:val="single" w:color="auto" w:sz="4" w:space="0"/>
                    <w:tl2br w:val="nil"/>
                    <w:tr2bl w:val="nil"/>
                  </w:tcBorders>
                  <w:vAlign w:val="center"/>
                </w:tcPr>
                <w:p>
                  <w:pPr>
                    <w:jc w:val="center"/>
                    <w:rPr>
                      <w:szCs w:val="21"/>
                    </w:rPr>
                  </w:pPr>
                  <w:r>
                    <w:rPr>
                      <w:szCs w:val="21"/>
                    </w:rPr>
                    <w:t>《危险废物贮存污染物控制标准》（GB18597-2001）及其修改单</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31" w:hRule="atLeast"/>
                <w:jc w:val="center"/>
              </w:trPr>
              <w:tc>
                <w:tcPr>
                  <w:tcW w:w="712" w:type="dxa"/>
                  <w:vMerge w:val="continue"/>
                  <w:tcBorders>
                    <w:tl2br w:val="nil"/>
                    <w:tr2bl w:val="nil"/>
                  </w:tcBorders>
                  <w:vAlign w:val="center"/>
                </w:tcPr>
                <w:p>
                  <w:pPr>
                    <w:jc w:val="center"/>
                    <w:rPr>
                      <w:szCs w:val="21"/>
                    </w:rPr>
                  </w:pPr>
                </w:p>
              </w:tc>
              <w:tc>
                <w:tcPr>
                  <w:tcW w:w="1313" w:type="dxa"/>
                  <w:vMerge w:val="restart"/>
                  <w:tcBorders>
                    <w:top w:val="single" w:color="auto" w:sz="4" w:space="0"/>
                    <w:bottom w:val="single" w:color="auto" w:sz="4" w:space="0"/>
                    <w:tl2br w:val="nil"/>
                    <w:tr2bl w:val="nil"/>
                  </w:tcBorders>
                  <w:vAlign w:val="center"/>
                </w:tcPr>
                <w:p>
                  <w:pPr>
                    <w:jc w:val="center"/>
                    <w:rPr>
                      <w:snapToGrid w:val="0"/>
                      <w:kern w:val="0"/>
                      <w:szCs w:val="21"/>
                    </w:rPr>
                  </w:pPr>
                  <w:r>
                    <w:rPr>
                      <w:rFonts w:hint="eastAsia"/>
                      <w:snapToGrid w:val="0"/>
                      <w:kern w:val="21"/>
                      <w:szCs w:val="21"/>
                    </w:rPr>
                    <w:t>设备检修</w:t>
                  </w:r>
                </w:p>
              </w:tc>
              <w:tc>
                <w:tcPr>
                  <w:tcW w:w="998" w:type="dxa"/>
                  <w:tcBorders>
                    <w:top w:val="single" w:color="auto" w:sz="4" w:space="0"/>
                    <w:bottom w:val="single" w:color="auto" w:sz="4" w:space="0"/>
                    <w:tl2br w:val="nil"/>
                    <w:tr2bl w:val="nil"/>
                  </w:tcBorders>
                  <w:vAlign w:val="center"/>
                </w:tcPr>
                <w:p>
                  <w:pPr>
                    <w:jc w:val="center"/>
                    <w:rPr>
                      <w:snapToGrid w:val="0"/>
                      <w:kern w:val="0"/>
                      <w:szCs w:val="21"/>
                    </w:rPr>
                  </w:pPr>
                  <w:r>
                    <w:rPr>
                      <w:rFonts w:hint="eastAsia"/>
                      <w:snapToGrid w:val="0"/>
                      <w:kern w:val="21"/>
                      <w:szCs w:val="21"/>
                    </w:rPr>
                    <w:t>废机油</w:t>
                  </w:r>
                </w:p>
              </w:tc>
              <w:tc>
                <w:tcPr>
                  <w:tcW w:w="1526" w:type="dxa"/>
                  <w:tcBorders>
                    <w:top w:val="single" w:color="auto" w:sz="4" w:space="0"/>
                    <w:bottom w:val="single" w:color="auto" w:sz="4" w:space="0"/>
                    <w:tl2br w:val="nil"/>
                    <w:tr2bl w:val="nil"/>
                  </w:tcBorders>
                  <w:vAlign w:val="center"/>
                </w:tcPr>
                <w:p>
                  <w:pPr>
                    <w:jc w:val="center"/>
                    <w:rPr>
                      <w:color w:val="000000"/>
                      <w:szCs w:val="21"/>
                    </w:rPr>
                  </w:pPr>
                  <w:r>
                    <w:rPr>
                      <w:rFonts w:hint="eastAsia"/>
                      <w:color w:val="000000"/>
                      <w:szCs w:val="21"/>
                    </w:rPr>
                    <w:t>塑料桶收集</w:t>
                  </w:r>
                </w:p>
              </w:tc>
              <w:tc>
                <w:tcPr>
                  <w:tcW w:w="1292" w:type="dxa"/>
                  <w:vMerge w:val="continue"/>
                  <w:tcBorders>
                    <w:top w:val="single" w:color="auto" w:sz="4" w:space="0"/>
                    <w:bottom w:val="single" w:color="auto" w:sz="4" w:space="0"/>
                    <w:tl2br w:val="nil"/>
                    <w:tr2bl w:val="nil"/>
                  </w:tcBorders>
                  <w:vAlign w:val="center"/>
                </w:tcPr>
                <w:p>
                  <w:pPr>
                    <w:jc w:val="center"/>
                    <w:rPr>
                      <w:color w:val="000000"/>
                      <w:szCs w:val="21"/>
                    </w:rPr>
                  </w:pPr>
                </w:p>
              </w:tc>
              <w:tc>
                <w:tcPr>
                  <w:tcW w:w="2479" w:type="dxa"/>
                  <w:vMerge w:val="continue"/>
                  <w:tcBorders>
                    <w:top w:val="single" w:color="auto" w:sz="4" w:space="0"/>
                    <w:bottom w:val="single" w:color="auto" w:sz="4" w:space="0"/>
                    <w:tl2br w:val="nil"/>
                    <w:tr2bl w:val="nil"/>
                  </w:tcBorders>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586" w:hRule="atLeast"/>
                <w:jc w:val="center"/>
              </w:trPr>
              <w:tc>
                <w:tcPr>
                  <w:tcW w:w="712" w:type="dxa"/>
                  <w:vMerge w:val="continue"/>
                  <w:tcBorders>
                    <w:tl2br w:val="nil"/>
                    <w:tr2bl w:val="nil"/>
                  </w:tcBorders>
                  <w:vAlign w:val="center"/>
                </w:tcPr>
                <w:p>
                  <w:pPr>
                    <w:jc w:val="center"/>
                    <w:rPr>
                      <w:szCs w:val="21"/>
                    </w:rPr>
                  </w:pPr>
                </w:p>
              </w:tc>
              <w:tc>
                <w:tcPr>
                  <w:tcW w:w="1313" w:type="dxa"/>
                  <w:vMerge w:val="continue"/>
                  <w:tcBorders>
                    <w:top w:val="single" w:color="auto" w:sz="4" w:space="0"/>
                    <w:tl2br w:val="nil"/>
                    <w:tr2bl w:val="nil"/>
                  </w:tcBorders>
                  <w:vAlign w:val="center"/>
                </w:tcPr>
                <w:p>
                  <w:pPr>
                    <w:jc w:val="center"/>
                    <w:rPr>
                      <w:snapToGrid w:val="0"/>
                      <w:kern w:val="0"/>
                      <w:szCs w:val="21"/>
                    </w:rPr>
                  </w:pPr>
                </w:p>
              </w:tc>
              <w:tc>
                <w:tcPr>
                  <w:tcW w:w="998" w:type="dxa"/>
                  <w:tcBorders>
                    <w:top w:val="single" w:color="auto" w:sz="4" w:space="0"/>
                    <w:tl2br w:val="nil"/>
                    <w:tr2bl w:val="nil"/>
                  </w:tcBorders>
                  <w:vAlign w:val="center"/>
                </w:tcPr>
                <w:p>
                  <w:pPr>
                    <w:jc w:val="center"/>
                    <w:rPr>
                      <w:snapToGrid w:val="0"/>
                      <w:kern w:val="0"/>
                      <w:szCs w:val="21"/>
                    </w:rPr>
                  </w:pPr>
                  <w:r>
                    <w:rPr>
                      <w:rFonts w:hint="eastAsia"/>
                      <w:snapToGrid w:val="0"/>
                      <w:kern w:val="21"/>
                      <w:szCs w:val="21"/>
                    </w:rPr>
                    <w:t>废液压油</w:t>
                  </w:r>
                </w:p>
              </w:tc>
              <w:tc>
                <w:tcPr>
                  <w:tcW w:w="1526" w:type="dxa"/>
                  <w:tcBorders>
                    <w:top w:val="single" w:color="auto" w:sz="4" w:space="0"/>
                    <w:bottom w:val="single" w:color="auto" w:sz="4" w:space="0"/>
                    <w:tl2br w:val="nil"/>
                    <w:tr2bl w:val="nil"/>
                  </w:tcBorders>
                  <w:vAlign w:val="center"/>
                </w:tcPr>
                <w:p>
                  <w:pPr>
                    <w:jc w:val="center"/>
                    <w:rPr>
                      <w:color w:val="000000"/>
                      <w:szCs w:val="21"/>
                    </w:rPr>
                  </w:pPr>
                  <w:r>
                    <w:rPr>
                      <w:rFonts w:hint="eastAsia"/>
                      <w:color w:val="000000"/>
                      <w:szCs w:val="21"/>
                    </w:rPr>
                    <w:t>塑料桶收集</w:t>
                  </w:r>
                </w:p>
              </w:tc>
              <w:tc>
                <w:tcPr>
                  <w:tcW w:w="1292" w:type="dxa"/>
                  <w:vMerge w:val="continue"/>
                  <w:tcBorders>
                    <w:top w:val="single" w:color="auto" w:sz="4" w:space="0"/>
                    <w:bottom w:val="single" w:color="auto" w:sz="4" w:space="0"/>
                    <w:tl2br w:val="nil"/>
                    <w:tr2bl w:val="nil"/>
                  </w:tcBorders>
                  <w:vAlign w:val="center"/>
                </w:tcPr>
                <w:p>
                  <w:pPr>
                    <w:jc w:val="center"/>
                    <w:rPr>
                      <w:color w:val="000000"/>
                      <w:szCs w:val="21"/>
                    </w:rPr>
                  </w:pPr>
                </w:p>
              </w:tc>
              <w:tc>
                <w:tcPr>
                  <w:tcW w:w="2479" w:type="dxa"/>
                  <w:vMerge w:val="continue"/>
                  <w:tcBorders>
                    <w:top w:val="single" w:color="auto" w:sz="4" w:space="0"/>
                    <w:bottom w:val="single" w:color="auto" w:sz="4" w:space="0"/>
                    <w:tl2br w:val="nil"/>
                    <w:tr2bl w:val="nil"/>
                  </w:tcBorders>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586" w:hRule="atLeast"/>
                <w:jc w:val="center"/>
              </w:trPr>
              <w:tc>
                <w:tcPr>
                  <w:tcW w:w="712" w:type="dxa"/>
                  <w:vMerge w:val="continue"/>
                  <w:tcBorders>
                    <w:tl2br w:val="nil"/>
                    <w:tr2bl w:val="nil"/>
                  </w:tcBorders>
                  <w:vAlign w:val="center"/>
                </w:tcPr>
                <w:p>
                  <w:pPr>
                    <w:jc w:val="center"/>
                    <w:rPr>
                      <w:szCs w:val="21"/>
                    </w:rPr>
                  </w:pPr>
                </w:p>
              </w:tc>
              <w:tc>
                <w:tcPr>
                  <w:tcW w:w="1313" w:type="dxa"/>
                  <w:tcBorders>
                    <w:tl2br w:val="nil"/>
                    <w:tr2bl w:val="nil"/>
                  </w:tcBorders>
                  <w:vAlign w:val="center"/>
                </w:tcPr>
                <w:p>
                  <w:pPr>
                    <w:jc w:val="center"/>
                    <w:rPr>
                      <w:szCs w:val="21"/>
                    </w:rPr>
                  </w:pPr>
                  <w:r>
                    <w:rPr>
                      <w:rFonts w:hint="eastAsia"/>
                      <w:snapToGrid w:val="0"/>
                      <w:kern w:val="21"/>
                      <w:szCs w:val="21"/>
                    </w:rPr>
                    <w:t>职工生活</w:t>
                  </w:r>
                </w:p>
              </w:tc>
              <w:tc>
                <w:tcPr>
                  <w:tcW w:w="998" w:type="dxa"/>
                  <w:tcBorders>
                    <w:tl2br w:val="nil"/>
                    <w:tr2bl w:val="nil"/>
                  </w:tcBorders>
                  <w:vAlign w:val="center"/>
                </w:tcPr>
                <w:p>
                  <w:pPr>
                    <w:jc w:val="center"/>
                    <w:rPr>
                      <w:szCs w:val="21"/>
                    </w:rPr>
                  </w:pPr>
                  <w:r>
                    <w:rPr>
                      <w:rFonts w:hint="eastAsia"/>
                      <w:snapToGrid w:val="0"/>
                      <w:kern w:val="21"/>
                      <w:szCs w:val="21"/>
                    </w:rPr>
                    <w:t>生活垃圾</w:t>
                  </w:r>
                </w:p>
              </w:tc>
              <w:tc>
                <w:tcPr>
                  <w:tcW w:w="2818" w:type="dxa"/>
                  <w:gridSpan w:val="2"/>
                  <w:tcBorders>
                    <w:top w:val="single" w:color="auto" w:sz="4" w:space="0"/>
                    <w:bottom w:val="single" w:color="auto" w:sz="4" w:space="0"/>
                    <w:tl2br w:val="nil"/>
                    <w:tr2bl w:val="nil"/>
                  </w:tcBorders>
                  <w:vAlign w:val="center"/>
                </w:tcPr>
                <w:p>
                  <w:pPr>
                    <w:jc w:val="center"/>
                    <w:rPr>
                      <w:color w:val="000000"/>
                      <w:szCs w:val="21"/>
                    </w:rPr>
                  </w:pPr>
                  <w:r>
                    <w:rPr>
                      <w:rFonts w:hint="eastAsia"/>
                      <w:color w:val="000000"/>
                      <w:szCs w:val="21"/>
                    </w:rPr>
                    <w:t>设置垃圾桶若干，交由环卫部门处理</w:t>
                  </w:r>
                </w:p>
              </w:tc>
              <w:tc>
                <w:tcPr>
                  <w:tcW w:w="2479" w:type="dxa"/>
                  <w:tcBorders>
                    <w:top w:val="single" w:color="auto" w:sz="4" w:space="0"/>
                    <w:bottom w:val="single" w:color="auto" w:sz="4" w:space="0"/>
                    <w:tl2br w:val="nil"/>
                    <w:tr2bl w:val="nil"/>
                  </w:tcBorders>
                  <w:vAlign w:val="center"/>
                </w:tcPr>
                <w:p>
                  <w:pPr>
                    <w:jc w:val="center"/>
                    <w:rPr>
                      <w:szCs w:val="21"/>
                    </w:rPr>
                  </w:pPr>
                  <w:r>
                    <w:rPr>
                      <w:rFonts w:hint="eastAsia"/>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49" w:hRule="atLeast"/>
                <w:jc w:val="center"/>
              </w:trPr>
              <w:tc>
                <w:tcPr>
                  <w:tcW w:w="712" w:type="dxa"/>
                  <w:vMerge w:val="restart"/>
                  <w:tcBorders>
                    <w:tl2br w:val="nil"/>
                    <w:tr2bl w:val="nil"/>
                  </w:tcBorders>
                  <w:vAlign w:val="center"/>
                </w:tcPr>
                <w:p>
                  <w:pPr>
                    <w:jc w:val="center"/>
                    <w:rPr>
                      <w:szCs w:val="21"/>
                    </w:rPr>
                  </w:pPr>
                  <w:r>
                    <w:rPr>
                      <w:rFonts w:hint="eastAsia"/>
                      <w:szCs w:val="21"/>
                    </w:rPr>
                    <w:t>其他</w:t>
                  </w:r>
                </w:p>
              </w:tc>
              <w:tc>
                <w:tcPr>
                  <w:tcW w:w="5129" w:type="dxa"/>
                  <w:gridSpan w:val="4"/>
                  <w:tcBorders>
                    <w:tl2br w:val="nil"/>
                    <w:tr2bl w:val="nil"/>
                  </w:tcBorders>
                  <w:vAlign w:val="center"/>
                </w:tcPr>
                <w:p>
                  <w:pPr>
                    <w:jc w:val="center"/>
                    <w:rPr>
                      <w:color w:val="000000"/>
                      <w:szCs w:val="21"/>
                    </w:rPr>
                  </w:pPr>
                  <w:r>
                    <w:rPr>
                      <w:rFonts w:hint="eastAsia"/>
                      <w:color w:val="000000"/>
                      <w:szCs w:val="21"/>
                    </w:rPr>
                    <w:t>VOCs排放口设置在线监控设备</w:t>
                  </w:r>
                </w:p>
              </w:tc>
              <w:tc>
                <w:tcPr>
                  <w:tcW w:w="2479" w:type="dxa"/>
                  <w:tcBorders>
                    <w:top w:val="single" w:color="auto" w:sz="4" w:space="0"/>
                    <w:bottom w:val="single" w:color="auto" w:sz="4" w:space="0"/>
                    <w:tl2br w:val="nil"/>
                    <w:tr2bl w:val="nil"/>
                  </w:tcBorders>
                  <w:vAlign w:val="center"/>
                </w:tcPr>
                <w:p>
                  <w:pPr>
                    <w:jc w:val="center"/>
                    <w:rPr>
                      <w:szCs w:val="21"/>
                    </w:rPr>
                  </w:pPr>
                  <w:r>
                    <w:rPr>
                      <w:rFonts w:hint="eastAsia"/>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49" w:hRule="atLeast"/>
                <w:jc w:val="center"/>
              </w:trPr>
              <w:tc>
                <w:tcPr>
                  <w:tcW w:w="712" w:type="dxa"/>
                  <w:vMerge w:val="continue"/>
                  <w:tcBorders>
                    <w:tl2br w:val="nil"/>
                    <w:tr2bl w:val="nil"/>
                  </w:tcBorders>
                  <w:vAlign w:val="center"/>
                </w:tcPr>
                <w:p>
                  <w:pPr>
                    <w:jc w:val="center"/>
                    <w:rPr>
                      <w:rFonts w:hint="eastAsia"/>
                      <w:szCs w:val="21"/>
                    </w:rPr>
                  </w:pPr>
                </w:p>
              </w:tc>
              <w:tc>
                <w:tcPr>
                  <w:tcW w:w="5129" w:type="dxa"/>
                  <w:gridSpan w:val="4"/>
                  <w:tcBorders>
                    <w:tl2br w:val="nil"/>
                    <w:tr2bl w:val="nil"/>
                  </w:tcBorders>
                  <w:vAlign w:val="center"/>
                </w:tcPr>
                <w:p>
                  <w:pPr>
                    <w:jc w:val="center"/>
                    <w:rPr>
                      <w:rFonts w:hint="eastAsia"/>
                      <w:color w:val="000000"/>
                      <w:szCs w:val="21"/>
                    </w:rPr>
                  </w:pPr>
                  <w:r>
                    <w:rPr>
                      <w:rFonts w:hint="eastAsia" w:asciiTheme="minorEastAsia" w:hAnsiTheme="minorEastAsia" w:eastAsiaTheme="minorEastAsia" w:cstheme="minorEastAsia"/>
                      <w:sz w:val="21"/>
                      <w:szCs w:val="21"/>
                    </w:rPr>
                    <w:t>用电量监控系统终端</w:t>
                  </w:r>
                </w:p>
              </w:tc>
              <w:tc>
                <w:tcPr>
                  <w:tcW w:w="2479" w:type="dxa"/>
                  <w:tcBorders>
                    <w:top w:val="single" w:color="auto" w:sz="4" w:space="0"/>
                    <w:tl2br w:val="nil"/>
                    <w:tr2bl w:val="nil"/>
                  </w:tcBorders>
                  <w:vAlign w:val="center"/>
                </w:tcPr>
                <w:p>
                  <w:pPr>
                    <w:jc w:val="center"/>
                    <w:rPr>
                      <w:rFonts w:hint="eastAsia"/>
                      <w:szCs w:val="21"/>
                    </w:rPr>
                  </w:pPr>
                  <w:r>
                    <w:rPr>
                      <w:rFonts w:hint="eastAsia"/>
                      <w:szCs w:val="21"/>
                    </w:rPr>
                    <w:t>/</w:t>
                  </w:r>
                </w:p>
              </w:tc>
            </w:tr>
          </w:tbl>
          <w:p>
            <w:pPr>
              <w:spacing w:line="360" w:lineRule="auto"/>
              <w:rPr>
                <w:sz w:val="24"/>
              </w:rPr>
            </w:pPr>
          </w:p>
          <w:p>
            <w:pPr>
              <w:spacing w:line="360" w:lineRule="auto"/>
              <w:rPr>
                <w:sz w:val="24"/>
              </w:rPr>
            </w:pP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p>
        </w:tc>
      </w:tr>
    </w:tbl>
    <w:p>
      <w:pPr>
        <w:adjustRightInd w:val="0"/>
        <w:snapToGrid w:val="0"/>
        <w:spacing w:line="360" w:lineRule="auto"/>
        <w:rPr>
          <w:rFonts w:ascii="宋体" w:hAnsi="宋体" w:cs="宋体"/>
          <w:b/>
          <w:sz w:val="24"/>
        </w:rPr>
        <w:sectPr>
          <w:pgSz w:w="11906" w:h="16838"/>
          <w:pgMar w:top="1440" w:right="1800" w:bottom="1440" w:left="1800" w:header="851" w:footer="992" w:gutter="0"/>
          <w:cols w:space="720" w:num="1"/>
          <w:docGrid w:type="lines" w:linePitch="312" w:charSpace="0"/>
        </w:sectPr>
      </w:pPr>
    </w:p>
    <w:p>
      <w:pPr>
        <w:adjustRightInd w:val="0"/>
        <w:snapToGrid w:val="0"/>
        <w:rPr>
          <w:rFonts w:ascii="宋体" w:hAnsi="宋体" w:cs="宋体"/>
          <w:b/>
          <w:sz w:val="30"/>
          <w:szCs w:val="30"/>
        </w:rPr>
      </w:pPr>
      <w:r>
        <w:rPr>
          <w:rFonts w:hint="eastAsia" w:ascii="宋体" w:hAnsi="宋体" w:cs="宋体"/>
          <w:b/>
          <w:sz w:val="30"/>
          <w:szCs w:val="30"/>
        </w:rPr>
        <w:t>建设项目拟采取的防治措施及预期治理效果</w:t>
      </w:r>
    </w:p>
    <w:tbl>
      <w:tblPr>
        <w:tblStyle w:val="23"/>
        <w:tblW w:w="9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1"/>
        <w:gridCol w:w="1498"/>
        <w:gridCol w:w="1267"/>
        <w:gridCol w:w="2045"/>
        <w:gridCol w:w="56"/>
        <w:gridCol w:w="1482"/>
        <w:gridCol w:w="17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1" w:type="dxa"/>
            <w:tcBorders>
              <w:tl2br w:val="nil"/>
              <w:tr2bl w:val="nil"/>
            </w:tcBorders>
            <w:vAlign w:val="center"/>
          </w:tcPr>
          <w:p>
            <w:pPr>
              <w:adjustRightInd w:val="0"/>
              <w:snapToGrid w:val="0"/>
              <w:jc w:val="center"/>
              <w:rPr>
                <w:sz w:val="24"/>
              </w:rPr>
            </w:pPr>
            <w:r>
              <w:rPr>
                <w:sz w:val="24"/>
              </w:rPr>
              <w:t>类型</w:t>
            </w:r>
          </w:p>
          <w:p>
            <w:pPr>
              <w:adjustRightInd w:val="0"/>
              <w:snapToGrid w:val="0"/>
              <w:jc w:val="center"/>
              <w:rPr>
                <w:sz w:val="24"/>
              </w:rPr>
            </w:pPr>
            <w:r>
              <w:rPr>
                <w:sz w:val="24"/>
              </w:rPr>
              <w:t>内容</w:t>
            </w:r>
          </w:p>
        </w:tc>
        <w:tc>
          <w:tcPr>
            <w:tcW w:w="1498" w:type="dxa"/>
            <w:tcBorders>
              <w:tl2br w:val="nil"/>
              <w:tr2bl w:val="nil"/>
            </w:tcBorders>
            <w:vAlign w:val="center"/>
          </w:tcPr>
          <w:p>
            <w:pPr>
              <w:adjustRightInd w:val="0"/>
              <w:snapToGrid w:val="0"/>
              <w:jc w:val="center"/>
              <w:rPr>
                <w:sz w:val="24"/>
              </w:rPr>
            </w:pPr>
            <w:r>
              <w:rPr>
                <w:sz w:val="24"/>
              </w:rPr>
              <w:t>排放源</w:t>
            </w:r>
          </w:p>
          <w:p>
            <w:pPr>
              <w:adjustRightInd w:val="0"/>
              <w:snapToGrid w:val="0"/>
              <w:jc w:val="center"/>
              <w:rPr>
                <w:sz w:val="24"/>
              </w:rPr>
            </w:pPr>
            <w:r>
              <w:rPr>
                <w:sz w:val="24"/>
              </w:rPr>
              <w:t>（编号）</w:t>
            </w:r>
          </w:p>
        </w:tc>
        <w:tc>
          <w:tcPr>
            <w:tcW w:w="1267" w:type="dxa"/>
            <w:tcBorders>
              <w:tl2br w:val="nil"/>
              <w:tr2bl w:val="nil"/>
            </w:tcBorders>
            <w:vAlign w:val="center"/>
          </w:tcPr>
          <w:p>
            <w:pPr>
              <w:adjustRightInd w:val="0"/>
              <w:snapToGrid w:val="0"/>
              <w:jc w:val="center"/>
              <w:rPr>
                <w:sz w:val="24"/>
              </w:rPr>
            </w:pPr>
            <w:r>
              <w:rPr>
                <w:sz w:val="24"/>
              </w:rPr>
              <w:t>污染物名称</w:t>
            </w:r>
          </w:p>
        </w:tc>
        <w:tc>
          <w:tcPr>
            <w:tcW w:w="3583" w:type="dxa"/>
            <w:gridSpan w:val="3"/>
            <w:tcBorders>
              <w:tl2br w:val="nil"/>
              <w:tr2bl w:val="nil"/>
            </w:tcBorders>
            <w:vAlign w:val="center"/>
          </w:tcPr>
          <w:p>
            <w:pPr>
              <w:adjustRightInd w:val="0"/>
              <w:snapToGrid w:val="0"/>
              <w:jc w:val="center"/>
              <w:rPr>
                <w:sz w:val="24"/>
              </w:rPr>
            </w:pPr>
            <w:r>
              <w:rPr>
                <w:sz w:val="24"/>
              </w:rPr>
              <w:t>防治措施</w:t>
            </w:r>
          </w:p>
        </w:tc>
        <w:tc>
          <w:tcPr>
            <w:tcW w:w="1721" w:type="dxa"/>
            <w:tcBorders>
              <w:tl2br w:val="nil"/>
              <w:tr2bl w:val="nil"/>
            </w:tcBorders>
            <w:vAlign w:val="center"/>
          </w:tcPr>
          <w:p>
            <w:pPr>
              <w:adjustRightInd w:val="0"/>
              <w:snapToGrid w:val="0"/>
              <w:jc w:val="center"/>
              <w:rPr>
                <w:sz w:val="24"/>
              </w:rPr>
            </w:pPr>
            <w:r>
              <w:rPr>
                <w:sz w:val="24"/>
              </w:rPr>
              <w:t>预期治理效果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1" w:type="dxa"/>
            <w:vMerge w:val="restart"/>
            <w:tcBorders>
              <w:tl2br w:val="nil"/>
              <w:tr2bl w:val="nil"/>
            </w:tcBorders>
            <w:vAlign w:val="center"/>
          </w:tcPr>
          <w:p>
            <w:pPr>
              <w:adjustRightInd w:val="0"/>
              <w:snapToGrid w:val="0"/>
              <w:jc w:val="center"/>
              <w:rPr>
                <w:sz w:val="24"/>
              </w:rPr>
            </w:pPr>
            <w:r>
              <w:rPr>
                <w:rFonts w:hint="eastAsia"/>
                <w:sz w:val="24"/>
              </w:rPr>
              <w:t>大</w:t>
            </w:r>
          </w:p>
          <w:p>
            <w:pPr>
              <w:adjustRightInd w:val="0"/>
              <w:snapToGrid w:val="0"/>
              <w:jc w:val="center"/>
              <w:rPr>
                <w:sz w:val="24"/>
              </w:rPr>
            </w:pPr>
            <w:r>
              <w:rPr>
                <w:rFonts w:hint="eastAsia"/>
                <w:sz w:val="24"/>
              </w:rPr>
              <w:t>气</w:t>
            </w:r>
          </w:p>
          <w:p>
            <w:pPr>
              <w:adjustRightInd w:val="0"/>
              <w:snapToGrid w:val="0"/>
              <w:jc w:val="center"/>
              <w:rPr>
                <w:sz w:val="24"/>
              </w:rPr>
            </w:pPr>
            <w:r>
              <w:rPr>
                <w:rFonts w:hint="eastAsia"/>
                <w:sz w:val="24"/>
              </w:rPr>
              <w:t>污</w:t>
            </w:r>
          </w:p>
          <w:p>
            <w:pPr>
              <w:adjustRightInd w:val="0"/>
              <w:snapToGrid w:val="0"/>
              <w:jc w:val="center"/>
              <w:rPr>
                <w:sz w:val="24"/>
              </w:rPr>
            </w:pPr>
            <w:r>
              <w:rPr>
                <w:rFonts w:hint="eastAsia"/>
                <w:sz w:val="24"/>
              </w:rPr>
              <w:t>染</w:t>
            </w:r>
          </w:p>
          <w:p>
            <w:pPr>
              <w:adjustRightInd w:val="0"/>
              <w:snapToGrid w:val="0"/>
              <w:jc w:val="center"/>
              <w:rPr>
                <w:sz w:val="24"/>
              </w:rPr>
            </w:pPr>
            <w:r>
              <w:rPr>
                <w:rFonts w:hint="eastAsia"/>
                <w:sz w:val="24"/>
              </w:rPr>
              <w:t>物</w:t>
            </w:r>
          </w:p>
        </w:tc>
        <w:tc>
          <w:tcPr>
            <w:tcW w:w="1498" w:type="dxa"/>
            <w:tcBorders>
              <w:bottom w:val="single" w:color="auto" w:sz="4" w:space="0"/>
              <w:tl2br w:val="nil"/>
              <w:tr2bl w:val="nil"/>
            </w:tcBorders>
            <w:vAlign w:val="center"/>
          </w:tcPr>
          <w:p>
            <w:pPr>
              <w:widowControl/>
              <w:adjustRightInd w:val="0"/>
              <w:snapToGrid w:val="0"/>
              <w:jc w:val="center"/>
              <w:rPr>
                <w:rFonts w:hint="eastAsia" w:eastAsia="宋体"/>
                <w:iCs/>
                <w:sz w:val="24"/>
                <w:lang w:eastAsia="zh-CN"/>
              </w:rPr>
            </w:pPr>
            <w:r>
              <w:rPr>
                <w:rFonts w:hint="eastAsia"/>
                <w:sz w:val="24"/>
              </w:rPr>
              <w:t>注塑、吹塑</w:t>
            </w:r>
            <w:r>
              <w:rPr>
                <w:rFonts w:hint="eastAsia"/>
                <w:sz w:val="24"/>
                <w:lang w:eastAsia="zh-CN"/>
              </w:rPr>
              <w:t>（</w:t>
            </w:r>
            <w:r>
              <w:rPr>
                <w:rFonts w:hint="eastAsia"/>
                <w:sz w:val="24"/>
                <w:lang w:val="en-US" w:eastAsia="zh-CN"/>
              </w:rPr>
              <w:t>P1排放口</w:t>
            </w:r>
            <w:r>
              <w:rPr>
                <w:rFonts w:hint="eastAsia"/>
                <w:sz w:val="24"/>
                <w:lang w:eastAsia="zh-CN"/>
              </w:rPr>
              <w:t>）</w:t>
            </w:r>
          </w:p>
        </w:tc>
        <w:tc>
          <w:tcPr>
            <w:tcW w:w="1267" w:type="dxa"/>
            <w:tcBorders>
              <w:bottom w:val="single" w:color="auto" w:sz="4" w:space="0"/>
              <w:tl2br w:val="nil"/>
              <w:tr2bl w:val="nil"/>
            </w:tcBorders>
            <w:vAlign w:val="center"/>
          </w:tcPr>
          <w:p>
            <w:pPr>
              <w:adjustRightInd w:val="0"/>
              <w:snapToGrid w:val="0"/>
              <w:jc w:val="center"/>
              <w:rPr>
                <w:iCs/>
                <w:sz w:val="24"/>
              </w:rPr>
            </w:pPr>
            <w:r>
              <w:rPr>
                <w:rFonts w:hint="eastAsia"/>
                <w:iCs/>
                <w:sz w:val="24"/>
              </w:rPr>
              <w:t>非甲烷总烃</w:t>
            </w:r>
          </w:p>
        </w:tc>
        <w:tc>
          <w:tcPr>
            <w:tcW w:w="2045" w:type="dxa"/>
            <w:tcBorders>
              <w:bottom w:val="single" w:color="auto" w:sz="4" w:space="0"/>
              <w:right w:val="single" w:color="auto" w:sz="4" w:space="0"/>
              <w:tl2br w:val="nil"/>
              <w:tr2bl w:val="nil"/>
            </w:tcBorders>
            <w:vAlign w:val="center"/>
          </w:tcPr>
          <w:p>
            <w:pPr>
              <w:adjustRightInd w:val="0"/>
              <w:snapToGrid w:val="0"/>
              <w:jc w:val="center"/>
              <w:rPr>
                <w:iCs/>
                <w:sz w:val="24"/>
              </w:rPr>
            </w:pPr>
            <w:r>
              <w:rPr>
                <w:rFonts w:hint="eastAsia"/>
                <w:bCs/>
                <w:color w:val="000000" w:themeColor="text1"/>
                <w:sz w:val="24"/>
                <w:lang w:val="en-US" w:eastAsia="zh-CN"/>
                <w14:textFill>
                  <w14:solidFill>
                    <w14:schemeClr w14:val="tx1"/>
                  </w14:solidFill>
                </w14:textFill>
              </w:rPr>
              <w:t>5</w:t>
            </w:r>
            <w:r>
              <w:rPr>
                <w:rFonts w:hint="eastAsia"/>
                <w:bCs/>
                <w:sz w:val="24"/>
              </w:rPr>
              <w:t>个集气罩、一套UV光催化氧化设备+活性炭吸附装置</w:t>
            </w:r>
          </w:p>
        </w:tc>
        <w:tc>
          <w:tcPr>
            <w:tcW w:w="1538" w:type="dxa"/>
            <w:gridSpan w:val="2"/>
            <w:tcBorders>
              <w:left w:val="single" w:color="auto" w:sz="4" w:space="0"/>
              <w:tl2br w:val="nil"/>
              <w:tr2bl w:val="nil"/>
            </w:tcBorders>
            <w:vAlign w:val="center"/>
          </w:tcPr>
          <w:p>
            <w:pPr>
              <w:adjustRightInd w:val="0"/>
              <w:snapToGrid w:val="0"/>
              <w:jc w:val="center"/>
              <w:rPr>
                <w:iCs/>
                <w:sz w:val="24"/>
              </w:rPr>
            </w:pPr>
            <w:r>
              <w:rPr>
                <w:rFonts w:hint="eastAsia"/>
                <w:bCs/>
                <w:sz w:val="24"/>
              </w:rPr>
              <w:t>1根15m高排气筒</w:t>
            </w:r>
            <w:r>
              <w:rPr>
                <w:rFonts w:hint="eastAsia"/>
                <w:sz w:val="24"/>
                <w:lang w:eastAsia="zh-CN"/>
              </w:rPr>
              <w:t>（</w:t>
            </w:r>
            <w:r>
              <w:rPr>
                <w:rFonts w:hint="eastAsia"/>
                <w:sz w:val="24"/>
                <w:lang w:val="en-US" w:eastAsia="zh-CN"/>
              </w:rPr>
              <w:t>P1排放口</w:t>
            </w:r>
            <w:r>
              <w:rPr>
                <w:rFonts w:hint="eastAsia"/>
                <w:sz w:val="24"/>
                <w:lang w:eastAsia="zh-CN"/>
              </w:rPr>
              <w:t>）</w:t>
            </w:r>
          </w:p>
        </w:tc>
        <w:tc>
          <w:tcPr>
            <w:tcW w:w="1721" w:type="dxa"/>
            <w:tcBorders>
              <w:tl2br w:val="nil"/>
              <w:tr2bl w:val="nil"/>
            </w:tcBorders>
            <w:vAlign w:val="center"/>
          </w:tcPr>
          <w:p>
            <w:pPr>
              <w:adjustRightInd w:val="0"/>
              <w:snapToGrid w:val="0"/>
              <w:jc w:val="center"/>
              <w:rPr>
                <w:iCs/>
                <w:sz w:val="24"/>
              </w:rPr>
            </w:pPr>
            <w:r>
              <w:rPr>
                <w:rFonts w:hint="eastAsia"/>
                <w:iCs/>
                <w:sz w:val="24"/>
              </w:rPr>
              <w:t>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8" w:hRule="atLeast"/>
          <w:jc w:val="center"/>
        </w:trPr>
        <w:tc>
          <w:tcPr>
            <w:tcW w:w="1011" w:type="dxa"/>
            <w:vMerge w:val="continue"/>
            <w:tcBorders>
              <w:tl2br w:val="nil"/>
              <w:tr2bl w:val="nil"/>
            </w:tcBorders>
            <w:vAlign w:val="center"/>
          </w:tcPr>
          <w:p>
            <w:pPr>
              <w:adjustRightInd w:val="0"/>
              <w:snapToGrid w:val="0"/>
              <w:jc w:val="center"/>
              <w:rPr>
                <w:sz w:val="24"/>
              </w:rPr>
            </w:pPr>
          </w:p>
        </w:tc>
        <w:tc>
          <w:tcPr>
            <w:tcW w:w="1498" w:type="dxa"/>
            <w:tcBorders>
              <w:tl2br w:val="nil"/>
              <w:tr2bl w:val="nil"/>
            </w:tcBorders>
            <w:vAlign w:val="center"/>
          </w:tcPr>
          <w:p>
            <w:pPr>
              <w:widowControl/>
              <w:adjustRightInd w:val="0"/>
              <w:snapToGrid w:val="0"/>
              <w:jc w:val="center"/>
              <w:rPr>
                <w:rFonts w:hint="eastAsia" w:eastAsia="宋体"/>
                <w:sz w:val="24"/>
                <w:lang w:eastAsia="zh-CN"/>
              </w:rPr>
            </w:pPr>
            <w:r>
              <w:rPr>
                <w:rFonts w:hint="eastAsia"/>
                <w:sz w:val="24"/>
              </w:rPr>
              <w:t>破碎</w:t>
            </w:r>
            <w:r>
              <w:rPr>
                <w:rFonts w:hint="eastAsia"/>
                <w:sz w:val="24"/>
                <w:lang w:eastAsia="zh-CN"/>
              </w:rPr>
              <w:t>（</w:t>
            </w:r>
            <w:r>
              <w:rPr>
                <w:rFonts w:hint="eastAsia"/>
                <w:sz w:val="24"/>
                <w:lang w:val="en-US" w:eastAsia="zh-CN"/>
              </w:rPr>
              <w:t>P2排放口</w:t>
            </w:r>
            <w:r>
              <w:rPr>
                <w:rFonts w:hint="eastAsia"/>
                <w:sz w:val="24"/>
                <w:lang w:eastAsia="zh-CN"/>
              </w:rPr>
              <w:t>）</w:t>
            </w:r>
          </w:p>
        </w:tc>
        <w:tc>
          <w:tcPr>
            <w:tcW w:w="1267" w:type="dxa"/>
            <w:tcBorders>
              <w:tl2br w:val="nil"/>
              <w:tr2bl w:val="nil"/>
            </w:tcBorders>
            <w:vAlign w:val="center"/>
          </w:tcPr>
          <w:p>
            <w:pPr>
              <w:adjustRightInd w:val="0"/>
              <w:snapToGrid w:val="0"/>
              <w:jc w:val="center"/>
              <w:rPr>
                <w:iCs/>
                <w:sz w:val="24"/>
              </w:rPr>
            </w:pPr>
            <w:r>
              <w:rPr>
                <w:rFonts w:hint="eastAsia"/>
                <w:iCs/>
                <w:sz w:val="24"/>
              </w:rPr>
              <w:t>颗粒物</w:t>
            </w:r>
          </w:p>
        </w:tc>
        <w:tc>
          <w:tcPr>
            <w:tcW w:w="2045" w:type="dxa"/>
            <w:tcBorders>
              <w:right w:val="single" w:color="auto" w:sz="4" w:space="0"/>
              <w:tl2br w:val="nil"/>
              <w:tr2bl w:val="nil"/>
            </w:tcBorders>
            <w:vAlign w:val="center"/>
          </w:tcPr>
          <w:p>
            <w:pPr>
              <w:adjustRightInd w:val="0"/>
              <w:snapToGrid w:val="0"/>
              <w:jc w:val="center"/>
              <w:rPr>
                <w:bCs/>
                <w:sz w:val="24"/>
              </w:rPr>
            </w:pPr>
            <w:r>
              <w:rPr>
                <w:rFonts w:hint="eastAsia"/>
                <w:bCs/>
                <w:sz w:val="24"/>
              </w:rPr>
              <w:t>1个集气罩、一套袋式除尘器</w:t>
            </w:r>
          </w:p>
        </w:tc>
        <w:tc>
          <w:tcPr>
            <w:tcW w:w="1538" w:type="dxa"/>
            <w:gridSpan w:val="2"/>
            <w:tcBorders>
              <w:left w:val="single" w:color="auto" w:sz="4" w:space="0"/>
              <w:tl2br w:val="nil"/>
              <w:tr2bl w:val="nil"/>
            </w:tcBorders>
            <w:vAlign w:val="center"/>
          </w:tcPr>
          <w:p>
            <w:pPr>
              <w:adjustRightInd w:val="0"/>
              <w:snapToGrid w:val="0"/>
              <w:jc w:val="center"/>
              <w:rPr>
                <w:bCs/>
                <w:sz w:val="24"/>
              </w:rPr>
            </w:pPr>
            <w:r>
              <w:rPr>
                <w:rFonts w:hint="eastAsia"/>
                <w:bCs/>
                <w:sz w:val="24"/>
              </w:rPr>
              <w:t>1根15m高排气筒</w:t>
            </w:r>
            <w:r>
              <w:rPr>
                <w:rFonts w:hint="eastAsia"/>
                <w:sz w:val="24"/>
                <w:lang w:eastAsia="zh-CN"/>
              </w:rPr>
              <w:t>（</w:t>
            </w:r>
            <w:r>
              <w:rPr>
                <w:rFonts w:hint="eastAsia"/>
                <w:sz w:val="24"/>
                <w:lang w:val="en-US" w:eastAsia="zh-CN"/>
              </w:rPr>
              <w:t>P2排放口</w:t>
            </w:r>
            <w:r>
              <w:rPr>
                <w:rFonts w:hint="eastAsia"/>
                <w:sz w:val="24"/>
                <w:lang w:eastAsia="zh-CN"/>
              </w:rPr>
              <w:t>）</w:t>
            </w:r>
          </w:p>
        </w:tc>
        <w:tc>
          <w:tcPr>
            <w:tcW w:w="1721" w:type="dxa"/>
            <w:tcBorders>
              <w:tl2br w:val="nil"/>
              <w:tr2bl w:val="nil"/>
            </w:tcBorders>
            <w:vAlign w:val="center"/>
          </w:tcPr>
          <w:p>
            <w:pPr>
              <w:adjustRightInd w:val="0"/>
              <w:snapToGrid w:val="0"/>
              <w:jc w:val="center"/>
              <w:rPr>
                <w:iCs/>
                <w:sz w:val="24"/>
              </w:rPr>
            </w:pPr>
            <w:r>
              <w:rPr>
                <w:rFonts w:hint="eastAsia"/>
                <w:iCs/>
                <w:sz w:val="24"/>
              </w:rPr>
              <w:t>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1" w:type="dxa"/>
            <w:tcBorders>
              <w:tl2br w:val="nil"/>
              <w:tr2bl w:val="nil"/>
            </w:tcBorders>
            <w:vAlign w:val="center"/>
          </w:tcPr>
          <w:p>
            <w:pPr>
              <w:adjustRightInd w:val="0"/>
              <w:snapToGrid w:val="0"/>
              <w:jc w:val="center"/>
              <w:rPr>
                <w:sz w:val="24"/>
              </w:rPr>
            </w:pPr>
            <w:r>
              <w:rPr>
                <w:sz w:val="24"/>
              </w:rPr>
              <w:t>水</w:t>
            </w:r>
          </w:p>
          <w:p>
            <w:pPr>
              <w:adjustRightInd w:val="0"/>
              <w:snapToGrid w:val="0"/>
              <w:jc w:val="center"/>
              <w:rPr>
                <w:sz w:val="24"/>
              </w:rPr>
            </w:pPr>
            <w:r>
              <w:rPr>
                <w:sz w:val="24"/>
              </w:rPr>
              <w:t>污</w:t>
            </w:r>
          </w:p>
          <w:p>
            <w:pPr>
              <w:adjustRightInd w:val="0"/>
              <w:snapToGrid w:val="0"/>
              <w:jc w:val="center"/>
              <w:rPr>
                <w:sz w:val="24"/>
              </w:rPr>
            </w:pPr>
            <w:r>
              <w:rPr>
                <w:sz w:val="24"/>
              </w:rPr>
              <w:t>染</w:t>
            </w:r>
          </w:p>
          <w:p>
            <w:pPr>
              <w:adjustRightInd w:val="0"/>
              <w:snapToGrid w:val="0"/>
              <w:jc w:val="center"/>
              <w:rPr>
                <w:sz w:val="24"/>
              </w:rPr>
            </w:pPr>
            <w:r>
              <w:rPr>
                <w:sz w:val="24"/>
              </w:rPr>
              <w:t>物</w:t>
            </w:r>
          </w:p>
        </w:tc>
        <w:tc>
          <w:tcPr>
            <w:tcW w:w="1498" w:type="dxa"/>
            <w:tcBorders>
              <w:tl2br w:val="nil"/>
              <w:tr2bl w:val="nil"/>
            </w:tcBorders>
            <w:vAlign w:val="center"/>
          </w:tcPr>
          <w:p>
            <w:pPr>
              <w:adjustRightInd w:val="0"/>
              <w:snapToGrid w:val="0"/>
              <w:jc w:val="center"/>
              <w:rPr>
                <w:iCs/>
                <w:sz w:val="24"/>
              </w:rPr>
            </w:pPr>
            <w:r>
              <w:rPr>
                <w:color w:val="000000"/>
                <w:kern w:val="0"/>
                <w:sz w:val="24"/>
              </w:rPr>
              <w:t>生活污水</w:t>
            </w:r>
          </w:p>
        </w:tc>
        <w:tc>
          <w:tcPr>
            <w:tcW w:w="1267" w:type="dxa"/>
            <w:tcBorders>
              <w:tl2br w:val="nil"/>
              <w:tr2bl w:val="nil"/>
            </w:tcBorders>
            <w:vAlign w:val="center"/>
          </w:tcPr>
          <w:p>
            <w:pPr>
              <w:adjustRightInd w:val="0"/>
              <w:snapToGrid w:val="0"/>
              <w:jc w:val="center"/>
              <w:rPr>
                <w:iCs/>
                <w:sz w:val="24"/>
              </w:rPr>
            </w:pPr>
            <w:r>
              <w:rPr>
                <w:sz w:val="24"/>
              </w:rPr>
              <w:t>COD、NH</w:t>
            </w:r>
            <w:r>
              <w:rPr>
                <w:sz w:val="24"/>
                <w:vertAlign w:val="subscript"/>
              </w:rPr>
              <w:t>3</w:t>
            </w:r>
            <w:r>
              <w:rPr>
                <w:sz w:val="24"/>
              </w:rPr>
              <w:t>-N</w:t>
            </w:r>
            <w:r>
              <w:rPr>
                <w:rFonts w:hint="eastAsia"/>
                <w:sz w:val="24"/>
              </w:rPr>
              <w:t>、TP</w:t>
            </w:r>
          </w:p>
        </w:tc>
        <w:tc>
          <w:tcPr>
            <w:tcW w:w="3583" w:type="dxa"/>
            <w:gridSpan w:val="3"/>
            <w:tcBorders>
              <w:tl2br w:val="nil"/>
              <w:tr2bl w:val="nil"/>
            </w:tcBorders>
            <w:vAlign w:val="center"/>
          </w:tcPr>
          <w:p>
            <w:pPr>
              <w:adjustRightInd w:val="0"/>
              <w:snapToGrid w:val="0"/>
              <w:jc w:val="center"/>
              <w:rPr>
                <w:iCs/>
                <w:color w:val="FF0000"/>
                <w:sz w:val="24"/>
              </w:rPr>
            </w:pPr>
            <w:r>
              <w:rPr>
                <w:rFonts w:hint="eastAsia"/>
                <w:color w:val="000000" w:themeColor="text1"/>
                <w:kern w:val="0"/>
                <w:sz w:val="24"/>
                <w14:textFill>
                  <w14:solidFill>
                    <w14:schemeClr w14:val="tx1"/>
                  </w14:solidFill>
                </w14:textFill>
              </w:rPr>
              <w:t>经</w:t>
            </w:r>
            <w:r>
              <w:rPr>
                <w:color w:val="000000" w:themeColor="text1"/>
                <w:kern w:val="0"/>
                <w:sz w:val="24"/>
                <w14:textFill>
                  <w14:solidFill>
                    <w14:schemeClr w14:val="tx1"/>
                  </w14:solidFill>
                </w14:textFill>
              </w:rPr>
              <w:t>化粪池</w:t>
            </w:r>
            <w:r>
              <w:rPr>
                <w:rFonts w:hint="eastAsia"/>
                <w:color w:val="000000" w:themeColor="text1"/>
                <w:kern w:val="0"/>
                <w:sz w:val="24"/>
                <w14:textFill>
                  <w14:solidFill>
                    <w14:schemeClr w14:val="tx1"/>
                  </w14:solidFill>
                </w14:textFill>
              </w:rPr>
              <w:t>处理后排入贾屯污水处理厂</w:t>
            </w:r>
          </w:p>
        </w:tc>
        <w:tc>
          <w:tcPr>
            <w:tcW w:w="1721" w:type="dxa"/>
            <w:tcBorders>
              <w:tl2br w:val="nil"/>
              <w:tr2bl w:val="nil"/>
            </w:tcBorders>
            <w:vAlign w:val="center"/>
          </w:tcPr>
          <w:p>
            <w:pPr>
              <w:adjustRightInd w:val="0"/>
              <w:snapToGrid w:val="0"/>
              <w:jc w:val="center"/>
              <w:rPr>
                <w:iCs/>
                <w:sz w:val="24"/>
              </w:rPr>
            </w:pPr>
            <w:r>
              <w:rPr>
                <w:rFonts w:hint="eastAsia"/>
                <w:iCs/>
                <w:sz w:val="24"/>
              </w:rPr>
              <w:t>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1" w:type="dxa"/>
            <w:vMerge w:val="restart"/>
            <w:tcBorders>
              <w:tl2br w:val="nil"/>
              <w:tr2bl w:val="nil"/>
            </w:tcBorders>
            <w:vAlign w:val="center"/>
          </w:tcPr>
          <w:p>
            <w:pPr>
              <w:adjustRightInd w:val="0"/>
              <w:snapToGrid w:val="0"/>
              <w:jc w:val="center"/>
              <w:rPr>
                <w:sz w:val="24"/>
              </w:rPr>
            </w:pPr>
            <w:r>
              <w:rPr>
                <w:sz w:val="24"/>
              </w:rPr>
              <w:t>固</w:t>
            </w:r>
          </w:p>
          <w:p>
            <w:pPr>
              <w:adjustRightInd w:val="0"/>
              <w:snapToGrid w:val="0"/>
              <w:jc w:val="center"/>
              <w:rPr>
                <w:sz w:val="24"/>
              </w:rPr>
            </w:pPr>
            <w:r>
              <w:rPr>
                <w:sz w:val="24"/>
              </w:rPr>
              <w:t>体</w:t>
            </w:r>
          </w:p>
          <w:p>
            <w:pPr>
              <w:adjustRightInd w:val="0"/>
              <w:snapToGrid w:val="0"/>
              <w:jc w:val="center"/>
              <w:rPr>
                <w:sz w:val="24"/>
              </w:rPr>
            </w:pPr>
            <w:r>
              <w:rPr>
                <w:sz w:val="24"/>
              </w:rPr>
              <w:t>废</w:t>
            </w:r>
          </w:p>
          <w:p>
            <w:pPr>
              <w:adjustRightInd w:val="0"/>
              <w:snapToGrid w:val="0"/>
              <w:jc w:val="center"/>
              <w:rPr>
                <w:sz w:val="24"/>
              </w:rPr>
            </w:pPr>
            <w:r>
              <w:rPr>
                <w:sz w:val="24"/>
              </w:rPr>
              <w:t>物</w:t>
            </w:r>
          </w:p>
        </w:tc>
        <w:tc>
          <w:tcPr>
            <w:tcW w:w="1498" w:type="dxa"/>
            <w:tcBorders>
              <w:bottom w:val="single" w:color="auto" w:sz="4" w:space="0"/>
              <w:tl2br w:val="nil"/>
              <w:tr2bl w:val="nil"/>
            </w:tcBorders>
            <w:vAlign w:val="center"/>
          </w:tcPr>
          <w:p>
            <w:pPr>
              <w:adjustRightInd w:val="0"/>
              <w:snapToGrid w:val="0"/>
              <w:jc w:val="center"/>
              <w:rPr>
                <w:iCs/>
                <w:sz w:val="24"/>
              </w:rPr>
            </w:pPr>
            <w:r>
              <w:rPr>
                <w:rFonts w:hint="eastAsia"/>
                <w:snapToGrid w:val="0"/>
                <w:kern w:val="0"/>
                <w:sz w:val="24"/>
              </w:rPr>
              <w:t>下料工序</w:t>
            </w:r>
          </w:p>
        </w:tc>
        <w:tc>
          <w:tcPr>
            <w:tcW w:w="1267" w:type="dxa"/>
            <w:tcBorders>
              <w:bottom w:val="single" w:color="auto" w:sz="4" w:space="0"/>
              <w:tl2br w:val="nil"/>
              <w:tr2bl w:val="nil"/>
            </w:tcBorders>
            <w:vAlign w:val="center"/>
          </w:tcPr>
          <w:p>
            <w:pPr>
              <w:adjustRightInd w:val="0"/>
              <w:snapToGrid w:val="0"/>
              <w:jc w:val="center"/>
              <w:rPr>
                <w:sz w:val="24"/>
              </w:rPr>
            </w:pPr>
            <w:r>
              <w:rPr>
                <w:rFonts w:hint="eastAsia"/>
                <w:snapToGrid w:val="0"/>
                <w:kern w:val="21"/>
                <w:sz w:val="24"/>
              </w:rPr>
              <w:t>边角料</w:t>
            </w:r>
          </w:p>
        </w:tc>
        <w:tc>
          <w:tcPr>
            <w:tcW w:w="3583" w:type="dxa"/>
            <w:gridSpan w:val="3"/>
            <w:tcBorders>
              <w:tl2br w:val="nil"/>
              <w:tr2bl w:val="nil"/>
            </w:tcBorders>
            <w:vAlign w:val="center"/>
          </w:tcPr>
          <w:p>
            <w:pPr>
              <w:adjustRightInd w:val="0"/>
              <w:snapToGrid w:val="0"/>
              <w:jc w:val="center"/>
              <w:rPr>
                <w:sz w:val="24"/>
              </w:rPr>
            </w:pPr>
            <w:r>
              <w:rPr>
                <w:rFonts w:hint="eastAsia"/>
                <w:snapToGrid w:val="0"/>
                <w:color w:val="000000"/>
                <w:kern w:val="0"/>
                <w:sz w:val="24"/>
              </w:rPr>
              <w:t>集中收集后外售</w:t>
            </w:r>
            <w:r>
              <w:rPr>
                <w:rFonts w:hint="eastAsia"/>
                <w:sz w:val="24"/>
              </w:rPr>
              <w:t>，</w:t>
            </w:r>
            <w:r>
              <w:rPr>
                <w:sz w:val="24"/>
              </w:rPr>
              <w:t>设置一般固废暂存间</w:t>
            </w:r>
            <w:r>
              <w:rPr>
                <w:rFonts w:hint="eastAsia"/>
                <w:sz w:val="24"/>
              </w:rPr>
              <w:t>10</w:t>
            </w:r>
            <w:r>
              <w:rPr>
                <w:sz w:val="24"/>
              </w:rPr>
              <w:t>m</w:t>
            </w:r>
            <w:r>
              <w:rPr>
                <w:sz w:val="24"/>
                <w:vertAlign w:val="superscript"/>
              </w:rPr>
              <w:t>2</w:t>
            </w:r>
          </w:p>
        </w:tc>
        <w:tc>
          <w:tcPr>
            <w:tcW w:w="1721" w:type="dxa"/>
            <w:vMerge w:val="restart"/>
            <w:tcBorders>
              <w:tl2br w:val="nil"/>
              <w:tr2bl w:val="nil"/>
            </w:tcBorders>
            <w:vAlign w:val="center"/>
          </w:tcPr>
          <w:p>
            <w:pPr>
              <w:adjustRightInd w:val="0"/>
              <w:snapToGrid w:val="0"/>
              <w:jc w:val="center"/>
              <w:rPr>
                <w:sz w:val="24"/>
              </w:rPr>
            </w:pPr>
            <w:r>
              <w:rPr>
                <w:rFonts w:hint="eastAsia"/>
                <w:iCs/>
                <w:sz w:val="24"/>
              </w:rPr>
              <w:t>妥善处置，不造成二次污染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1" w:type="dxa"/>
            <w:vMerge w:val="continue"/>
            <w:tcBorders>
              <w:tl2br w:val="nil"/>
              <w:tr2bl w:val="nil"/>
            </w:tcBorders>
            <w:vAlign w:val="center"/>
          </w:tcPr>
          <w:p>
            <w:pPr>
              <w:adjustRightInd w:val="0"/>
              <w:snapToGrid w:val="0"/>
              <w:jc w:val="center"/>
              <w:rPr>
                <w:sz w:val="24"/>
              </w:rPr>
            </w:pPr>
          </w:p>
        </w:tc>
        <w:tc>
          <w:tcPr>
            <w:tcW w:w="1498" w:type="dxa"/>
            <w:tcBorders>
              <w:top w:val="single" w:color="auto" w:sz="4" w:space="0"/>
              <w:bottom w:val="single" w:color="auto" w:sz="4" w:space="0"/>
              <w:tl2br w:val="nil"/>
              <w:tr2bl w:val="nil"/>
            </w:tcBorders>
            <w:vAlign w:val="center"/>
          </w:tcPr>
          <w:p>
            <w:pPr>
              <w:adjustRightInd w:val="0"/>
              <w:snapToGrid w:val="0"/>
              <w:jc w:val="center"/>
              <w:rPr>
                <w:snapToGrid w:val="0"/>
                <w:kern w:val="21"/>
                <w:sz w:val="24"/>
              </w:rPr>
            </w:pPr>
            <w:r>
              <w:rPr>
                <w:rFonts w:hint="eastAsia"/>
                <w:snapToGrid w:val="0"/>
                <w:kern w:val="21"/>
                <w:sz w:val="24"/>
              </w:rPr>
              <w:t>活性炭吸附装置</w:t>
            </w:r>
          </w:p>
        </w:tc>
        <w:tc>
          <w:tcPr>
            <w:tcW w:w="1267" w:type="dxa"/>
            <w:tcBorders>
              <w:top w:val="single" w:color="auto" w:sz="4" w:space="0"/>
              <w:bottom w:val="single" w:color="auto" w:sz="4" w:space="0"/>
              <w:tl2br w:val="nil"/>
              <w:tr2bl w:val="nil"/>
            </w:tcBorders>
            <w:vAlign w:val="center"/>
          </w:tcPr>
          <w:p>
            <w:pPr>
              <w:adjustRightInd w:val="0"/>
              <w:snapToGrid w:val="0"/>
              <w:jc w:val="center"/>
              <w:rPr>
                <w:snapToGrid w:val="0"/>
                <w:kern w:val="21"/>
                <w:sz w:val="24"/>
              </w:rPr>
            </w:pPr>
            <w:r>
              <w:rPr>
                <w:rFonts w:hint="eastAsia"/>
                <w:snapToGrid w:val="0"/>
                <w:kern w:val="21"/>
                <w:sz w:val="24"/>
              </w:rPr>
              <w:t>废活性炭</w:t>
            </w:r>
          </w:p>
        </w:tc>
        <w:tc>
          <w:tcPr>
            <w:tcW w:w="2101" w:type="dxa"/>
            <w:gridSpan w:val="2"/>
            <w:tcBorders>
              <w:bottom w:val="single" w:color="auto" w:sz="4" w:space="0"/>
              <w:tl2br w:val="nil"/>
              <w:tr2bl w:val="nil"/>
            </w:tcBorders>
            <w:vAlign w:val="center"/>
          </w:tcPr>
          <w:p>
            <w:pPr>
              <w:adjustRightInd w:val="0"/>
              <w:snapToGrid w:val="0"/>
              <w:jc w:val="center"/>
              <w:rPr>
                <w:snapToGrid w:val="0"/>
                <w:kern w:val="21"/>
                <w:sz w:val="24"/>
              </w:rPr>
            </w:pPr>
            <w:r>
              <w:rPr>
                <w:rFonts w:hint="eastAsia"/>
                <w:color w:val="000000"/>
                <w:sz w:val="24"/>
              </w:rPr>
              <w:t>专门容器收集</w:t>
            </w:r>
          </w:p>
        </w:tc>
        <w:tc>
          <w:tcPr>
            <w:tcW w:w="1482" w:type="dxa"/>
            <w:vMerge w:val="restart"/>
            <w:tcBorders>
              <w:tl2br w:val="nil"/>
              <w:tr2bl w:val="nil"/>
            </w:tcBorders>
            <w:vAlign w:val="center"/>
          </w:tcPr>
          <w:p>
            <w:pPr>
              <w:adjustRightInd w:val="0"/>
              <w:snapToGrid w:val="0"/>
              <w:jc w:val="center"/>
              <w:rPr>
                <w:sz w:val="24"/>
              </w:rPr>
            </w:pPr>
            <w:r>
              <w:rPr>
                <w:rFonts w:hint="eastAsia"/>
                <w:sz w:val="24"/>
              </w:rPr>
              <w:t>由厂家更换时回收</w:t>
            </w:r>
          </w:p>
        </w:tc>
        <w:tc>
          <w:tcPr>
            <w:tcW w:w="1721" w:type="dxa"/>
            <w:vMerge w:val="continue"/>
            <w:tcBorders>
              <w:tl2br w:val="nil"/>
              <w:tr2bl w:val="nil"/>
            </w:tcBorders>
            <w:vAlign w:val="center"/>
          </w:tcPr>
          <w:p>
            <w:pPr>
              <w:adjustRightInd w:val="0"/>
              <w:snapToGrid w:val="0"/>
              <w:jc w:val="center"/>
              <w:rPr>
                <w:i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1" w:type="dxa"/>
            <w:vMerge w:val="continue"/>
            <w:tcBorders>
              <w:tl2br w:val="nil"/>
              <w:tr2bl w:val="nil"/>
            </w:tcBorders>
            <w:vAlign w:val="center"/>
          </w:tcPr>
          <w:p>
            <w:pPr>
              <w:adjustRightInd w:val="0"/>
              <w:snapToGrid w:val="0"/>
              <w:jc w:val="center"/>
              <w:rPr>
                <w:sz w:val="24"/>
              </w:rPr>
            </w:pPr>
          </w:p>
        </w:tc>
        <w:tc>
          <w:tcPr>
            <w:tcW w:w="1498" w:type="dxa"/>
            <w:vMerge w:val="restart"/>
            <w:tcBorders>
              <w:top w:val="single" w:color="auto" w:sz="4" w:space="0"/>
              <w:bottom w:val="single" w:color="auto" w:sz="4" w:space="0"/>
              <w:tl2br w:val="nil"/>
              <w:tr2bl w:val="nil"/>
            </w:tcBorders>
            <w:vAlign w:val="center"/>
          </w:tcPr>
          <w:p>
            <w:pPr>
              <w:adjustRightInd w:val="0"/>
              <w:snapToGrid w:val="0"/>
              <w:jc w:val="center"/>
              <w:rPr>
                <w:snapToGrid w:val="0"/>
                <w:kern w:val="21"/>
                <w:sz w:val="24"/>
              </w:rPr>
            </w:pPr>
            <w:r>
              <w:rPr>
                <w:rFonts w:hint="eastAsia"/>
                <w:snapToGrid w:val="0"/>
                <w:kern w:val="21"/>
                <w:sz w:val="24"/>
              </w:rPr>
              <w:t>UV光催化氧化设备</w:t>
            </w:r>
          </w:p>
        </w:tc>
        <w:tc>
          <w:tcPr>
            <w:tcW w:w="1267" w:type="dxa"/>
            <w:tcBorders>
              <w:top w:val="single" w:color="auto" w:sz="4" w:space="0"/>
              <w:bottom w:val="single" w:color="auto" w:sz="4" w:space="0"/>
              <w:tl2br w:val="nil"/>
              <w:tr2bl w:val="nil"/>
            </w:tcBorders>
            <w:vAlign w:val="center"/>
          </w:tcPr>
          <w:p>
            <w:pPr>
              <w:adjustRightInd w:val="0"/>
              <w:snapToGrid w:val="0"/>
              <w:jc w:val="center"/>
              <w:rPr>
                <w:snapToGrid w:val="0"/>
                <w:kern w:val="21"/>
                <w:sz w:val="24"/>
              </w:rPr>
            </w:pPr>
            <w:r>
              <w:rPr>
                <w:rFonts w:hint="eastAsia"/>
                <w:snapToGrid w:val="0"/>
                <w:kern w:val="21"/>
                <w:sz w:val="24"/>
              </w:rPr>
              <w:t>废催化板</w:t>
            </w:r>
          </w:p>
        </w:tc>
        <w:tc>
          <w:tcPr>
            <w:tcW w:w="2101" w:type="dxa"/>
            <w:gridSpan w:val="2"/>
            <w:tcBorders>
              <w:bottom w:val="single" w:color="auto" w:sz="4" w:space="0"/>
              <w:tl2br w:val="nil"/>
              <w:tr2bl w:val="nil"/>
            </w:tcBorders>
            <w:vAlign w:val="center"/>
          </w:tcPr>
          <w:p>
            <w:pPr>
              <w:adjustRightInd w:val="0"/>
              <w:snapToGrid w:val="0"/>
              <w:jc w:val="center"/>
              <w:rPr>
                <w:sz w:val="24"/>
              </w:rPr>
            </w:pPr>
            <w:r>
              <w:rPr>
                <w:rFonts w:hint="eastAsia"/>
                <w:snapToGrid w:val="0"/>
                <w:kern w:val="21"/>
                <w:sz w:val="24"/>
              </w:rPr>
              <w:t>专门容器收集</w:t>
            </w:r>
          </w:p>
        </w:tc>
        <w:tc>
          <w:tcPr>
            <w:tcW w:w="1482" w:type="dxa"/>
            <w:vMerge w:val="continue"/>
            <w:tcBorders>
              <w:bottom w:val="single" w:color="auto" w:sz="4" w:space="0"/>
              <w:tl2br w:val="nil"/>
              <w:tr2bl w:val="nil"/>
            </w:tcBorders>
            <w:vAlign w:val="center"/>
          </w:tcPr>
          <w:p>
            <w:pPr>
              <w:adjustRightInd w:val="0"/>
              <w:snapToGrid w:val="0"/>
              <w:jc w:val="center"/>
              <w:rPr>
                <w:sz w:val="24"/>
              </w:rPr>
            </w:pPr>
          </w:p>
        </w:tc>
        <w:tc>
          <w:tcPr>
            <w:tcW w:w="1721" w:type="dxa"/>
            <w:vMerge w:val="continue"/>
            <w:tcBorders>
              <w:tl2br w:val="nil"/>
              <w:tr2bl w:val="nil"/>
            </w:tcBorders>
            <w:vAlign w:val="center"/>
          </w:tcPr>
          <w:p>
            <w:pPr>
              <w:adjustRightInd w:val="0"/>
              <w:snapToGrid w:val="0"/>
              <w:jc w:val="center"/>
              <w:rPr>
                <w:i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1" w:type="dxa"/>
            <w:vMerge w:val="continue"/>
            <w:tcBorders>
              <w:tl2br w:val="nil"/>
              <w:tr2bl w:val="nil"/>
            </w:tcBorders>
            <w:vAlign w:val="center"/>
          </w:tcPr>
          <w:p>
            <w:pPr>
              <w:adjustRightInd w:val="0"/>
              <w:snapToGrid w:val="0"/>
              <w:jc w:val="center"/>
              <w:rPr>
                <w:sz w:val="24"/>
              </w:rPr>
            </w:pPr>
          </w:p>
        </w:tc>
        <w:tc>
          <w:tcPr>
            <w:tcW w:w="1498" w:type="dxa"/>
            <w:vMerge w:val="continue"/>
            <w:tcBorders>
              <w:top w:val="single" w:color="auto" w:sz="4" w:space="0"/>
              <w:tl2br w:val="nil"/>
              <w:tr2bl w:val="nil"/>
            </w:tcBorders>
            <w:vAlign w:val="center"/>
          </w:tcPr>
          <w:p>
            <w:pPr>
              <w:adjustRightInd w:val="0"/>
              <w:snapToGrid w:val="0"/>
              <w:jc w:val="center"/>
              <w:rPr>
                <w:snapToGrid w:val="0"/>
                <w:kern w:val="0"/>
                <w:sz w:val="24"/>
              </w:rPr>
            </w:pPr>
          </w:p>
        </w:tc>
        <w:tc>
          <w:tcPr>
            <w:tcW w:w="1267" w:type="dxa"/>
            <w:tcBorders>
              <w:top w:val="single" w:color="auto" w:sz="4" w:space="0"/>
              <w:tl2br w:val="nil"/>
              <w:tr2bl w:val="nil"/>
            </w:tcBorders>
            <w:vAlign w:val="center"/>
          </w:tcPr>
          <w:p>
            <w:pPr>
              <w:adjustRightInd w:val="0"/>
              <w:snapToGrid w:val="0"/>
              <w:jc w:val="center"/>
              <w:rPr>
                <w:snapToGrid w:val="0"/>
                <w:kern w:val="21"/>
                <w:sz w:val="24"/>
              </w:rPr>
            </w:pPr>
            <w:r>
              <w:rPr>
                <w:rFonts w:hint="eastAsia"/>
                <w:snapToGrid w:val="0"/>
                <w:kern w:val="21"/>
                <w:sz w:val="24"/>
              </w:rPr>
              <w:t>废灯管</w:t>
            </w:r>
          </w:p>
        </w:tc>
        <w:tc>
          <w:tcPr>
            <w:tcW w:w="2101" w:type="dxa"/>
            <w:gridSpan w:val="2"/>
            <w:tcBorders>
              <w:top w:val="single" w:color="auto" w:sz="4" w:space="0"/>
              <w:bottom w:val="single" w:color="auto" w:sz="4" w:space="0"/>
              <w:right w:val="single" w:color="auto" w:sz="4" w:space="0"/>
              <w:tl2br w:val="nil"/>
              <w:tr2bl w:val="nil"/>
            </w:tcBorders>
            <w:vAlign w:val="center"/>
          </w:tcPr>
          <w:p>
            <w:pPr>
              <w:adjustRightInd w:val="0"/>
              <w:snapToGrid w:val="0"/>
              <w:jc w:val="center"/>
              <w:rPr>
                <w:iCs/>
                <w:sz w:val="24"/>
              </w:rPr>
            </w:pPr>
            <w:r>
              <w:rPr>
                <w:rFonts w:hint="eastAsia"/>
                <w:color w:val="000000"/>
                <w:sz w:val="24"/>
              </w:rPr>
              <w:t>专门容器收集</w:t>
            </w:r>
          </w:p>
        </w:tc>
        <w:tc>
          <w:tcPr>
            <w:tcW w:w="1482" w:type="dxa"/>
            <w:vMerge w:val="restart"/>
            <w:tcBorders>
              <w:top w:val="single" w:color="auto" w:sz="4" w:space="0"/>
              <w:left w:val="single" w:color="auto" w:sz="4" w:space="0"/>
              <w:bottom w:val="single" w:color="auto" w:sz="4" w:space="0"/>
              <w:tl2br w:val="nil"/>
              <w:tr2bl w:val="nil"/>
            </w:tcBorders>
            <w:vAlign w:val="center"/>
          </w:tcPr>
          <w:p>
            <w:pPr>
              <w:adjustRightInd w:val="0"/>
              <w:snapToGrid w:val="0"/>
              <w:jc w:val="center"/>
              <w:rPr>
                <w:sz w:val="24"/>
              </w:rPr>
            </w:pPr>
            <w:r>
              <w:rPr>
                <w:sz w:val="24"/>
              </w:rPr>
              <w:t>设置</w:t>
            </w:r>
            <w:r>
              <w:rPr>
                <w:rFonts w:hint="eastAsia"/>
                <w:sz w:val="24"/>
              </w:rPr>
              <w:t>危废</w:t>
            </w:r>
            <w:r>
              <w:rPr>
                <w:sz w:val="24"/>
              </w:rPr>
              <w:t>暂存间</w:t>
            </w:r>
            <w:r>
              <w:rPr>
                <w:rFonts w:hint="eastAsia"/>
                <w:sz w:val="24"/>
              </w:rPr>
              <w:t>10</w:t>
            </w:r>
            <w:r>
              <w:rPr>
                <w:sz w:val="24"/>
              </w:rPr>
              <w:t>m</w:t>
            </w:r>
            <w:r>
              <w:rPr>
                <w:sz w:val="24"/>
                <w:vertAlign w:val="superscript"/>
              </w:rPr>
              <w:t>2</w:t>
            </w:r>
            <w:r>
              <w:rPr>
                <w:rFonts w:hint="eastAsia"/>
                <w:sz w:val="24"/>
              </w:rPr>
              <w:t>集中收存，交由资质单位处理</w:t>
            </w:r>
          </w:p>
        </w:tc>
        <w:tc>
          <w:tcPr>
            <w:tcW w:w="1721" w:type="dxa"/>
            <w:vMerge w:val="continue"/>
            <w:tcBorders>
              <w:tl2br w:val="nil"/>
              <w:tr2bl w:val="nil"/>
            </w:tcBorders>
            <w:vAlign w:val="center"/>
          </w:tcPr>
          <w:p>
            <w:pPr>
              <w:adjustRightInd w:val="0"/>
              <w:snapToGrid w:val="0"/>
              <w:jc w:val="center"/>
              <w:rPr>
                <w:i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1" w:type="dxa"/>
            <w:vMerge w:val="continue"/>
            <w:tcBorders>
              <w:tl2br w:val="nil"/>
              <w:tr2bl w:val="nil"/>
            </w:tcBorders>
            <w:textDirection w:val="tbRlV"/>
            <w:vAlign w:val="center"/>
          </w:tcPr>
          <w:p>
            <w:pPr>
              <w:adjustRightInd w:val="0"/>
              <w:snapToGrid w:val="0"/>
              <w:jc w:val="center"/>
              <w:rPr>
                <w:sz w:val="24"/>
              </w:rPr>
            </w:pPr>
          </w:p>
        </w:tc>
        <w:tc>
          <w:tcPr>
            <w:tcW w:w="1498" w:type="dxa"/>
            <w:vMerge w:val="restart"/>
            <w:tcBorders>
              <w:top w:val="single" w:color="auto" w:sz="4" w:space="0"/>
              <w:bottom w:val="single" w:color="auto" w:sz="4" w:space="0"/>
              <w:tl2br w:val="nil"/>
              <w:tr2bl w:val="nil"/>
            </w:tcBorders>
            <w:vAlign w:val="center"/>
          </w:tcPr>
          <w:p>
            <w:pPr>
              <w:adjustRightInd w:val="0"/>
              <w:snapToGrid w:val="0"/>
              <w:jc w:val="center"/>
              <w:rPr>
                <w:snapToGrid w:val="0"/>
                <w:kern w:val="0"/>
                <w:sz w:val="24"/>
              </w:rPr>
            </w:pPr>
            <w:r>
              <w:rPr>
                <w:rFonts w:hint="eastAsia"/>
                <w:snapToGrid w:val="0"/>
                <w:kern w:val="21"/>
                <w:sz w:val="24"/>
              </w:rPr>
              <w:t>设备检修</w:t>
            </w:r>
          </w:p>
        </w:tc>
        <w:tc>
          <w:tcPr>
            <w:tcW w:w="1267" w:type="dxa"/>
            <w:tcBorders>
              <w:top w:val="single" w:color="auto" w:sz="4" w:space="0"/>
              <w:bottom w:val="single" w:color="auto" w:sz="4" w:space="0"/>
              <w:tl2br w:val="nil"/>
              <w:tr2bl w:val="nil"/>
            </w:tcBorders>
            <w:vAlign w:val="center"/>
          </w:tcPr>
          <w:p>
            <w:pPr>
              <w:adjustRightInd w:val="0"/>
              <w:snapToGrid w:val="0"/>
              <w:jc w:val="center"/>
              <w:rPr>
                <w:snapToGrid w:val="0"/>
                <w:kern w:val="0"/>
                <w:sz w:val="24"/>
              </w:rPr>
            </w:pPr>
            <w:r>
              <w:rPr>
                <w:rFonts w:hint="eastAsia"/>
                <w:snapToGrid w:val="0"/>
                <w:kern w:val="21"/>
                <w:sz w:val="24"/>
              </w:rPr>
              <w:t>废机油</w:t>
            </w:r>
          </w:p>
        </w:tc>
        <w:tc>
          <w:tcPr>
            <w:tcW w:w="2101" w:type="dxa"/>
            <w:gridSpan w:val="2"/>
            <w:tcBorders>
              <w:top w:val="single" w:color="auto" w:sz="4" w:space="0"/>
              <w:bottom w:val="single" w:color="auto" w:sz="4" w:space="0"/>
              <w:right w:val="single" w:color="auto" w:sz="4" w:space="0"/>
              <w:tl2br w:val="nil"/>
              <w:tr2bl w:val="nil"/>
            </w:tcBorders>
            <w:vAlign w:val="center"/>
          </w:tcPr>
          <w:p>
            <w:pPr>
              <w:adjustRightInd w:val="0"/>
              <w:snapToGrid w:val="0"/>
              <w:jc w:val="center"/>
              <w:rPr>
                <w:iCs/>
                <w:sz w:val="24"/>
              </w:rPr>
            </w:pPr>
            <w:r>
              <w:rPr>
                <w:rFonts w:hint="eastAsia"/>
                <w:color w:val="000000"/>
                <w:sz w:val="24"/>
              </w:rPr>
              <w:t>塑料桶收集</w:t>
            </w:r>
          </w:p>
        </w:tc>
        <w:tc>
          <w:tcPr>
            <w:tcW w:w="1482" w:type="dxa"/>
            <w:vMerge w:val="continue"/>
            <w:tcBorders>
              <w:top w:val="single" w:color="auto" w:sz="4" w:space="0"/>
              <w:left w:val="single" w:color="auto" w:sz="4" w:space="0"/>
              <w:bottom w:val="single" w:color="auto" w:sz="4" w:space="0"/>
              <w:tl2br w:val="nil"/>
              <w:tr2bl w:val="nil"/>
            </w:tcBorders>
            <w:vAlign w:val="center"/>
          </w:tcPr>
          <w:p>
            <w:pPr>
              <w:adjustRightInd w:val="0"/>
              <w:snapToGrid w:val="0"/>
              <w:jc w:val="center"/>
              <w:rPr>
                <w:kern w:val="0"/>
                <w:sz w:val="24"/>
              </w:rPr>
            </w:pPr>
          </w:p>
        </w:tc>
        <w:tc>
          <w:tcPr>
            <w:tcW w:w="1721" w:type="dxa"/>
            <w:vMerge w:val="continue"/>
            <w:tcBorders>
              <w:tl2br w:val="nil"/>
              <w:tr2bl w:val="nil"/>
            </w:tcBorders>
            <w:vAlign w:val="center"/>
          </w:tcPr>
          <w:p>
            <w:pPr>
              <w:adjustRightInd w:val="0"/>
              <w:snapToGrid w:val="0"/>
              <w:jc w:val="center"/>
              <w:rPr>
                <w:i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1" w:type="dxa"/>
            <w:vMerge w:val="continue"/>
            <w:tcBorders>
              <w:tl2br w:val="nil"/>
              <w:tr2bl w:val="nil"/>
            </w:tcBorders>
            <w:textDirection w:val="tbRlV"/>
            <w:vAlign w:val="center"/>
          </w:tcPr>
          <w:p>
            <w:pPr>
              <w:adjustRightInd w:val="0"/>
              <w:snapToGrid w:val="0"/>
              <w:jc w:val="center"/>
              <w:rPr>
                <w:sz w:val="24"/>
              </w:rPr>
            </w:pPr>
          </w:p>
        </w:tc>
        <w:tc>
          <w:tcPr>
            <w:tcW w:w="1498" w:type="dxa"/>
            <w:vMerge w:val="continue"/>
            <w:tcBorders>
              <w:top w:val="single" w:color="auto" w:sz="4" w:space="0"/>
              <w:tl2br w:val="nil"/>
              <w:tr2bl w:val="nil"/>
            </w:tcBorders>
            <w:vAlign w:val="center"/>
          </w:tcPr>
          <w:p>
            <w:pPr>
              <w:adjustRightInd w:val="0"/>
              <w:snapToGrid w:val="0"/>
              <w:jc w:val="center"/>
              <w:rPr>
                <w:snapToGrid w:val="0"/>
                <w:kern w:val="0"/>
                <w:sz w:val="24"/>
              </w:rPr>
            </w:pPr>
          </w:p>
        </w:tc>
        <w:tc>
          <w:tcPr>
            <w:tcW w:w="1267" w:type="dxa"/>
            <w:tcBorders>
              <w:top w:val="single" w:color="auto" w:sz="4" w:space="0"/>
              <w:tl2br w:val="nil"/>
              <w:tr2bl w:val="nil"/>
            </w:tcBorders>
            <w:vAlign w:val="center"/>
          </w:tcPr>
          <w:p>
            <w:pPr>
              <w:adjustRightInd w:val="0"/>
              <w:snapToGrid w:val="0"/>
              <w:jc w:val="center"/>
              <w:rPr>
                <w:snapToGrid w:val="0"/>
                <w:kern w:val="0"/>
                <w:sz w:val="24"/>
              </w:rPr>
            </w:pPr>
            <w:r>
              <w:rPr>
                <w:rFonts w:hint="eastAsia"/>
                <w:snapToGrid w:val="0"/>
                <w:kern w:val="21"/>
                <w:sz w:val="24"/>
              </w:rPr>
              <w:t>废液压油</w:t>
            </w:r>
          </w:p>
        </w:tc>
        <w:tc>
          <w:tcPr>
            <w:tcW w:w="2101" w:type="dxa"/>
            <w:gridSpan w:val="2"/>
            <w:tcBorders>
              <w:top w:val="single" w:color="auto" w:sz="4" w:space="0"/>
              <w:right w:val="single" w:color="auto" w:sz="4" w:space="0"/>
              <w:tl2br w:val="nil"/>
              <w:tr2bl w:val="nil"/>
            </w:tcBorders>
            <w:vAlign w:val="center"/>
          </w:tcPr>
          <w:p>
            <w:pPr>
              <w:adjustRightInd w:val="0"/>
              <w:snapToGrid w:val="0"/>
              <w:jc w:val="center"/>
              <w:rPr>
                <w:kern w:val="0"/>
                <w:sz w:val="24"/>
              </w:rPr>
            </w:pPr>
            <w:r>
              <w:rPr>
                <w:rFonts w:hint="eastAsia"/>
                <w:color w:val="000000"/>
                <w:sz w:val="24"/>
              </w:rPr>
              <w:t>塑料桶收集</w:t>
            </w:r>
          </w:p>
        </w:tc>
        <w:tc>
          <w:tcPr>
            <w:tcW w:w="1482" w:type="dxa"/>
            <w:vMerge w:val="continue"/>
            <w:tcBorders>
              <w:top w:val="single" w:color="auto" w:sz="4" w:space="0"/>
              <w:left w:val="single" w:color="auto" w:sz="4" w:space="0"/>
              <w:bottom w:val="single" w:color="auto" w:sz="4" w:space="0"/>
              <w:tl2br w:val="nil"/>
              <w:tr2bl w:val="nil"/>
            </w:tcBorders>
            <w:vAlign w:val="center"/>
          </w:tcPr>
          <w:p>
            <w:pPr>
              <w:adjustRightInd w:val="0"/>
              <w:snapToGrid w:val="0"/>
              <w:jc w:val="center"/>
              <w:rPr>
                <w:kern w:val="0"/>
                <w:sz w:val="24"/>
              </w:rPr>
            </w:pPr>
          </w:p>
        </w:tc>
        <w:tc>
          <w:tcPr>
            <w:tcW w:w="1721" w:type="dxa"/>
            <w:vMerge w:val="continue"/>
            <w:tcBorders>
              <w:tl2br w:val="nil"/>
              <w:tr2bl w:val="nil"/>
            </w:tcBorders>
            <w:vAlign w:val="center"/>
          </w:tcPr>
          <w:p>
            <w:pPr>
              <w:adjustRightInd w:val="0"/>
              <w:snapToGrid w:val="0"/>
              <w:jc w:val="center"/>
              <w:rPr>
                <w:i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1" w:type="dxa"/>
            <w:vMerge w:val="continue"/>
            <w:tcBorders>
              <w:tl2br w:val="nil"/>
              <w:tr2bl w:val="nil"/>
            </w:tcBorders>
            <w:textDirection w:val="tbRlV"/>
            <w:vAlign w:val="center"/>
          </w:tcPr>
          <w:p>
            <w:pPr>
              <w:adjustRightInd w:val="0"/>
              <w:snapToGrid w:val="0"/>
              <w:jc w:val="center"/>
              <w:rPr>
                <w:sz w:val="24"/>
              </w:rPr>
            </w:pPr>
          </w:p>
        </w:tc>
        <w:tc>
          <w:tcPr>
            <w:tcW w:w="1498" w:type="dxa"/>
            <w:tcBorders>
              <w:tl2br w:val="nil"/>
              <w:tr2bl w:val="nil"/>
            </w:tcBorders>
            <w:vAlign w:val="center"/>
          </w:tcPr>
          <w:p>
            <w:pPr>
              <w:adjustRightInd w:val="0"/>
              <w:snapToGrid w:val="0"/>
              <w:jc w:val="center"/>
              <w:rPr>
                <w:iCs/>
                <w:sz w:val="24"/>
              </w:rPr>
            </w:pPr>
            <w:r>
              <w:rPr>
                <w:rFonts w:hint="eastAsia"/>
                <w:snapToGrid w:val="0"/>
                <w:kern w:val="21"/>
                <w:sz w:val="24"/>
              </w:rPr>
              <w:t>职工生活</w:t>
            </w:r>
          </w:p>
        </w:tc>
        <w:tc>
          <w:tcPr>
            <w:tcW w:w="1267" w:type="dxa"/>
            <w:tcBorders>
              <w:tl2br w:val="nil"/>
              <w:tr2bl w:val="nil"/>
            </w:tcBorders>
            <w:vAlign w:val="center"/>
          </w:tcPr>
          <w:p>
            <w:pPr>
              <w:adjustRightInd w:val="0"/>
              <w:snapToGrid w:val="0"/>
              <w:jc w:val="center"/>
              <w:rPr>
                <w:sz w:val="24"/>
              </w:rPr>
            </w:pPr>
            <w:r>
              <w:rPr>
                <w:rFonts w:hint="eastAsia"/>
                <w:snapToGrid w:val="0"/>
                <w:kern w:val="21"/>
                <w:sz w:val="24"/>
              </w:rPr>
              <w:t>生活垃圾</w:t>
            </w:r>
          </w:p>
        </w:tc>
        <w:tc>
          <w:tcPr>
            <w:tcW w:w="3583" w:type="dxa"/>
            <w:gridSpan w:val="3"/>
            <w:tcBorders>
              <w:tl2br w:val="nil"/>
              <w:tr2bl w:val="nil"/>
            </w:tcBorders>
            <w:vAlign w:val="center"/>
          </w:tcPr>
          <w:p>
            <w:pPr>
              <w:adjustRightInd w:val="0"/>
              <w:snapToGrid w:val="0"/>
              <w:jc w:val="center"/>
              <w:rPr>
                <w:kern w:val="0"/>
                <w:sz w:val="24"/>
              </w:rPr>
            </w:pPr>
            <w:r>
              <w:rPr>
                <w:rFonts w:hint="eastAsia"/>
                <w:color w:val="000000"/>
                <w:sz w:val="24"/>
              </w:rPr>
              <w:t>设置垃圾桶若干，交由环卫部门处理</w:t>
            </w:r>
          </w:p>
        </w:tc>
        <w:tc>
          <w:tcPr>
            <w:tcW w:w="1721" w:type="dxa"/>
            <w:tcBorders>
              <w:tl2br w:val="nil"/>
              <w:tr2bl w:val="nil"/>
            </w:tcBorders>
            <w:vAlign w:val="center"/>
          </w:tcPr>
          <w:p>
            <w:pPr>
              <w:adjustRightInd w:val="0"/>
              <w:snapToGrid w:val="0"/>
              <w:jc w:val="center"/>
              <w:rPr>
                <w:iCs/>
                <w:sz w:val="24"/>
              </w:rPr>
            </w:pPr>
            <w:r>
              <w:rPr>
                <w:rFonts w:hint="eastAsia"/>
                <w:iCs/>
                <w:sz w:val="24"/>
              </w:rPr>
              <w:t>妥善处置，不造成二次污染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1" w:type="dxa"/>
            <w:tcBorders>
              <w:tl2br w:val="nil"/>
              <w:tr2bl w:val="nil"/>
            </w:tcBorders>
            <w:textDirection w:val="tbRlV"/>
            <w:vAlign w:val="center"/>
          </w:tcPr>
          <w:p>
            <w:pPr>
              <w:adjustRightInd w:val="0"/>
              <w:snapToGrid w:val="0"/>
              <w:jc w:val="center"/>
              <w:rPr>
                <w:sz w:val="24"/>
              </w:rPr>
            </w:pPr>
            <w:r>
              <w:rPr>
                <w:sz w:val="24"/>
              </w:rPr>
              <w:t>噪声</w:t>
            </w:r>
          </w:p>
        </w:tc>
        <w:tc>
          <w:tcPr>
            <w:tcW w:w="1498" w:type="dxa"/>
            <w:tcBorders>
              <w:tl2br w:val="nil"/>
              <w:tr2bl w:val="nil"/>
            </w:tcBorders>
            <w:vAlign w:val="center"/>
          </w:tcPr>
          <w:p>
            <w:pPr>
              <w:adjustRightInd w:val="0"/>
              <w:snapToGrid w:val="0"/>
              <w:jc w:val="center"/>
              <w:rPr>
                <w:sz w:val="24"/>
              </w:rPr>
            </w:pPr>
            <w:r>
              <w:rPr>
                <w:sz w:val="24"/>
              </w:rPr>
              <w:t>设备噪声</w:t>
            </w:r>
          </w:p>
        </w:tc>
        <w:tc>
          <w:tcPr>
            <w:tcW w:w="6571" w:type="dxa"/>
            <w:gridSpan w:val="5"/>
            <w:tcBorders>
              <w:tl2br w:val="nil"/>
              <w:tr2bl w:val="nil"/>
            </w:tcBorders>
            <w:vAlign w:val="center"/>
          </w:tcPr>
          <w:p>
            <w:pPr>
              <w:adjustRightInd w:val="0"/>
              <w:snapToGrid w:val="0"/>
              <w:spacing w:line="360" w:lineRule="auto"/>
              <w:ind w:firstLine="480" w:firstLineChars="200"/>
              <w:rPr>
                <w:sz w:val="24"/>
              </w:rPr>
            </w:pPr>
            <w:r>
              <w:rPr>
                <w:sz w:val="24"/>
              </w:rPr>
              <w:t>项目</w:t>
            </w:r>
            <w:r>
              <w:rPr>
                <w:rFonts w:hint="eastAsia"/>
                <w:sz w:val="24"/>
              </w:rPr>
              <w:t>各</w:t>
            </w:r>
            <w:r>
              <w:rPr>
                <w:sz w:val="24"/>
              </w:rPr>
              <w:t>噪声源强在</w:t>
            </w:r>
            <w:r>
              <w:rPr>
                <w:rFonts w:hint="eastAsia"/>
                <w:sz w:val="24"/>
              </w:rPr>
              <w:t>70~85</w:t>
            </w:r>
            <w:r>
              <w:rPr>
                <w:sz w:val="24"/>
              </w:rPr>
              <w:t>dB（A）</w:t>
            </w:r>
            <w:r>
              <w:rPr>
                <w:rFonts w:hint="eastAsia"/>
                <w:sz w:val="24"/>
              </w:rPr>
              <w:t>左右</w:t>
            </w:r>
            <w:r>
              <w:rPr>
                <w:sz w:val="24"/>
              </w:rPr>
              <w:t>，采取</w:t>
            </w:r>
            <w:r>
              <w:rPr>
                <w:rFonts w:hint="eastAsia"/>
                <w:sz w:val="24"/>
              </w:rPr>
              <w:t>设备减震、厂房隔声、距离衰减</w:t>
            </w:r>
            <w:r>
              <w:rPr>
                <w:sz w:val="24"/>
              </w:rPr>
              <w:t>等措施</w:t>
            </w:r>
            <w:r>
              <w:rPr>
                <w:rFonts w:hint="eastAsia"/>
                <w:sz w:val="24"/>
              </w:rPr>
              <w:t>后</w:t>
            </w:r>
            <w:r>
              <w:rPr>
                <w:sz w:val="24"/>
              </w:rPr>
              <w:t>，厂界噪声</w:t>
            </w:r>
            <w:r>
              <w:rPr>
                <w:rFonts w:hint="eastAsia"/>
                <w:sz w:val="24"/>
              </w:rPr>
              <w:t>贡献值能</w:t>
            </w:r>
            <w:r>
              <w:rPr>
                <w:sz w:val="24"/>
              </w:rPr>
              <w:t>达到《工业企业厂界环境噪声排放标准》</w:t>
            </w:r>
            <w:r>
              <w:rPr>
                <w:rFonts w:hint="eastAsia"/>
                <w:sz w:val="24"/>
              </w:rPr>
              <w:t>（</w:t>
            </w:r>
            <w:r>
              <w:rPr>
                <w:sz w:val="24"/>
              </w:rPr>
              <w:t>GB12348-2008</w:t>
            </w:r>
            <w:r>
              <w:rPr>
                <w:rFonts w:hint="eastAsia"/>
                <w:sz w:val="24"/>
              </w:rPr>
              <w:t>）</w:t>
            </w:r>
            <w:r>
              <w:rPr>
                <w:sz w:val="24"/>
              </w:rPr>
              <w:t>中规定的</w:t>
            </w:r>
            <w:r>
              <w:rPr>
                <w:rFonts w:hint="eastAsia"/>
                <w:sz w:val="24"/>
              </w:rPr>
              <w:t>3类</w:t>
            </w:r>
            <w:r>
              <w:rPr>
                <w:sz w:val="24"/>
              </w:rPr>
              <w:t>标准限值要求，不会造成噪声扰民影响。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080" w:type="dxa"/>
            <w:gridSpan w:val="7"/>
            <w:tcBorders>
              <w:tl2br w:val="nil"/>
              <w:tr2bl w:val="nil"/>
            </w:tcBorders>
            <w:vAlign w:val="center"/>
          </w:tcPr>
          <w:p>
            <w:pPr>
              <w:rPr>
                <w:b/>
                <w:bCs/>
                <w:sz w:val="24"/>
              </w:rPr>
            </w:pPr>
            <w:r>
              <w:rPr>
                <w:b/>
                <w:bCs/>
                <w:sz w:val="24"/>
              </w:rPr>
              <w:t>生态保护措施及预期效果</w:t>
            </w:r>
          </w:p>
          <w:p>
            <w:pPr>
              <w:spacing w:line="440" w:lineRule="exact"/>
              <w:ind w:firstLine="480" w:firstLineChars="200"/>
              <w:rPr>
                <w:rFonts w:ascii="Arial" w:hAnsi="Arial" w:eastAsia="Times New Roman"/>
                <w:b/>
                <w:bCs/>
                <w:sz w:val="24"/>
              </w:rPr>
            </w:pPr>
            <w:r>
              <w:rPr>
                <w:sz w:val="24"/>
              </w:rPr>
              <w:t>本项目</w:t>
            </w:r>
            <w:r>
              <w:rPr>
                <w:rFonts w:hint="eastAsia"/>
                <w:sz w:val="24"/>
              </w:rPr>
              <w:t>租赁原有厂房进行生产</w:t>
            </w:r>
            <w:r>
              <w:rPr>
                <w:sz w:val="24"/>
              </w:rPr>
              <w:t>，建设单位在生产过程中排放的各个污染物进行有效的治理，不会对项目周边的生态环境造成明显的影响</w:t>
            </w:r>
            <w:r>
              <w:rPr>
                <w:rFonts w:hint="eastAsia"/>
                <w:sz w:val="24"/>
              </w:rPr>
              <w:t>。</w:t>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p>
        </w:tc>
      </w:tr>
    </w:tbl>
    <w:p>
      <w:pPr>
        <w:adjustRightInd w:val="0"/>
        <w:snapToGrid w:val="0"/>
        <w:spacing w:line="360" w:lineRule="auto"/>
        <w:rPr>
          <w:rFonts w:ascii="宋体" w:hAnsi="宋体" w:cs="宋体"/>
          <w:b/>
          <w:sz w:val="24"/>
        </w:rPr>
        <w:sectPr>
          <w:pgSz w:w="11906" w:h="16838"/>
          <w:pgMar w:top="1440" w:right="1800" w:bottom="1440" w:left="1800" w:header="851" w:footer="992" w:gutter="0"/>
          <w:cols w:space="720" w:num="1"/>
          <w:docGrid w:type="lines" w:linePitch="312" w:charSpace="0"/>
        </w:sectPr>
      </w:pPr>
    </w:p>
    <w:p>
      <w:pPr>
        <w:spacing w:line="440" w:lineRule="exact"/>
        <w:jc w:val="left"/>
        <w:rPr>
          <w:b/>
          <w:sz w:val="28"/>
        </w:rPr>
      </w:pPr>
      <w:r>
        <w:rPr>
          <w:rFonts w:hint="eastAsia" w:ascii="宋体" w:hAnsi="宋体" w:cs="宋体"/>
          <w:b/>
          <w:sz w:val="28"/>
          <w:szCs w:val="28"/>
        </w:rPr>
        <w:t>结论与建议</w:t>
      </w:r>
    </w:p>
    <w:tbl>
      <w:tblPr>
        <w:tblStyle w:val="2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9071" w:type="dxa"/>
          </w:tcPr>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黑体" w:hAnsi="黑体" w:eastAsia="黑体" w:cs="黑体"/>
                <w:sz w:val="24"/>
              </w:rPr>
            </w:pPr>
            <w:r>
              <w:rPr>
                <w:rFonts w:hint="eastAsia" w:ascii="黑体" w:hAnsi="黑体" w:eastAsia="黑体" w:cs="黑体"/>
                <w:sz w:val="24"/>
              </w:rPr>
              <w:t>结论</w:t>
            </w:r>
          </w:p>
          <w:p>
            <w:pPr>
              <w:pStyle w:val="100"/>
              <w:keepNext w:val="0"/>
              <w:keepLines w:val="0"/>
              <w:pageBreakBefore w:val="0"/>
              <w:widowControl w:val="0"/>
              <w:kinsoku/>
              <w:wordWrap/>
              <w:overflowPunct/>
              <w:topLinePunct w:val="0"/>
              <w:autoSpaceDE/>
              <w:autoSpaceDN/>
              <w:bidi w:val="0"/>
              <w:adjustRightInd/>
              <w:snapToGrid/>
              <w:spacing w:line="360" w:lineRule="auto"/>
              <w:textAlignment w:val="auto"/>
              <w:rPr>
                <w:rFonts w:eastAsia="黑体" w:cs="Times New Roman"/>
                <w:b w:val="0"/>
                <w:bCs w:val="0"/>
                <w:szCs w:val="24"/>
              </w:rPr>
            </w:pPr>
            <w:r>
              <w:rPr>
                <w:rFonts w:eastAsia="黑体" w:cs="Times New Roman"/>
                <w:b w:val="0"/>
                <w:bCs w:val="0"/>
                <w:szCs w:val="24"/>
              </w:rPr>
              <w:t>1、项目概况</w:t>
            </w:r>
          </w:p>
          <w:p>
            <w:pPr>
              <w:pStyle w:val="102"/>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Cs w:val="24"/>
              </w:rPr>
            </w:pPr>
            <w:r>
              <w:rPr>
                <w:rFonts w:hint="eastAsia"/>
                <w:sz w:val="24"/>
              </w:rPr>
              <w:t>新乡县七里营镇信之达塑料制品厂</w:t>
            </w:r>
            <w:r>
              <w:rPr>
                <w:szCs w:val="24"/>
              </w:rPr>
              <w:t>投资</w:t>
            </w:r>
            <w:r>
              <w:rPr>
                <w:rFonts w:hint="eastAsia"/>
                <w:szCs w:val="24"/>
                <w:lang w:val="en-US" w:eastAsia="zh-CN"/>
              </w:rPr>
              <w:t>80</w:t>
            </w:r>
            <w:r>
              <w:rPr>
                <w:szCs w:val="24"/>
              </w:rPr>
              <w:t>万元，建设</w:t>
            </w:r>
            <w:r>
              <w:rPr>
                <w:rFonts w:hint="eastAsia"/>
                <w:szCs w:val="24"/>
              </w:rPr>
              <w:t>年产</w:t>
            </w:r>
            <w:r>
              <w:rPr>
                <w:rFonts w:hint="eastAsia"/>
                <w:szCs w:val="24"/>
                <w:lang w:val="en-US" w:eastAsia="zh-CN"/>
              </w:rPr>
              <w:t>10</w:t>
            </w:r>
            <w:r>
              <w:rPr>
                <w:rFonts w:hint="eastAsia"/>
                <w:szCs w:val="24"/>
              </w:rPr>
              <w:t>万套塑料配件项目</w:t>
            </w:r>
            <w:r>
              <w:rPr>
                <w:szCs w:val="24"/>
              </w:rPr>
              <w:t>，厂址位于</w:t>
            </w:r>
            <w:r>
              <w:rPr>
                <w:rFonts w:hint="eastAsia"/>
                <w:sz w:val="24"/>
              </w:rPr>
              <w:t>新乡市新乡县七里营镇刘庄路与新远路交叉口向西路南38号</w:t>
            </w:r>
            <w:r>
              <w:rPr>
                <w:szCs w:val="24"/>
              </w:rPr>
              <w:t>，总占地面积</w:t>
            </w:r>
            <w:r>
              <w:rPr>
                <w:rFonts w:hint="eastAsia"/>
                <w:szCs w:val="24"/>
                <w:lang w:val="en-US" w:eastAsia="zh-CN"/>
              </w:rPr>
              <w:t>500</w:t>
            </w:r>
            <w:r>
              <w:rPr>
                <w:szCs w:val="24"/>
              </w:rPr>
              <w:t>m</w:t>
            </w:r>
            <w:r>
              <w:rPr>
                <w:szCs w:val="24"/>
                <w:vertAlign w:val="superscript"/>
              </w:rPr>
              <w:t>2</w:t>
            </w:r>
            <w:r>
              <w:rPr>
                <w:szCs w:val="24"/>
              </w:rPr>
              <w:t>；本项目职工</w:t>
            </w:r>
            <w:r>
              <w:rPr>
                <w:rFonts w:hint="eastAsia"/>
                <w:szCs w:val="24"/>
                <w:lang w:val="en-US" w:eastAsia="zh-CN"/>
              </w:rPr>
              <w:t>8</w:t>
            </w:r>
            <w:r>
              <w:rPr>
                <w:szCs w:val="24"/>
              </w:rPr>
              <w:t>人，1班制，每班</w:t>
            </w:r>
            <w:r>
              <w:rPr>
                <w:rFonts w:hint="eastAsia"/>
                <w:szCs w:val="24"/>
                <w:lang w:val="en-US" w:eastAsia="zh-CN"/>
              </w:rPr>
              <w:t>10</w:t>
            </w:r>
            <w:r>
              <w:rPr>
                <w:szCs w:val="24"/>
              </w:rPr>
              <w:t>小时，年工作300天。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cs="黑体"/>
                <w:sz w:val="24"/>
              </w:rPr>
            </w:pPr>
            <w:r>
              <w:rPr>
                <w:rFonts w:eastAsia="黑体"/>
                <w:sz w:val="24"/>
              </w:rPr>
              <w:t>2</w:t>
            </w:r>
            <w:r>
              <w:rPr>
                <w:rFonts w:hint="eastAsia" w:ascii="黑体" w:hAnsi="黑体" w:eastAsia="黑体" w:cs="黑体"/>
                <w:sz w:val="24"/>
              </w:rPr>
              <w:t>、项目与相关政策、相关规划、选址建设符合性</w:t>
            </w:r>
          </w:p>
          <w:p>
            <w:pPr>
              <w:pStyle w:val="10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szCs w:val="24"/>
              </w:rPr>
            </w:pPr>
            <w:r>
              <w:rPr>
                <w:szCs w:val="24"/>
              </w:rPr>
              <w:t>（1）与产业政策相符性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经查阅《产业结构调整指导目录（2011年本）（2013年修正）》，本项目不属于淘汰类和限制类，属于允许类项目。本项目已在</w:t>
            </w:r>
            <w:r>
              <w:rPr>
                <w:rFonts w:hint="eastAsia"/>
                <w:sz w:val="24"/>
              </w:rPr>
              <w:t>河南新乡经济技术集聚区管理委员会</w:t>
            </w:r>
            <w:r>
              <w:rPr>
                <w:sz w:val="24"/>
              </w:rPr>
              <w:t>进行了备案，项目代码为</w:t>
            </w:r>
            <w:r>
              <w:rPr>
                <w:rFonts w:hint="eastAsia"/>
                <w:bCs/>
                <w:sz w:val="24"/>
              </w:rPr>
              <w:t>2019-410721-29-03-012182</w:t>
            </w:r>
            <w:r>
              <w:rPr>
                <w:sz w:val="24"/>
              </w:rPr>
              <w:t>（备案证明见附件），因此符合国家产业政策要求。</w:t>
            </w:r>
          </w:p>
          <w:p>
            <w:pPr>
              <w:pStyle w:val="10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szCs w:val="24"/>
              </w:rPr>
            </w:pPr>
            <w:r>
              <w:rPr>
                <w:szCs w:val="24"/>
              </w:rPr>
              <w:t>（2）与新环〔2015〕342号文相符性分析</w:t>
            </w:r>
          </w:p>
          <w:p>
            <w:pPr>
              <w:pStyle w:val="102"/>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Cs w:val="24"/>
              </w:rPr>
            </w:pPr>
            <w:r>
              <w:rPr>
                <w:szCs w:val="24"/>
              </w:rPr>
              <w:t>本项目不在不予审批项目范围内，符合新环〔2015〕342号文件要求。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rPr>
            </w:pPr>
            <w:r>
              <w:rPr>
                <w:rFonts w:hint="eastAsia"/>
                <w:sz w:val="24"/>
              </w:rPr>
              <w:t>（3）</w:t>
            </w:r>
            <w:r>
              <w:rPr>
                <w:sz w:val="24"/>
              </w:rPr>
              <w:t>与新乡市环境污染防治攻坚战三年行动实施方案（2018-2020年）相符性分析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本项目属于</w:t>
            </w:r>
            <w:r>
              <w:rPr>
                <w:rFonts w:hint="eastAsia"/>
                <w:sz w:val="24"/>
              </w:rPr>
              <w:t>塑料制品</w:t>
            </w:r>
            <w:r>
              <w:rPr>
                <w:sz w:val="24"/>
              </w:rPr>
              <w:t>制造，在生产过程中</w:t>
            </w:r>
            <w:r>
              <w:rPr>
                <w:rFonts w:hint="eastAsia"/>
                <w:sz w:val="24"/>
              </w:rPr>
              <w:t>注塑、</w:t>
            </w:r>
            <w:r>
              <w:rPr>
                <w:rFonts w:hint="eastAsia"/>
                <w:sz w:val="24"/>
                <w:lang w:val="en-US" w:eastAsia="zh-CN"/>
              </w:rPr>
              <w:t>塑化挤出</w:t>
            </w:r>
            <w:r>
              <w:rPr>
                <w:rFonts w:hint="eastAsia"/>
                <w:sz w:val="24"/>
              </w:rPr>
              <w:t>工艺</w:t>
            </w:r>
            <w:r>
              <w:rPr>
                <w:sz w:val="24"/>
              </w:rPr>
              <w:t>会产生挥发性有机物，挥发性有机物经</w:t>
            </w:r>
            <w:r>
              <w:rPr>
                <w:rFonts w:hint="eastAsia"/>
                <w:sz w:val="24"/>
              </w:rPr>
              <w:t>UV光催化氧化设备+活性炭吸附装置</w:t>
            </w:r>
            <w:r>
              <w:rPr>
                <w:sz w:val="24"/>
              </w:rPr>
              <w:t>处理后达标排放</w:t>
            </w:r>
            <w:r>
              <w:rPr>
                <w:rFonts w:hint="eastAsia"/>
                <w:sz w:val="24"/>
              </w:rPr>
              <w:t>，符合“</w:t>
            </w:r>
            <w:r>
              <w:rPr>
                <w:sz w:val="24"/>
              </w:rPr>
              <w:t>三年行动实施方案</w:t>
            </w:r>
            <w:r>
              <w:rPr>
                <w:rFonts w:hint="eastAsia"/>
                <w:sz w:val="24"/>
              </w:rPr>
              <w:t>”要求</w:t>
            </w:r>
            <w:r>
              <w:rPr>
                <w:sz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rPr>
            </w:pPr>
            <w:r>
              <w:rPr>
                <w:rFonts w:hint="eastAsia"/>
                <w:sz w:val="24"/>
              </w:rPr>
              <w:t>（4）与《京津冀及周边地区2018-2019年秋冬季大气污染综合治理攻坚行动方案》相符性分析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本项目属于</w:t>
            </w:r>
            <w:r>
              <w:rPr>
                <w:rFonts w:hint="eastAsia"/>
                <w:sz w:val="24"/>
              </w:rPr>
              <w:t>塑料制品</w:t>
            </w:r>
            <w:r>
              <w:rPr>
                <w:sz w:val="24"/>
              </w:rPr>
              <w:t>制造，在生产过程中</w:t>
            </w:r>
            <w:r>
              <w:rPr>
                <w:rFonts w:hint="eastAsia"/>
                <w:sz w:val="24"/>
              </w:rPr>
              <w:t>注塑、</w:t>
            </w:r>
            <w:r>
              <w:rPr>
                <w:rFonts w:hint="eastAsia"/>
                <w:sz w:val="24"/>
                <w:lang w:val="en-US" w:eastAsia="zh-CN"/>
              </w:rPr>
              <w:t>塑化挤出</w:t>
            </w:r>
            <w:r>
              <w:rPr>
                <w:rFonts w:hint="eastAsia"/>
                <w:sz w:val="24"/>
              </w:rPr>
              <w:t>工艺</w:t>
            </w:r>
            <w:r>
              <w:rPr>
                <w:sz w:val="24"/>
              </w:rPr>
              <w:t>会产生挥发性有机物，挥发性有机物经</w:t>
            </w:r>
            <w:r>
              <w:rPr>
                <w:rFonts w:hint="eastAsia"/>
                <w:sz w:val="24"/>
              </w:rPr>
              <w:t>UV光催化氧化设备+活性炭吸附装置</w:t>
            </w:r>
            <w:r>
              <w:rPr>
                <w:sz w:val="24"/>
              </w:rPr>
              <w:t>处理后达标排放</w:t>
            </w:r>
            <w:r>
              <w:rPr>
                <w:rFonts w:hint="eastAsia"/>
                <w:sz w:val="24"/>
              </w:rPr>
              <w:t>，符合“秋冬季大气污染综合治理攻坚行动方案”要求</w:t>
            </w:r>
            <w:r>
              <w:rPr>
                <w:sz w:val="24"/>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pPr>
            <w:r>
              <w:rPr>
                <w:rFonts w:hint="eastAsia"/>
                <w:sz w:val="24"/>
                <w:szCs w:val="24"/>
              </w:rPr>
              <w:t>（5）与豫环攻坚办[2019]25号文相符性分析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sz w:val="24"/>
              </w:rPr>
              <w:t>本项目属于</w:t>
            </w:r>
            <w:r>
              <w:rPr>
                <w:rFonts w:hint="eastAsia"/>
                <w:sz w:val="24"/>
              </w:rPr>
              <w:t>塑料制品</w:t>
            </w:r>
            <w:r>
              <w:rPr>
                <w:sz w:val="24"/>
              </w:rPr>
              <w:t>制造，在生产过程中</w:t>
            </w:r>
            <w:r>
              <w:rPr>
                <w:rFonts w:hint="eastAsia"/>
                <w:sz w:val="24"/>
              </w:rPr>
              <w:t>注塑、</w:t>
            </w:r>
            <w:r>
              <w:rPr>
                <w:rFonts w:hint="eastAsia"/>
                <w:sz w:val="24"/>
                <w:lang w:val="en-US" w:eastAsia="zh-CN"/>
              </w:rPr>
              <w:t>塑化挤出</w:t>
            </w:r>
            <w:r>
              <w:rPr>
                <w:rFonts w:hint="eastAsia"/>
                <w:sz w:val="24"/>
              </w:rPr>
              <w:t>工艺</w:t>
            </w:r>
            <w:r>
              <w:rPr>
                <w:sz w:val="24"/>
              </w:rPr>
              <w:t>会产生挥发性有机物，挥发性有机物经</w:t>
            </w:r>
            <w:r>
              <w:rPr>
                <w:rFonts w:hint="eastAsia"/>
                <w:sz w:val="24"/>
              </w:rPr>
              <w:t>UV光催化氧化设备+活性炭吸附装置</w:t>
            </w:r>
            <w:r>
              <w:rPr>
                <w:sz w:val="24"/>
              </w:rPr>
              <w:t>处理后达标排放</w:t>
            </w:r>
            <w:r>
              <w:rPr>
                <w:rFonts w:hint="eastAsia"/>
                <w:sz w:val="24"/>
              </w:rPr>
              <w:t>，符合豫环攻坚办[2019]25号文要求</w:t>
            </w:r>
            <w:r>
              <w:rPr>
                <w:sz w:val="24"/>
              </w:rPr>
              <w:t>。</w:t>
            </w:r>
          </w:p>
          <w:p>
            <w:pPr>
              <w:pStyle w:val="10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sz w:val="24"/>
                <w:szCs w:val="24"/>
              </w:rPr>
            </w:pPr>
            <w:r>
              <w:rPr>
                <w:sz w:val="24"/>
                <w:szCs w:val="24"/>
              </w:rPr>
              <w:t>（</w:t>
            </w:r>
            <w:r>
              <w:rPr>
                <w:rFonts w:hint="eastAsia"/>
                <w:sz w:val="24"/>
                <w:szCs w:val="24"/>
              </w:rPr>
              <w:t>6</w:t>
            </w:r>
            <w:r>
              <w:rPr>
                <w:sz w:val="24"/>
                <w:szCs w:val="24"/>
              </w:rPr>
              <w:t>）项目选址可行性</w:t>
            </w:r>
          </w:p>
          <w:p>
            <w:pPr>
              <w:pStyle w:val="10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u w:val="none" w:color="auto"/>
              </w:rPr>
            </w:pPr>
            <w:r>
              <w:rPr>
                <w:rFonts w:hint="eastAsia"/>
                <w:sz w:val="24"/>
                <w:szCs w:val="24"/>
                <w:lang w:eastAsia="zh-CN"/>
              </w:rPr>
              <w:t>本项目</w:t>
            </w:r>
            <w:r>
              <w:rPr>
                <w:sz w:val="24"/>
                <w:szCs w:val="24"/>
              </w:rPr>
              <w:t>厂址位于</w:t>
            </w:r>
            <w:r>
              <w:rPr>
                <w:rFonts w:hint="eastAsia"/>
                <w:sz w:val="24"/>
                <w:szCs w:val="24"/>
              </w:rPr>
              <w:t>新乡市新乡县七里营镇刘庄路与新远路交叉口向西路南38号</w:t>
            </w:r>
            <w:r>
              <w:rPr>
                <w:rFonts w:hint="eastAsia"/>
                <w:sz w:val="24"/>
                <w:szCs w:val="24"/>
                <w:lang w:eastAsia="zh-CN"/>
              </w:rPr>
              <w:t>，在</w:t>
            </w:r>
            <w:r>
              <w:rPr>
                <w:rFonts w:hint="eastAsia" w:eastAsiaTheme="minorEastAsia"/>
                <w:b w:val="0"/>
                <w:bCs w:val="0"/>
                <w:sz w:val="24"/>
                <w:szCs w:val="24"/>
              </w:rPr>
              <w:t>新乡经济技术产业集聚区</w:t>
            </w:r>
            <w:r>
              <w:rPr>
                <w:rFonts w:hint="eastAsia" w:eastAsiaTheme="minorEastAsia"/>
                <w:b w:val="0"/>
                <w:bCs w:val="0"/>
                <w:sz w:val="24"/>
                <w:szCs w:val="24"/>
                <w:lang w:eastAsia="zh-CN"/>
              </w:rPr>
              <w:t>内，用地性质为工业用地（见附图一），符合用地规划。</w:t>
            </w:r>
            <w:r>
              <w:rPr>
                <w:rFonts w:hint="eastAsia"/>
                <w:sz w:val="24"/>
                <w:szCs w:val="24"/>
                <w:lang w:eastAsia="zh-CN"/>
              </w:rPr>
              <w:t>与</w:t>
            </w:r>
            <w:r>
              <w:rPr>
                <w:sz w:val="24"/>
                <w:szCs w:val="24"/>
              </w:rPr>
              <w:t>《产业结构调整指导目录（2011年本）（2013年修正）》</w:t>
            </w:r>
            <w:r>
              <w:rPr>
                <w:rFonts w:hint="eastAsia"/>
                <w:sz w:val="24"/>
                <w:szCs w:val="24"/>
                <w:lang w:eastAsia="zh-CN"/>
              </w:rPr>
              <w:t>对比后</w:t>
            </w:r>
            <w:r>
              <w:rPr>
                <w:sz w:val="24"/>
                <w:szCs w:val="24"/>
              </w:rPr>
              <w:t>符合国家产业政策要求。与新环〔2015〕342号文相符性分析</w:t>
            </w:r>
            <w:r>
              <w:rPr>
                <w:rFonts w:hint="eastAsia"/>
                <w:sz w:val="24"/>
                <w:szCs w:val="24"/>
                <w:lang w:eastAsia="zh-CN"/>
              </w:rPr>
              <w:t>后，</w:t>
            </w:r>
            <w:r>
              <w:rPr>
                <w:sz w:val="24"/>
                <w:szCs w:val="24"/>
              </w:rPr>
              <w:t>本项目不在不予审批项目范围内，符合新环〔2015〕342号文件要求。</w:t>
            </w:r>
            <w:r>
              <w:rPr>
                <w:rFonts w:hint="default" w:ascii="Times New Roman" w:hAnsi="Times New Roman" w:cs="Times New Roman"/>
                <w:sz w:val="24"/>
                <w:szCs w:val="24"/>
                <w:u w:val="none" w:color="auto"/>
              </w:rPr>
              <w:t>项目营运期产生的废气、</w:t>
            </w:r>
            <w:r>
              <w:rPr>
                <w:rFonts w:hint="eastAsia" w:ascii="Times New Roman" w:hAnsi="Times New Roman" w:cs="Times New Roman"/>
                <w:sz w:val="24"/>
                <w:szCs w:val="24"/>
                <w:u w:val="none" w:color="auto"/>
                <w:lang w:val="en-US" w:eastAsia="zh-CN"/>
              </w:rPr>
              <w:t>废水、</w:t>
            </w:r>
            <w:r>
              <w:rPr>
                <w:rFonts w:hint="default" w:ascii="Times New Roman" w:hAnsi="Times New Roman" w:cs="Times New Roman"/>
                <w:sz w:val="24"/>
                <w:szCs w:val="24"/>
                <w:u w:val="none" w:color="auto"/>
              </w:rPr>
              <w:t>噪声和固体废物等方面环境影响，在采用相应的污染防治措施后，均能实现达标排放和合理处置，对周围环境影响较小</w:t>
            </w:r>
            <w:r>
              <w:rPr>
                <w:rFonts w:hint="default" w:ascii="Times New Roman" w:hAnsi="Times New Roman" w:cs="Times New Roman"/>
                <w:sz w:val="24"/>
                <w:szCs w:val="24"/>
                <w:u w:val="none" w:color="auto"/>
                <w:lang w:eastAsia="zh-CN"/>
              </w:rPr>
              <w:t>。周边最近敏感点</w:t>
            </w:r>
            <w:r>
              <w:rPr>
                <w:rFonts w:hint="eastAsia"/>
                <w:color w:val="000000" w:themeColor="text1"/>
                <w:sz w:val="24"/>
                <w:szCs w:val="24"/>
                <w:lang w:eastAsia="zh-CN"/>
                <w14:textFill>
                  <w14:solidFill>
                    <w14:schemeClr w14:val="tx1"/>
                  </w14:solidFill>
                </w14:textFill>
              </w:rPr>
              <w:t>距离</w:t>
            </w:r>
            <w:r>
              <w:rPr>
                <w:rFonts w:hint="eastAsia"/>
                <w:color w:val="000000" w:themeColor="text1"/>
                <w:sz w:val="24"/>
                <w:szCs w:val="24"/>
                <w14:textFill>
                  <w14:solidFill>
                    <w14:schemeClr w14:val="tx1"/>
                  </w14:solidFill>
                </w14:textFill>
              </w:rPr>
              <w:t>南</w:t>
            </w:r>
            <w:r>
              <w:rPr>
                <w:rFonts w:hint="eastAsia"/>
                <w:color w:val="000000" w:themeColor="text1"/>
                <w:sz w:val="24"/>
                <w:szCs w:val="24"/>
                <w:lang w:eastAsia="zh-CN"/>
                <w14:textFill>
                  <w14:solidFill>
                    <w14:schemeClr w14:val="tx1"/>
                  </w14:solidFill>
                </w14:textFill>
              </w:rPr>
              <w:t>厂界</w:t>
            </w:r>
            <w:r>
              <w:rPr>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103</w:t>
            </w:r>
            <w:r>
              <w:rPr>
                <w:color w:val="000000" w:themeColor="text1"/>
                <w:sz w:val="24"/>
                <w:szCs w:val="24"/>
                <w14:textFill>
                  <w14:solidFill>
                    <w14:schemeClr w14:val="tx1"/>
                  </w14:solidFill>
                </w14:textFill>
              </w:rPr>
              <w:t>m</w:t>
            </w:r>
            <w:r>
              <w:rPr>
                <w:rFonts w:hint="eastAsia"/>
                <w:color w:val="000000" w:themeColor="text1"/>
                <w:sz w:val="24"/>
                <w:szCs w:val="24"/>
                <w14:textFill>
                  <w14:solidFill>
                    <w14:schemeClr w14:val="tx1"/>
                  </w14:solidFill>
                </w14:textFill>
              </w:rPr>
              <w:t>刘</w:t>
            </w:r>
            <w:r>
              <w:rPr>
                <w:color w:val="000000" w:themeColor="text1"/>
                <w:sz w:val="24"/>
                <w:szCs w:val="24"/>
                <w14:textFill>
                  <w14:solidFill>
                    <w14:schemeClr w14:val="tx1"/>
                  </w14:solidFill>
                </w14:textFill>
              </w:rPr>
              <w:t>庄村</w:t>
            </w:r>
            <w:r>
              <w:rPr>
                <w:rFonts w:hint="eastAsia"/>
                <w:color w:val="000000" w:themeColor="text1"/>
                <w:sz w:val="24"/>
                <w:szCs w:val="24"/>
                <w:lang w:eastAsia="zh-CN"/>
                <w14:textFill>
                  <w14:solidFill>
                    <w14:schemeClr w14:val="tx1"/>
                  </w14:solidFill>
                </w14:textFill>
              </w:rPr>
              <w:t>、距离</w:t>
            </w:r>
            <w:r>
              <w:rPr>
                <w:rFonts w:hint="eastAsia"/>
                <w:color w:val="000000" w:themeColor="text1"/>
                <w:sz w:val="24"/>
                <w:szCs w:val="24"/>
                <w14:textFill>
                  <w14:solidFill>
                    <w14:schemeClr w14:val="tx1"/>
                  </w14:solidFill>
                </w14:textFill>
              </w:rPr>
              <w:t>北</w:t>
            </w:r>
            <w:r>
              <w:rPr>
                <w:rFonts w:hint="eastAsia"/>
                <w:color w:val="000000" w:themeColor="text1"/>
                <w:sz w:val="24"/>
                <w:szCs w:val="24"/>
                <w:lang w:eastAsia="zh-CN"/>
                <w14:textFill>
                  <w14:solidFill>
                    <w14:schemeClr w14:val="tx1"/>
                  </w14:solidFill>
                </w14:textFill>
              </w:rPr>
              <w:t>厂界</w:t>
            </w:r>
            <w:r>
              <w:rPr>
                <w:rFonts w:hint="eastAsia"/>
                <w:color w:val="000000" w:themeColor="text1"/>
                <w:sz w:val="24"/>
                <w:szCs w:val="24"/>
                <w14:textFill>
                  <w14:solidFill>
                    <w14:schemeClr w14:val="tx1"/>
                  </w14:solidFill>
                </w14:textFill>
              </w:rPr>
              <w:t>8</w:t>
            </w:r>
            <w:r>
              <w:rPr>
                <w:rFonts w:hint="eastAsia"/>
                <w:color w:val="000000" w:themeColor="text1"/>
                <w:sz w:val="24"/>
                <w:szCs w:val="24"/>
                <w:lang w:val="en-US" w:eastAsia="zh-CN"/>
                <w14:textFill>
                  <w14:solidFill>
                    <w14:schemeClr w14:val="tx1"/>
                  </w14:solidFill>
                </w14:textFill>
              </w:rPr>
              <w:t>29</w:t>
            </w:r>
            <w:r>
              <w:rPr>
                <w:rFonts w:hint="eastAsia"/>
                <w:color w:val="000000" w:themeColor="text1"/>
                <w:sz w:val="24"/>
                <w:szCs w:val="24"/>
                <w14:textFill>
                  <w14:solidFill>
                    <w14:schemeClr w14:val="tx1"/>
                  </w14:solidFill>
                </w14:textFill>
              </w:rPr>
              <w:t>m七里营第五村</w:t>
            </w:r>
            <w:r>
              <w:rPr>
                <w:rFonts w:hint="eastAsia"/>
                <w:color w:val="000000" w:themeColor="text1"/>
                <w:sz w:val="24"/>
                <w:szCs w:val="24"/>
                <w:lang w:eastAsia="zh-CN"/>
                <w14:textFill>
                  <w14:solidFill>
                    <w14:schemeClr w14:val="tx1"/>
                  </w14:solidFill>
                </w14:textFill>
              </w:rPr>
              <w:t>，</w:t>
            </w:r>
            <w:r>
              <w:rPr>
                <w:rFonts w:hint="eastAsia" w:cs="Times New Roman"/>
                <w:sz w:val="24"/>
                <w:szCs w:val="24"/>
                <w:u w:val="none" w:color="auto"/>
                <w:lang w:eastAsia="zh-CN"/>
              </w:rPr>
              <w:t>经预测后，</w:t>
            </w:r>
            <w:r>
              <w:rPr>
                <w:rFonts w:hint="default" w:ascii="Times New Roman" w:hAnsi="Times New Roman" w:cs="Times New Roman"/>
                <w:sz w:val="24"/>
                <w:szCs w:val="24"/>
                <w:u w:val="none" w:color="auto"/>
              </w:rPr>
              <w:t>项目选址不会对周围居民产生较大的影响。</w:t>
            </w:r>
          </w:p>
          <w:p>
            <w:pPr>
              <w:pStyle w:val="10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u w:val="none" w:color="auto"/>
              </w:rPr>
            </w:pPr>
            <w:r>
              <w:rPr>
                <w:rFonts w:hint="default" w:ascii="Times New Roman" w:hAnsi="Times New Roman" w:cs="Times New Roman"/>
                <w:sz w:val="24"/>
                <w:szCs w:val="24"/>
                <w:u w:val="none" w:color="auto"/>
              </w:rPr>
              <w:t>综上所述，评价认为本项目选址可行。</w:t>
            </w:r>
          </w:p>
          <w:p>
            <w:pPr>
              <w:pStyle w:val="100"/>
              <w:keepNext w:val="0"/>
              <w:keepLines w:val="0"/>
              <w:pageBreakBefore w:val="0"/>
              <w:widowControl w:val="0"/>
              <w:kinsoku/>
              <w:wordWrap/>
              <w:overflowPunct/>
              <w:topLinePunct w:val="0"/>
              <w:autoSpaceDE/>
              <w:autoSpaceDN/>
              <w:bidi w:val="0"/>
              <w:adjustRightInd/>
              <w:snapToGrid/>
              <w:spacing w:line="360" w:lineRule="auto"/>
              <w:textAlignment w:val="auto"/>
              <w:rPr>
                <w:rFonts w:eastAsia="黑体" w:cs="Times New Roman"/>
                <w:b w:val="0"/>
                <w:bCs w:val="0"/>
                <w:szCs w:val="24"/>
              </w:rPr>
            </w:pPr>
            <w:r>
              <w:rPr>
                <w:rFonts w:eastAsia="黑体" w:cs="Times New Roman"/>
                <w:b w:val="0"/>
                <w:bCs w:val="0"/>
                <w:szCs w:val="24"/>
              </w:rPr>
              <w:t>3、建设项目所在区域环境质量现状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（1）当地环境空气质量能满足《环境空气质量标准》（GB3095-2012）二级标准要求。</w:t>
            </w:r>
          </w:p>
          <w:p>
            <w:pPr>
              <w:pStyle w:val="10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w:t>
            </w:r>
            <w:r>
              <w:rPr>
                <w:rFonts w:ascii="Times New Roman"/>
                <w:sz w:val="24"/>
                <w:szCs w:val="24"/>
              </w:rPr>
              <w:t>2</w:t>
            </w:r>
            <w:r>
              <w:rPr>
                <w:sz w:val="24"/>
                <w:szCs w:val="24"/>
              </w:rPr>
              <w:t>）</w:t>
            </w:r>
            <w:r>
              <w:rPr>
                <w:rFonts w:hint="eastAsia"/>
                <w:sz w:val="24"/>
                <w:szCs w:val="24"/>
              </w:rPr>
              <w:t>地表水环境质量满足</w:t>
            </w:r>
            <w:r>
              <w:rPr>
                <w:sz w:val="24"/>
                <w:szCs w:val="24"/>
              </w:rPr>
              <w:t>《地表水环境质量标准》</w:t>
            </w:r>
            <w:r>
              <w:rPr>
                <w:rFonts w:ascii="Times New Roman"/>
                <w:sz w:val="24"/>
                <w:szCs w:val="24"/>
              </w:rPr>
              <w:t>（GB3838-2002）</w:t>
            </w:r>
            <w:r>
              <w:rPr>
                <w:rFonts w:ascii="Times New Roman"/>
                <w:sz w:val="24"/>
                <w:szCs w:val="24"/>
              </w:rPr>
              <w:fldChar w:fldCharType="begin"/>
            </w:r>
            <w:r>
              <w:rPr>
                <w:rFonts w:ascii="Times New Roman"/>
                <w:sz w:val="24"/>
                <w:szCs w:val="24"/>
              </w:rPr>
              <w:instrText xml:space="preserve"> = 4 \* ROMAN \* MERGEFORMAT </w:instrText>
            </w:r>
            <w:r>
              <w:rPr>
                <w:rFonts w:ascii="Times New Roman"/>
                <w:sz w:val="24"/>
                <w:szCs w:val="24"/>
              </w:rPr>
              <w:fldChar w:fldCharType="separate"/>
            </w:r>
            <w:r>
              <w:rPr>
                <w:rFonts w:ascii="Times New Roman"/>
                <w:sz w:val="24"/>
                <w:szCs w:val="24"/>
              </w:rPr>
              <w:t>V</w:t>
            </w:r>
            <w:r>
              <w:rPr>
                <w:rFonts w:ascii="Times New Roman"/>
                <w:sz w:val="24"/>
                <w:szCs w:val="24"/>
              </w:rPr>
              <w:fldChar w:fldCharType="end"/>
            </w:r>
            <w:r>
              <w:rPr>
                <w:sz w:val="24"/>
                <w:szCs w:val="24"/>
              </w:rPr>
              <w:t>类标准。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（3）项目所在区域现状值均满足《声环境质量标准》（GB3096-2008）</w:t>
            </w:r>
            <w:r>
              <w:rPr>
                <w:rFonts w:hint="eastAsia"/>
                <w:sz w:val="24"/>
              </w:rPr>
              <w:t>3</w:t>
            </w:r>
            <w:r>
              <w:rPr>
                <w:sz w:val="24"/>
              </w:rPr>
              <w:t>类标准。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黑体"/>
                <w:sz w:val="24"/>
              </w:rPr>
            </w:pPr>
            <w:r>
              <w:rPr>
                <w:rFonts w:eastAsia="黑体"/>
                <w:sz w:val="24"/>
              </w:rPr>
              <w:t>4、污染防治措施可行</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rPr>
            </w:pPr>
            <w:r>
              <w:rPr>
                <w:rFonts w:hint="eastAsia"/>
                <w:sz w:val="24"/>
              </w:rPr>
              <w:t>（1）大气环境影响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vertAlign w:val="subscript"/>
                <w:lang w:val="en-US" w:eastAsia="zh-CN"/>
              </w:rPr>
            </w:pPr>
            <w:r>
              <w:rPr>
                <w:rFonts w:hint="eastAsia"/>
                <w:sz w:val="24"/>
                <w:szCs w:val="24"/>
              </w:rPr>
              <w:t>本项目注塑、</w:t>
            </w:r>
            <w:r>
              <w:rPr>
                <w:rFonts w:hint="eastAsia"/>
                <w:sz w:val="24"/>
                <w:szCs w:val="24"/>
                <w:lang w:val="en-US" w:eastAsia="zh-CN"/>
              </w:rPr>
              <w:t>塑化挤出</w:t>
            </w:r>
            <w:r>
              <w:rPr>
                <w:rFonts w:hint="eastAsia"/>
                <w:sz w:val="24"/>
                <w:szCs w:val="24"/>
              </w:rPr>
              <w:t>工序产生的非甲烷总烃收集后，经一套UV光催化氧化设备+活性炭吸附装置处理，于1根15m高排气筒排放，</w:t>
            </w:r>
            <w:r>
              <w:rPr>
                <w:rFonts w:hint="eastAsia"/>
                <w:b w:val="0"/>
                <w:bCs w:val="0"/>
                <w:color w:val="000000" w:themeColor="text1"/>
                <w:sz w:val="24"/>
                <w:szCs w:val="24"/>
                <w:lang w:eastAsia="zh-CN"/>
                <w14:textFill>
                  <w14:solidFill>
                    <w14:schemeClr w14:val="tx1"/>
                  </w14:solidFill>
                </w14:textFill>
              </w:rPr>
              <w:t>符合《大气污染物综合排放标准》（</w:t>
            </w:r>
            <w:r>
              <w:rPr>
                <w:rFonts w:hint="eastAsia"/>
                <w:b w:val="0"/>
                <w:bCs w:val="0"/>
                <w:color w:val="000000" w:themeColor="text1"/>
                <w:sz w:val="24"/>
                <w:szCs w:val="24"/>
                <w:lang w:val="en-US" w:eastAsia="zh-CN"/>
                <w14:textFill>
                  <w14:solidFill>
                    <w14:schemeClr w14:val="tx1"/>
                  </w14:solidFill>
                </w14:textFill>
              </w:rPr>
              <w:t>GB16297-1996</w:t>
            </w:r>
            <w:r>
              <w:rPr>
                <w:rFonts w:hint="eastAsia"/>
                <w:b w:val="0"/>
                <w:bCs w:val="0"/>
                <w:color w:val="000000" w:themeColor="text1"/>
                <w:sz w:val="24"/>
                <w:szCs w:val="24"/>
                <w:lang w:eastAsia="zh-CN"/>
                <w14:textFill>
                  <w14:solidFill>
                    <w14:schemeClr w14:val="tx1"/>
                  </w14:solidFill>
                </w14:textFill>
              </w:rPr>
              <w:t>）表</w:t>
            </w:r>
            <w:r>
              <w:rPr>
                <w:rFonts w:hint="eastAsia"/>
                <w:b w:val="0"/>
                <w:bCs w:val="0"/>
                <w:color w:val="000000" w:themeColor="text1"/>
                <w:sz w:val="24"/>
                <w:szCs w:val="24"/>
                <w:lang w:val="en-US" w:eastAsia="zh-CN"/>
                <w14:textFill>
                  <w14:solidFill>
                    <w14:schemeClr w14:val="tx1"/>
                  </w14:solidFill>
                </w14:textFill>
              </w:rPr>
              <w:t>2二级标准</w:t>
            </w:r>
            <w:r>
              <w:rPr>
                <w:b w:val="0"/>
                <w:bCs w:val="0"/>
                <w:sz w:val="24"/>
                <w:szCs w:val="24"/>
              </w:rPr>
              <w:t>最高允许排放速率10kg/h（15m高排气筒）</w:t>
            </w:r>
            <w:r>
              <w:rPr>
                <w:rFonts w:hint="eastAsia"/>
                <w:b w:val="0"/>
                <w:bCs w:val="0"/>
                <w:sz w:val="24"/>
                <w:szCs w:val="24"/>
                <w:lang w:eastAsia="zh-CN"/>
              </w:rPr>
              <w:t>标准</w:t>
            </w:r>
            <w:r>
              <w:rPr>
                <w:rFonts w:hint="eastAsia"/>
                <w:b w:val="0"/>
                <w:bCs w:val="0"/>
                <w:color w:val="000000" w:themeColor="text1"/>
                <w:sz w:val="24"/>
                <w:szCs w:val="24"/>
                <w:lang w:val="en-US" w:eastAsia="zh-CN"/>
                <w14:textFill>
                  <w14:solidFill>
                    <w14:schemeClr w14:val="tx1"/>
                  </w14:solidFill>
                </w14:textFill>
              </w:rPr>
              <w:t>、《河南省环境污染防治攻坚战略领导小组办公室文件》豫环攻坚办[2017]162号 其他行业非甲烷总烃去除效率70</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标准、《合成树脂工业污染源排放标准》（GB31572-2015）非甲烷总烃（有组织）最高允许排放浓度60mg/m</w:t>
            </w:r>
            <w:r>
              <w:rPr>
                <w:rFonts w:hint="eastAsia"/>
                <w:b w:val="0"/>
                <w:bCs w:val="0"/>
                <w:color w:val="000000" w:themeColor="text1"/>
                <w:sz w:val="24"/>
                <w:szCs w:val="24"/>
                <w:vertAlign w:val="superscript"/>
                <w:lang w:val="en-US" w:eastAsia="zh-CN"/>
                <w14:textFill>
                  <w14:solidFill>
                    <w14:schemeClr w14:val="tx1"/>
                  </w14:solidFill>
                </w14:textFill>
              </w:rPr>
              <w:t>3</w:t>
            </w:r>
            <w:r>
              <w:rPr>
                <w:rFonts w:hint="eastAsia"/>
                <w:b w:val="0"/>
                <w:bCs w:val="0"/>
                <w:color w:val="000000" w:themeColor="text1"/>
                <w:sz w:val="24"/>
                <w:szCs w:val="24"/>
                <w:vertAlign w:val="baseline"/>
                <w:lang w:val="en-US" w:eastAsia="zh-CN"/>
                <w14:textFill>
                  <w14:solidFill>
                    <w14:schemeClr w14:val="tx1"/>
                  </w14:solidFill>
                </w14:textFill>
              </w:rPr>
              <w:t>标准；</w:t>
            </w:r>
            <w:r>
              <w:rPr>
                <w:rFonts w:hint="eastAsia"/>
                <w:sz w:val="24"/>
                <w:szCs w:val="24"/>
              </w:rPr>
              <w:t>破碎产生的颗粒物经袋式除尘器处理后，于一根15m高排气筒排放</w:t>
            </w:r>
            <w:r>
              <w:rPr>
                <w:rFonts w:hint="eastAsia"/>
                <w:sz w:val="24"/>
                <w:szCs w:val="24"/>
                <w:lang w:eastAsia="zh-CN"/>
              </w:rPr>
              <w:t>，符合</w:t>
            </w:r>
            <w:r>
              <w:rPr>
                <w:sz w:val="24"/>
                <w:szCs w:val="24"/>
              </w:rPr>
              <w:t>《大气污染物综合排放标准》（GB16297-1996）表2二级标准颗粒物（有组织</w:t>
            </w:r>
            <w:r>
              <w:rPr>
                <w:rFonts w:hint="eastAsia"/>
                <w:sz w:val="24"/>
                <w:szCs w:val="24"/>
                <w:lang w:eastAsia="zh-CN"/>
              </w:rPr>
              <w:t>）</w:t>
            </w:r>
            <w:r>
              <w:rPr>
                <w:sz w:val="24"/>
                <w:szCs w:val="24"/>
              </w:rPr>
              <w:t>最高允许排放速率3.5kg/h（15m高排气筒）</w:t>
            </w:r>
            <w:r>
              <w:rPr>
                <w:rFonts w:hint="eastAsia"/>
                <w:sz w:val="24"/>
                <w:szCs w:val="24"/>
                <w:lang w:eastAsia="zh-CN"/>
              </w:rPr>
              <w:t>标准、《</w:t>
            </w:r>
            <w:r>
              <w:rPr>
                <w:rFonts w:hint="eastAsia"/>
                <w:sz w:val="24"/>
                <w:szCs w:val="24"/>
              </w:rPr>
              <w:t>合成树脂工业污染源排放标准</w:t>
            </w:r>
            <w:r>
              <w:rPr>
                <w:rFonts w:hint="eastAsia"/>
                <w:sz w:val="24"/>
                <w:szCs w:val="24"/>
                <w:lang w:eastAsia="zh-CN"/>
              </w:rPr>
              <w:t>》（</w:t>
            </w:r>
            <w:r>
              <w:rPr>
                <w:rFonts w:hint="eastAsia"/>
                <w:sz w:val="24"/>
                <w:szCs w:val="24"/>
                <w:lang w:val="en-US" w:eastAsia="zh-CN"/>
              </w:rPr>
              <w:t>GB31572-2015）</w:t>
            </w:r>
            <w:r>
              <w:rPr>
                <w:sz w:val="24"/>
                <w:szCs w:val="24"/>
              </w:rPr>
              <w:t>颗粒物（有组织）最高允许排放浓度20mg/m</w:t>
            </w:r>
            <w:r>
              <w:rPr>
                <w:sz w:val="24"/>
                <w:szCs w:val="24"/>
                <w:vertAlign w:val="superscript"/>
              </w:rPr>
              <w:t>3</w:t>
            </w:r>
            <w:r>
              <w:rPr>
                <w:rFonts w:hint="eastAsia"/>
                <w:sz w:val="24"/>
                <w:szCs w:val="24"/>
                <w:vertAlign w:val="baseline"/>
                <w:lang w:eastAsia="zh-CN"/>
              </w:rPr>
              <w:t>标准。</w:t>
            </w:r>
            <w:r>
              <w:rPr>
                <w:rFonts w:hint="eastAsia"/>
                <w:b w:val="0"/>
                <w:bCs w:val="0"/>
                <w:color w:val="000000" w:themeColor="text1"/>
                <w:sz w:val="24"/>
                <w:szCs w:val="24"/>
                <w:lang w:val="en-US" w:eastAsia="zh-CN"/>
                <w14:textFill>
                  <w14:solidFill>
                    <w14:schemeClr w14:val="tx1"/>
                  </w14:solidFill>
                </w14:textFill>
              </w:rPr>
              <w:t>无组织</w:t>
            </w:r>
            <w:r>
              <w:rPr>
                <w:rFonts w:hint="eastAsia"/>
                <w:b w:val="0"/>
                <w:bCs w:val="0"/>
                <w:sz w:val="24"/>
                <w:szCs w:val="24"/>
              </w:rPr>
              <w:t>非甲烷总烃</w:t>
            </w:r>
            <w:r>
              <w:rPr>
                <w:rFonts w:hint="eastAsia"/>
                <w:b w:val="0"/>
                <w:bCs w:val="0"/>
                <w:sz w:val="24"/>
                <w:szCs w:val="24"/>
                <w:lang w:eastAsia="zh-CN"/>
              </w:rPr>
              <w:t>排放符合</w:t>
            </w:r>
            <w:r>
              <w:rPr>
                <w:sz w:val="24"/>
                <w:szCs w:val="24"/>
              </w:rPr>
              <w:t>《河南省环境污染防治攻坚战领导小组办公室文件》豫环攻坚办[2017]162号 其他企业非甲烷总烃（无组织）工业企业边界挥发性有机物排放建议值其他企业</w:t>
            </w:r>
            <w:r>
              <w:rPr>
                <w:rFonts w:hint="eastAsia"/>
                <w:sz w:val="24"/>
                <w:szCs w:val="24"/>
              </w:rPr>
              <w:t>2.0</w:t>
            </w:r>
            <w:r>
              <w:rPr>
                <w:sz w:val="24"/>
                <w:szCs w:val="24"/>
              </w:rPr>
              <w:t>mg/m³</w:t>
            </w:r>
            <w:r>
              <w:rPr>
                <w:rFonts w:hint="eastAsia"/>
                <w:sz w:val="24"/>
                <w:szCs w:val="24"/>
                <w:lang w:eastAsia="zh-CN"/>
              </w:rPr>
              <w:t>要求，</w:t>
            </w:r>
            <w:r>
              <w:rPr>
                <w:rFonts w:hint="eastAsia"/>
                <w:b w:val="0"/>
                <w:bCs w:val="0"/>
                <w:sz w:val="24"/>
                <w:szCs w:val="24"/>
                <w:lang w:eastAsia="zh-CN"/>
              </w:rPr>
              <w:t>同时也符合《挥发性有机物无组织排放控制标准》（</w:t>
            </w:r>
            <w:r>
              <w:rPr>
                <w:rFonts w:hint="eastAsia"/>
                <w:b w:val="0"/>
                <w:bCs w:val="0"/>
                <w:sz w:val="24"/>
                <w:szCs w:val="24"/>
                <w:lang w:val="en-US" w:eastAsia="zh-CN"/>
              </w:rPr>
              <w:t>GB37822-2019</w:t>
            </w:r>
            <w:r>
              <w:rPr>
                <w:rFonts w:hint="eastAsia"/>
                <w:b w:val="0"/>
                <w:bCs w:val="0"/>
                <w:sz w:val="24"/>
                <w:szCs w:val="24"/>
                <w:lang w:eastAsia="zh-CN"/>
              </w:rPr>
              <w:t>）附录</w:t>
            </w:r>
            <w:r>
              <w:rPr>
                <w:rFonts w:hint="eastAsia"/>
                <w:b w:val="0"/>
                <w:bCs w:val="0"/>
                <w:sz w:val="24"/>
                <w:szCs w:val="24"/>
                <w:lang w:val="en-US" w:eastAsia="zh-CN"/>
              </w:rPr>
              <w:t>A排放限值要求30mg/m</w:t>
            </w:r>
            <w:r>
              <w:rPr>
                <w:rFonts w:hint="eastAsia"/>
                <w:b w:val="0"/>
                <w:bCs w:val="0"/>
                <w:sz w:val="24"/>
                <w:szCs w:val="24"/>
                <w:vertAlign w:val="superscript"/>
                <w:lang w:val="en-US" w:eastAsia="zh-CN"/>
              </w:rPr>
              <w:t>3</w:t>
            </w:r>
            <w:r>
              <w:rPr>
                <w:rFonts w:hint="eastAsia"/>
                <w:b w:val="0"/>
                <w:bCs w:val="0"/>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本项目废气均能实现达标排放，对大气环境影响较小。</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rPr>
                <w:rFonts w:hint="eastAsia"/>
                <w:sz w:val="24"/>
              </w:rPr>
              <w:t>（2）地表水环境影响</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color w:val="000000" w:themeColor="text1"/>
                <w:sz w:val="24"/>
                <w14:textFill>
                  <w14:solidFill>
                    <w14:schemeClr w14:val="tx1"/>
                  </w14:solidFill>
                </w14:textFill>
              </w:rPr>
            </w:pPr>
            <w:r>
              <w:rPr>
                <w:rFonts w:hint="eastAsia"/>
                <w:sz w:val="24"/>
              </w:rPr>
              <w:t>本项目</w:t>
            </w:r>
            <w:r>
              <w:rPr>
                <w:rFonts w:hint="eastAsia"/>
                <w:sz w:val="24"/>
                <w:lang w:val="en-US" w:eastAsia="zh-CN"/>
              </w:rPr>
              <w:t>注塑定型过程中需使用冷却塔提供的冷源降低作业温度</w:t>
            </w:r>
            <w:r>
              <w:rPr>
                <w:rFonts w:hint="eastAsia"/>
                <w:sz w:val="24"/>
              </w:rPr>
              <w:t>。</w:t>
            </w:r>
            <w:r>
              <w:rPr>
                <w:rFonts w:hint="eastAsia"/>
                <w:sz w:val="24"/>
                <w:lang w:val="en-US" w:eastAsia="zh-CN"/>
              </w:rPr>
              <w:t>冷却水为间接冷却，且对水质要求较低，经冷却池循环使用，不对外排放。由于冷却水因高温部分蒸发，需定期补充新鲜水。因此</w:t>
            </w:r>
            <w:r>
              <w:rPr>
                <w:rFonts w:hint="eastAsia"/>
                <w:sz w:val="24"/>
              </w:rPr>
              <w:t>本项目主要产生生活污水，生活污水</w:t>
            </w:r>
            <w:r>
              <w:rPr>
                <w:rFonts w:hint="eastAsia"/>
                <w:color w:val="000000" w:themeColor="text1"/>
                <w:sz w:val="24"/>
                <w14:textFill>
                  <w14:solidFill>
                    <w14:schemeClr w14:val="tx1"/>
                  </w14:solidFill>
                </w14:textFill>
              </w:rPr>
              <w:t>经化粪池处理后排入贾屯污水处理厂综合处理，对地表水体影响较小。</w:t>
            </w:r>
          </w:p>
          <w:p>
            <w:pPr>
              <w:keepNext w:val="0"/>
              <w:keepLines w:val="0"/>
              <w:pageBreakBefore w:val="0"/>
              <w:widowControl w:val="0"/>
              <w:kinsoku/>
              <w:wordWrap/>
              <w:overflowPunct/>
              <w:topLinePunct w:val="0"/>
              <w:autoSpaceDE/>
              <w:autoSpaceDN/>
              <w:bidi w:val="0"/>
              <w:adjustRightInd/>
              <w:snapToGrid/>
              <w:spacing w:line="336" w:lineRule="auto"/>
              <w:textAlignment w:val="auto"/>
              <w:rPr>
                <w:sz w:val="24"/>
              </w:rPr>
            </w:pPr>
            <w:r>
              <w:rPr>
                <w:rFonts w:hint="eastAsia"/>
                <w:sz w:val="24"/>
              </w:rPr>
              <w:t>（3）声环境影响</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sz w:val="24"/>
              </w:rPr>
            </w:pPr>
            <w:r>
              <w:rPr>
                <w:rFonts w:hint="eastAsia"/>
                <w:sz w:val="24"/>
              </w:rPr>
              <w:t xml:space="preserve">本项目高噪声设备经基础减振、厂房隔声及距离素衰减后，厂界噪声能满足《工业企业厂界环境噪声排放标准》（GB12348-2008）3类标准的要求，对周围声环境影响较小。 </w:t>
            </w:r>
          </w:p>
          <w:p>
            <w:pPr>
              <w:keepNext w:val="0"/>
              <w:keepLines w:val="0"/>
              <w:pageBreakBefore w:val="0"/>
              <w:widowControl w:val="0"/>
              <w:kinsoku/>
              <w:wordWrap/>
              <w:overflowPunct/>
              <w:topLinePunct w:val="0"/>
              <w:autoSpaceDE/>
              <w:autoSpaceDN/>
              <w:bidi w:val="0"/>
              <w:adjustRightInd/>
              <w:snapToGrid/>
              <w:spacing w:line="336" w:lineRule="auto"/>
              <w:textAlignment w:val="auto"/>
              <w:rPr>
                <w:sz w:val="24"/>
              </w:rPr>
            </w:pPr>
            <w:r>
              <w:rPr>
                <w:rFonts w:hint="eastAsia"/>
                <w:sz w:val="24"/>
              </w:rPr>
              <w:t>（4）固废环境影响</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sz w:val="24"/>
              </w:rPr>
            </w:pPr>
            <w:r>
              <w:rPr>
                <w:rFonts w:hint="eastAsia"/>
                <w:sz w:val="24"/>
              </w:rPr>
              <w:t>不合格品在厂区</w:t>
            </w:r>
            <w:r>
              <w:rPr>
                <w:sz w:val="24"/>
              </w:rPr>
              <w:t>设置一般固废暂存间</w:t>
            </w:r>
            <w:r>
              <w:rPr>
                <w:rFonts w:hint="eastAsia"/>
                <w:sz w:val="24"/>
              </w:rPr>
              <w:t>10</w:t>
            </w:r>
            <w:r>
              <w:rPr>
                <w:sz w:val="24"/>
              </w:rPr>
              <w:t>m</w:t>
            </w:r>
            <w:r>
              <w:rPr>
                <w:sz w:val="24"/>
                <w:vertAlign w:val="superscript"/>
              </w:rPr>
              <w:t>2</w:t>
            </w:r>
            <w:r>
              <w:rPr>
                <w:rFonts w:hint="eastAsia"/>
                <w:sz w:val="24"/>
              </w:rPr>
              <w:t>集中收集后经破碎机破碎回用于生产；废催化板、废活性炭由厂家回收时更换；废灯管、废液压油、废机油等危险废物暂存于危废暂存间10</w:t>
            </w:r>
            <w:r>
              <w:rPr>
                <w:sz w:val="24"/>
              </w:rPr>
              <w:t>m</w:t>
            </w:r>
            <w:r>
              <w:rPr>
                <w:sz w:val="24"/>
                <w:vertAlign w:val="superscript"/>
              </w:rPr>
              <w:t>2</w:t>
            </w:r>
            <w:r>
              <w:rPr>
                <w:rFonts w:hint="eastAsia"/>
                <w:sz w:val="24"/>
              </w:rPr>
              <w:t>，交由有资质单位处理；生活垃圾经垃圾桶收集后，交由环卫部门处理。通过以上措施，项目固废得到妥善处理，则不会对周围环境产生二次污染。</w:t>
            </w:r>
          </w:p>
          <w:p>
            <w:pPr>
              <w:pStyle w:val="100"/>
              <w:keepNext w:val="0"/>
              <w:keepLines w:val="0"/>
              <w:pageBreakBefore w:val="0"/>
              <w:widowControl w:val="0"/>
              <w:kinsoku/>
              <w:wordWrap/>
              <w:overflowPunct/>
              <w:topLinePunct w:val="0"/>
              <w:autoSpaceDE/>
              <w:autoSpaceDN/>
              <w:bidi w:val="0"/>
              <w:adjustRightInd/>
              <w:snapToGrid/>
              <w:spacing w:line="336" w:lineRule="auto"/>
              <w:textAlignment w:val="auto"/>
              <w:rPr>
                <w:rFonts w:eastAsia="黑体" w:cs="Times New Roman"/>
                <w:b w:val="0"/>
                <w:bCs w:val="0"/>
                <w:szCs w:val="24"/>
              </w:rPr>
            </w:pPr>
            <w:r>
              <w:rPr>
                <w:rFonts w:eastAsia="黑体" w:cs="Times New Roman"/>
                <w:b w:val="0"/>
                <w:bCs w:val="0"/>
                <w:szCs w:val="24"/>
              </w:rPr>
              <w:t>5、总量控制建议指标</w:t>
            </w:r>
          </w:p>
          <w:p>
            <w:pPr>
              <w:pStyle w:val="102"/>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color w:val="000000" w:themeColor="text1"/>
                <w:sz w:val="24"/>
                <w:szCs w:val="24"/>
                <w14:textFill>
                  <w14:solidFill>
                    <w14:schemeClr w14:val="tx1"/>
                  </w14:solidFill>
                </w14:textFill>
              </w:rPr>
            </w:pPr>
            <w:r>
              <w:rPr>
                <w:rFonts w:hint="eastAsia"/>
                <w:szCs w:val="24"/>
              </w:rPr>
              <w:t>本项目生活污水经化粪池处理后排入</w:t>
            </w:r>
            <w:r>
              <w:rPr>
                <w:rFonts w:hint="eastAsia"/>
                <w:color w:val="000000" w:themeColor="text1"/>
                <w:szCs w:val="24"/>
                <w14:textFill>
                  <w14:solidFill>
                    <w14:schemeClr w14:val="tx1"/>
                  </w14:solidFill>
                </w14:textFill>
              </w:rPr>
              <w:t>贾屯污水处理厂综合处理；注塑、</w:t>
            </w:r>
            <w:r>
              <w:rPr>
                <w:rFonts w:hint="eastAsia"/>
                <w:color w:val="000000" w:themeColor="text1"/>
                <w:szCs w:val="24"/>
                <w:lang w:val="en-US" w:eastAsia="zh-CN"/>
                <w14:textFill>
                  <w14:solidFill>
                    <w14:schemeClr w14:val="tx1"/>
                  </w14:solidFill>
                </w14:textFill>
              </w:rPr>
              <w:t>塑化挤出</w:t>
            </w:r>
            <w:r>
              <w:rPr>
                <w:rFonts w:hint="eastAsia"/>
                <w:color w:val="000000" w:themeColor="text1"/>
                <w:szCs w:val="24"/>
                <w14:textFill>
                  <w14:solidFill>
                    <w14:schemeClr w14:val="tx1"/>
                  </w14:solidFill>
                </w14:textFill>
              </w:rPr>
              <w:t>工序产生的非甲烷总烃经收集后，由UV光催化氧化设备+活性炭吸附装置处理，于一根15m高排气筒排放</w:t>
            </w:r>
            <w:r>
              <w:rPr>
                <w:color w:val="000000" w:themeColor="text1"/>
                <w:szCs w:val="24"/>
                <w14:textFill>
                  <w14:solidFill>
                    <w14:schemeClr w14:val="tx1"/>
                  </w14:solidFill>
                </w14:textFill>
              </w:rPr>
              <w:t>。</w:t>
            </w:r>
            <w:r>
              <w:rPr>
                <w:color w:val="000000" w:themeColor="text1"/>
                <w:sz w:val="24"/>
                <w:szCs w:val="24"/>
                <w14:textFill>
                  <w14:solidFill>
                    <w14:schemeClr w14:val="tx1"/>
                  </w14:solidFill>
                </w14:textFill>
              </w:rPr>
              <w:t>故本项目建议总量控制指标为</w:t>
            </w:r>
            <w:r>
              <w:rPr>
                <w:rFonts w:hint="eastAsia"/>
                <w:color w:val="000000" w:themeColor="text1"/>
                <w:kern w:val="21"/>
                <w:sz w:val="24"/>
                <w:szCs w:val="24"/>
                <w14:textFill>
                  <w14:solidFill>
                    <w14:schemeClr w14:val="tx1"/>
                  </w14:solidFill>
                </w14:textFill>
              </w:rPr>
              <w:t>COD</w:t>
            </w:r>
            <w:r>
              <w:rPr>
                <w:rFonts w:hint="eastAsia"/>
                <w:color w:val="000000" w:themeColor="text1"/>
                <w:kern w:val="21"/>
                <w:sz w:val="24"/>
                <w:szCs w:val="24"/>
                <w:lang w:val="en-US" w:eastAsia="zh-CN"/>
                <w14:textFill>
                  <w14:solidFill>
                    <w14:schemeClr w14:val="tx1"/>
                  </w14:solidFill>
                </w14:textFill>
              </w:rPr>
              <w:t xml:space="preserve"> </w:t>
            </w:r>
            <w:r>
              <w:rPr>
                <w:rFonts w:hint="eastAsia"/>
                <w:snapToGrid w:val="0"/>
                <w:color w:val="000000" w:themeColor="text1"/>
                <w:kern w:val="0"/>
                <w:sz w:val="24"/>
                <w:szCs w:val="24"/>
                <w14:textFill>
                  <w14:solidFill>
                    <w14:schemeClr w14:val="tx1"/>
                  </w14:solidFill>
                </w14:textFill>
              </w:rPr>
              <w:t>0.</w:t>
            </w:r>
            <w:r>
              <w:rPr>
                <w:rFonts w:hint="eastAsia"/>
                <w:snapToGrid w:val="0"/>
                <w:color w:val="000000" w:themeColor="text1"/>
                <w:kern w:val="0"/>
                <w:sz w:val="24"/>
                <w:szCs w:val="24"/>
                <w:lang w:val="en-US" w:eastAsia="zh-CN"/>
                <w14:textFill>
                  <w14:solidFill>
                    <w14:schemeClr w14:val="tx1"/>
                  </w14:solidFill>
                </w14:textFill>
              </w:rPr>
              <w:t>0038</w:t>
            </w:r>
            <w:r>
              <w:rPr>
                <w:rFonts w:hint="eastAsia"/>
                <w:color w:val="000000" w:themeColor="text1"/>
                <w:kern w:val="21"/>
                <w:sz w:val="24"/>
                <w:szCs w:val="24"/>
                <w14:textFill>
                  <w14:solidFill>
                    <w14:schemeClr w14:val="tx1"/>
                  </w14:solidFill>
                </w14:textFill>
              </w:rPr>
              <w:t>t/a、NH</w:t>
            </w:r>
            <w:r>
              <w:rPr>
                <w:rFonts w:hint="eastAsia"/>
                <w:color w:val="000000" w:themeColor="text1"/>
                <w:kern w:val="21"/>
                <w:sz w:val="24"/>
                <w:szCs w:val="24"/>
                <w:vertAlign w:val="subscript"/>
                <w14:textFill>
                  <w14:solidFill>
                    <w14:schemeClr w14:val="tx1"/>
                  </w14:solidFill>
                </w14:textFill>
              </w:rPr>
              <w:t>3</w:t>
            </w:r>
            <w:r>
              <w:rPr>
                <w:rFonts w:hint="eastAsia"/>
                <w:color w:val="000000" w:themeColor="text1"/>
                <w:kern w:val="21"/>
                <w:sz w:val="24"/>
                <w:szCs w:val="24"/>
                <w14:textFill>
                  <w14:solidFill>
                    <w14:schemeClr w14:val="tx1"/>
                  </w14:solidFill>
                </w14:textFill>
              </w:rPr>
              <w:t xml:space="preserve">-N </w:t>
            </w:r>
            <w:r>
              <w:rPr>
                <w:rFonts w:hint="eastAsia"/>
                <w:color w:val="000000" w:themeColor="text1"/>
                <w:sz w:val="24"/>
                <w:szCs w:val="24"/>
                <w14:textFill>
                  <w14:solidFill>
                    <w14:schemeClr w14:val="tx1"/>
                  </w14:solidFill>
                </w14:textFill>
              </w:rPr>
              <w:t>0.00</w:t>
            </w:r>
            <w:r>
              <w:rPr>
                <w:rFonts w:hint="eastAsia"/>
                <w:color w:val="000000" w:themeColor="text1"/>
                <w:sz w:val="24"/>
                <w:szCs w:val="24"/>
                <w:lang w:val="en-US" w:eastAsia="zh-CN"/>
                <w14:textFill>
                  <w14:solidFill>
                    <w14:schemeClr w14:val="tx1"/>
                  </w14:solidFill>
                </w14:textFill>
              </w:rPr>
              <w:t>04</w:t>
            </w:r>
            <w:r>
              <w:rPr>
                <w:rFonts w:hint="eastAsia"/>
                <w:color w:val="000000" w:themeColor="text1"/>
                <w:kern w:val="21"/>
                <w:sz w:val="24"/>
                <w:szCs w:val="24"/>
                <w14:textFill>
                  <w14:solidFill>
                    <w14:schemeClr w14:val="tx1"/>
                  </w14:solidFill>
                </w14:textFill>
              </w:rPr>
              <w:t xml:space="preserve">t/a、TP </w:t>
            </w:r>
            <w:r>
              <w:rPr>
                <w:rFonts w:hint="eastAsia"/>
                <w:color w:val="000000" w:themeColor="text1"/>
                <w:sz w:val="24"/>
                <w:szCs w:val="24"/>
                <w14:textFill>
                  <w14:solidFill>
                    <w14:schemeClr w14:val="tx1"/>
                  </w14:solidFill>
                </w14:textFill>
              </w:rPr>
              <w:t>0.000</w:t>
            </w:r>
            <w:r>
              <w:rPr>
                <w:rFonts w:hint="eastAsia"/>
                <w:color w:val="000000" w:themeColor="text1"/>
                <w:sz w:val="24"/>
                <w:szCs w:val="24"/>
                <w:lang w:val="en-US" w:eastAsia="zh-CN"/>
                <w14:textFill>
                  <w14:solidFill>
                    <w14:schemeClr w14:val="tx1"/>
                  </w14:solidFill>
                </w14:textFill>
              </w:rPr>
              <w:t xml:space="preserve">04 </w:t>
            </w:r>
            <w:r>
              <w:rPr>
                <w:rFonts w:hint="eastAsia"/>
                <w:color w:val="000000" w:themeColor="text1"/>
                <w:kern w:val="21"/>
                <w:sz w:val="24"/>
                <w:szCs w:val="24"/>
                <w14:textFill>
                  <w14:solidFill>
                    <w14:schemeClr w14:val="tx1"/>
                  </w14:solidFill>
                </w14:textFill>
              </w:rPr>
              <w:t>t/a</w:t>
            </w:r>
            <w:r>
              <w:rPr>
                <w:rFonts w:hint="eastAsia"/>
                <w:color w:val="000000" w:themeColor="text1"/>
                <w:kern w:val="21"/>
                <w:sz w:val="24"/>
                <w:szCs w:val="24"/>
                <w:lang w:eastAsia="zh-CN"/>
                <w14:textFill>
                  <w14:solidFill>
                    <w14:schemeClr w14:val="tx1"/>
                  </w14:solidFill>
                </w14:textFill>
              </w:rPr>
              <w:t>，</w:t>
            </w:r>
            <w:r>
              <w:rPr>
                <w:rFonts w:hint="eastAsia"/>
                <w:color w:val="000000" w:themeColor="text1"/>
                <w:kern w:val="21"/>
                <w:sz w:val="24"/>
                <w:szCs w:val="24"/>
                <w14:textFill>
                  <w14:solidFill>
                    <w14:schemeClr w14:val="tx1"/>
                  </w14:solidFill>
                </w14:textFill>
              </w:rPr>
              <w:t xml:space="preserve">本项目VOCs </w:t>
            </w:r>
            <w:r>
              <w:rPr>
                <w:rFonts w:hint="eastAsia"/>
                <w:color w:val="000000" w:themeColor="text1"/>
                <w:kern w:val="21"/>
                <w:sz w:val="24"/>
                <w:szCs w:val="24"/>
                <w:lang w:eastAsia="zh-CN"/>
                <w14:textFill>
                  <w14:solidFill>
                    <w14:schemeClr w14:val="tx1"/>
                  </w14:solidFill>
                </w14:textFill>
              </w:rPr>
              <w:t>有组织排放量为</w:t>
            </w:r>
            <w:r>
              <w:rPr>
                <w:rFonts w:hint="eastAsia"/>
                <w:color w:val="000000" w:themeColor="text1"/>
                <w:kern w:val="21"/>
                <w:sz w:val="24"/>
                <w:szCs w:val="24"/>
                <w14:textFill>
                  <w14:solidFill>
                    <w14:schemeClr w14:val="tx1"/>
                  </w14:solidFill>
                </w14:textFill>
              </w:rPr>
              <w:t>0.00</w:t>
            </w:r>
            <w:r>
              <w:rPr>
                <w:rFonts w:hint="eastAsia"/>
                <w:color w:val="000000" w:themeColor="text1"/>
                <w:kern w:val="21"/>
                <w:sz w:val="24"/>
                <w:szCs w:val="24"/>
                <w:lang w:val="en-US" w:eastAsia="zh-CN"/>
                <w14:textFill>
                  <w14:solidFill>
                    <w14:schemeClr w14:val="tx1"/>
                  </w14:solidFill>
                </w14:textFill>
              </w:rPr>
              <w:t xml:space="preserve">48 </w:t>
            </w:r>
            <w:r>
              <w:rPr>
                <w:rFonts w:hint="eastAsia"/>
                <w:color w:val="000000" w:themeColor="text1"/>
                <w:kern w:val="21"/>
                <w:sz w:val="24"/>
                <w:szCs w:val="24"/>
                <w14:textFill>
                  <w14:solidFill>
                    <w14:schemeClr w14:val="tx1"/>
                  </w14:solidFill>
                </w14:textFill>
              </w:rPr>
              <w:t>t/a，</w:t>
            </w:r>
            <w:r>
              <w:rPr>
                <w:rFonts w:hint="eastAsia"/>
                <w:color w:val="000000" w:themeColor="text1"/>
                <w:kern w:val="21"/>
                <w:sz w:val="24"/>
                <w:szCs w:val="24"/>
                <w:lang w:eastAsia="zh-CN"/>
                <w14:textFill>
                  <w14:solidFill>
                    <w14:schemeClr w14:val="tx1"/>
                  </w14:solidFill>
                </w14:textFill>
              </w:rPr>
              <w:t>无组织排放量为</w:t>
            </w:r>
            <w:r>
              <w:rPr>
                <w:rFonts w:hint="eastAsia"/>
                <w:color w:val="000000" w:themeColor="text1"/>
                <w:kern w:val="21"/>
                <w:sz w:val="24"/>
                <w:szCs w:val="24"/>
                <w:lang w:val="en-US" w:eastAsia="zh-CN"/>
                <w14:textFill>
                  <w14:solidFill>
                    <w14:schemeClr w14:val="tx1"/>
                  </w14:solidFill>
                </w14:textFill>
              </w:rPr>
              <w:t xml:space="preserve">0.0024 </w:t>
            </w:r>
            <w:r>
              <w:rPr>
                <w:rFonts w:hint="eastAsia"/>
                <w:color w:val="000000" w:themeColor="text1"/>
                <w:kern w:val="21"/>
                <w:sz w:val="24"/>
                <w:szCs w:val="24"/>
                <w14:textFill>
                  <w14:solidFill>
                    <w14:schemeClr w14:val="tx1"/>
                  </w14:solidFill>
                </w14:textFill>
              </w:rPr>
              <w:t>t/a</w:t>
            </w:r>
            <w:r>
              <w:rPr>
                <w:rFonts w:hint="eastAsia"/>
                <w:color w:val="000000" w:themeColor="text1"/>
                <w:kern w:val="21"/>
                <w:sz w:val="24"/>
                <w:szCs w:val="24"/>
                <w:lang w:eastAsia="zh-CN"/>
                <w14:textFill>
                  <w14:solidFill>
                    <w14:schemeClr w14:val="tx1"/>
                  </w14:solidFill>
                </w14:textFill>
              </w:rPr>
              <w:t>，共计</w:t>
            </w:r>
            <w:r>
              <w:rPr>
                <w:rFonts w:hint="eastAsia"/>
                <w:color w:val="000000" w:themeColor="text1"/>
                <w:kern w:val="21"/>
                <w:sz w:val="24"/>
                <w:szCs w:val="24"/>
                <w:lang w:val="en-US" w:eastAsia="zh-CN"/>
                <w14:textFill>
                  <w14:solidFill>
                    <w14:schemeClr w14:val="tx1"/>
                  </w14:solidFill>
                </w14:textFill>
              </w:rPr>
              <w:t xml:space="preserve">0.0072 </w:t>
            </w:r>
            <w:r>
              <w:rPr>
                <w:rFonts w:hint="eastAsia"/>
                <w:color w:val="000000" w:themeColor="text1"/>
                <w:kern w:val="21"/>
                <w:sz w:val="24"/>
                <w:szCs w:val="24"/>
                <w14:textFill>
                  <w14:solidFill>
                    <w14:schemeClr w14:val="tx1"/>
                  </w14:solidFill>
                </w14:textFill>
              </w:rPr>
              <w:t>t/a</w:t>
            </w:r>
            <w:r>
              <w:rPr>
                <w:rFonts w:hint="eastAsia"/>
                <w:color w:val="000000" w:themeColor="text1"/>
                <w:kern w:val="21"/>
                <w:sz w:val="24"/>
                <w:szCs w:val="24"/>
                <w:lang w:eastAsia="zh-CN"/>
                <w14:textFill>
                  <w14:solidFill>
                    <w14:schemeClr w14:val="tx1"/>
                  </w14:solidFill>
                </w14:textFill>
              </w:rPr>
              <w:t>，</w:t>
            </w:r>
            <w:r>
              <w:rPr>
                <w:rFonts w:hint="eastAsia"/>
                <w:color w:val="000000" w:themeColor="text1"/>
                <w:kern w:val="21"/>
                <w:sz w:val="24"/>
                <w:szCs w:val="24"/>
                <w14:textFill>
                  <w14:solidFill>
                    <w14:schemeClr w14:val="tx1"/>
                  </w14:solidFill>
                </w14:textFill>
              </w:rPr>
              <w:t>根据VOCs 排放总量倍量消减替代，应消减替代</w:t>
            </w:r>
            <w:r>
              <w:rPr>
                <w:rFonts w:hint="eastAsia"/>
                <w:color w:val="000000" w:themeColor="text1"/>
                <w:kern w:val="21"/>
                <w:sz w:val="24"/>
                <w:szCs w:val="24"/>
                <w:lang w:val="en-US" w:eastAsia="zh-CN"/>
                <w14:textFill>
                  <w14:solidFill>
                    <w14:schemeClr w14:val="tx1"/>
                  </w14:solidFill>
                </w14:textFill>
              </w:rPr>
              <w:t>0.0144</w:t>
            </w:r>
            <w:r>
              <w:rPr>
                <w:rFonts w:hint="eastAsia"/>
                <w:color w:val="000000" w:themeColor="text1"/>
                <w:kern w:val="21"/>
                <w:sz w:val="24"/>
                <w:szCs w:val="24"/>
                <w14:textFill>
                  <w14:solidFill>
                    <w14:schemeClr w14:val="tx1"/>
                  </w14:solidFill>
                </w14:textFill>
              </w:rPr>
              <w:t>t/a</w:t>
            </w:r>
            <w:r>
              <w:rPr>
                <w:rFonts w:hint="eastAsia"/>
                <w:color w:val="000000" w:themeColor="text1"/>
                <w:kern w:val="21"/>
                <w:sz w:val="24"/>
                <w:szCs w:val="24"/>
                <w:lang w:eastAsia="zh-CN"/>
                <w14:textFill>
                  <w14:solidFill>
                    <w14:schemeClr w14:val="tx1"/>
                  </w14:solidFill>
                </w14:textFill>
              </w:rPr>
              <w:t>，</w:t>
            </w:r>
            <w:r>
              <w:rPr>
                <w:rFonts w:hint="eastAsia"/>
                <w:kern w:val="21"/>
                <w:sz w:val="24"/>
                <w:szCs w:val="24"/>
                <w:lang w:val="en-US" w:eastAsia="zh-CN"/>
              </w:rPr>
              <w:t>本项目拟从新乡县大召营镇贵波橡胶制品厂VOCs 排放总量中消减替代</w:t>
            </w:r>
            <w:r>
              <w:rPr>
                <w:rFonts w:hint="eastAsia"/>
                <w:color w:val="000000" w:themeColor="text1"/>
                <w:kern w:val="21"/>
                <w:sz w:val="24"/>
                <w:szCs w:val="24"/>
                <w:lang w:val="en-US" w:eastAsia="zh-CN"/>
                <w14:textFill>
                  <w14:solidFill>
                    <w14:schemeClr w14:val="tx1"/>
                  </w14:solidFill>
                </w14:textFill>
              </w:rPr>
              <w:t>0.0144</w:t>
            </w:r>
            <w:r>
              <w:rPr>
                <w:rFonts w:hint="eastAsia"/>
                <w:color w:val="000000" w:themeColor="text1"/>
                <w:kern w:val="21"/>
                <w:sz w:val="24"/>
                <w:szCs w:val="24"/>
                <w14:textFill>
                  <w14:solidFill>
                    <w14:schemeClr w14:val="tx1"/>
                  </w14:solidFill>
                </w14:textFill>
              </w:rPr>
              <w:t>t/a</w:t>
            </w:r>
            <w:r>
              <w:rPr>
                <w:rFonts w:hint="eastAsia"/>
                <w:color w:val="000000" w:themeColor="text1"/>
                <w:kern w:val="21"/>
                <w:sz w:val="24"/>
                <w:szCs w:val="24"/>
                <w:lang w:eastAsia="zh-CN"/>
                <w14:textFill>
                  <w14:solidFill>
                    <w14:schemeClr w14:val="tx1"/>
                  </w14:solidFill>
                </w14:textFill>
              </w:rPr>
              <w:t>。</w:t>
            </w:r>
            <w:r>
              <w:rPr>
                <w:rFonts w:hint="eastAsia"/>
                <w:color w:val="000000" w:themeColor="text1"/>
                <w:kern w:val="21"/>
                <w:sz w:val="24"/>
                <w:szCs w:val="24"/>
                <w14:textFill>
                  <w14:solidFill>
                    <w14:schemeClr w14:val="tx1"/>
                  </w14:solidFill>
                </w14:textFill>
              </w:rPr>
              <w:t>颗粒物0.00</w:t>
            </w:r>
            <w:r>
              <w:rPr>
                <w:rFonts w:hint="eastAsia"/>
                <w:color w:val="000000" w:themeColor="text1"/>
                <w:kern w:val="21"/>
                <w:sz w:val="24"/>
                <w:szCs w:val="24"/>
                <w:lang w:val="en-US" w:eastAsia="zh-CN"/>
                <w14:textFill>
                  <w14:solidFill>
                    <w14:schemeClr w14:val="tx1"/>
                  </w14:solidFill>
                </w14:textFill>
              </w:rPr>
              <w:t>72</w:t>
            </w:r>
            <w:r>
              <w:rPr>
                <w:rFonts w:hint="eastAsia"/>
                <w:color w:val="000000" w:themeColor="text1"/>
                <w:kern w:val="21"/>
                <w:sz w:val="24"/>
                <w:szCs w:val="24"/>
                <w14:textFill>
                  <w14:solidFill>
                    <w14:schemeClr w14:val="tx1"/>
                  </w14:solidFill>
                </w14:textFill>
              </w:rPr>
              <w:t>t/a</w:t>
            </w:r>
            <w:r>
              <w:rPr>
                <w:color w:val="000000" w:themeColor="text1"/>
                <w:sz w:val="24"/>
                <w:szCs w:val="24"/>
                <w14:textFill>
                  <w14:solidFill>
                    <w14:schemeClr w14:val="tx1"/>
                  </w14:solidFill>
                </w14:textFill>
              </w:rPr>
              <w:t>。</w:t>
            </w:r>
          </w:p>
          <w:p>
            <w:pPr>
              <w:pStyle w:val="102"/>
              <w:keepNext w:val="0"/>
              <w:keepLines w:val="0"/>
              <w:pageBreakBefore w:val="0"/>
              <w:widowControl w:val="0"/>
              <w:kinsoku/>
              <w:wordWrap/>
              <w:overflowPunct/>
              <w:topLinePunct w:val="0"/>
              <w:autoSpaceDE/>
              <w:autoSpaceDN/>
              <w:bidi w:val="0"/>
              <w:adjustRightInd/>
              <w:snapToGrid/>
              <w:spacing w:line="336" w:lineRule="auto"/>
              <w:ind w:firstLine="0" w:firstLineChars="0"/>
              <w:textAlignment w:val="auto"/>
              <w:rPr>
                <w:rFonts w:eastAsia="黑体"/>
                <w:sz w:val="24"/>
                <w:szCs w:val="24"/>
              </w:rPr>
            </w:pPr>
            <w:r>
              <w:rPr>
                <w:rFonts w:eastAsia="黑体"/>
                <w:sz w:val="24"/>
                <w:szCs w:val="24"/>
              </w:rPr>
              <w:t>6、卫生防护距离</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sz w:val="24"/>
              </w:rPr>
            </w:pPr>
            <w:r>
              <w:rPr>
                <w:color w:val="000000" w:themeColor="text1"/>
                <w:sz w:val="24"/>
                <w14:textFill>
                  <w14:solidFill>
                    <w14:schemeClr w14:val="tx1"/>
                  </w14:solidFill>
                </w14:textFill>
              </w:rPr>
              <w:t>项目应设卫生防护距离为</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0m。本项目卫生防护距离分别为东厂界外</w:t>
            </w:r>
            <w:r>
              <w:rPr>
                <w:rFonts w:hint="eastAsia"/>
                <w:color w:val="000000" w:themeColor="text1"/>
                <w:sz w:val="24"/>
                <w14:textFill>
                  <w14:solidFill>
                    <w14:schemeClr w14:val="tx1"/>
                  </w14:solidFill>
                </w14:textFill>
              </w:rPr>
              <w:t>100</w:t>
            </w:r>
            <w:r>
              <w:rPr>
                <w:color w:val="000000" w:themeColor="text1"/>
                <w:sz w:val="24"/>
                <w14:textFill>
                  <w14:solidFill>
                    <w14:schemeClr w14:val="tx1"/>
                  </w14:solidFill>
                </w14:textFill>
              </w:rPr>
              <w:t>m，西厂界外</w:t>
            </w:r>
            <w:r>
              <w:rPr>
                <w:rFonts w:hint="eastAsia"/>
                <w:color w:val="000000" w:themeColor="text1"/>
                <w:sz w:val="24"/>
                <w14:textFill>
                  <w14:solidFill>
                    <w14:schemeClr w14:val="tx1"/>
                  </w14:solidFill>
                </w14:textFill>
              </w:rPr>
              <w:t>100</w:t>
            </w:r>
            <w:r>
              <w:rPr>
                <w:color w:val="000000" w:themeColor="text1"/>
                <w:sz w:val="24"/>
                <w14:textFill>
                  <w14:solidFill>
                    <w14:schemeClr w14:val="tx1"/>
                  </w14:solidFill>
                </w14:textFill>
              </w:rPr>
              <w:t>m，南厂界外</w:t>
            </w:r>
            <w:r>
              <w:rPr>
                <w:rFonts w:hint="eastAsia"/>
                <w:color w:val="000000" w:themeColor="text1"/>
                <w:sz w:val="24"/>
                <w14:textFill>
                  <w14:solidFill>
                    <w14:schemeClr w14:val="tx1"/>
                  </w14:solidFill>
                </w14:textFill>
              </w:rPr>
              <w:t>100</w:t>
            </w:r>
            <w:r>
              <w:rPr>
                <w:color w:val="000000" w:themeColor="text1"/>
                <w:sz w:val="24"/>
                <w14:textFill>
                  <w14:solidFill>
                    <w14:schemeClr w14:val="tx1"/>
                  </w14:solidFill>
                </w14:textFill>
              </w:rPr>
              <w:t>m，北厂界外</w:t>
            </w:r>
            <w:r>
              <w:rPr>
                <w:rFonts w:hint="eastAsia"/>
                <w:color w:val="000000" w:themeColor="text1"/>
                <w:sz w:val="24"/>
                <w14:textFill>
                  <w14:solidFill>
                    <w14:schemeClr w14:val="tx1"/>
                  </w14:solidFill>
                </w14:textFill>
              </w:rPr>
              <w:t>100</w:t>
            </w:r>
            <w:r>
              <w:rPr>
                <w:color w:val="000000" w:themeColor="text1"/>
                <w:sz w:val="24"/>
                <w14:textFill>
                  <w14:solidFill>
                    <w14:schemeClr w14:val="tx1"/>
                  </w14:solidFill>
                </w14:textFill>
              </w:rPr>
              <w:t>m，</w:t>
            </w:r>
            <w:r>
              <w:rPr>
                <w:sz w:val="24"/>
              </w:rPr>
              <w:t>项目卫生防护距离包络图具体见</w:t>
            </w:r>
            <w:r>
              <w:rPr>
                <w:rFonts w:hint="eastAsia"/>
                <w:sz w:val="24"/>
              </w:rPr>
              <w:t>附图四</w:t>
            </w:r>
            <w:r>
              <w:rPr>
                <w:sz w:val="24"/>
              </w:rPr>
              <w:t>。本项目卫生防护距离内主要</w:t>
            </w:r>
            <w:r>
              <w:rPr>
                <w:rFonts w:hint="eastAsia"/>
                <w:sz w:val="24"/>
              </w:rPr>
              <w:t>为企业和道路</w:t>
            </w:r>
            <w:r>
              <w:rPr>
                <w:sz w:val="24"/>
              </w:rPr>
              <w:t>，无学校、医院</w:t>
            </w:r>
            <w:r>
              <w:rPr>
                <w:rFonts w:hint="eastAsia"/>
                <w:sz w:val="24"/>
              </w:rPr>
              <w:t>、居住区</w:t>
            </w:r>
            <w:r>
              <w:rPr>
                <w:sz w:val="24"/>
              </w:rPr>
              <w:t>等敏感目标</w:t>
            </w:r>
            <w:r>
              <w:rPr>
                <w:rFonts w:hint="eastAsia"/>
                <w:sz w:val="24"/>
              </w:rPr>
              <w:t>，且项目卫生防护距离内无规划以科研、居住、教育的用地</w:t>
            </w:r>
            <w:r>
              <w:rPr>
                <w:sz w:val="24"/>
              </w:rPr>
              <w:t>。</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eastAsia="黑体"/>
                <w:sz w:val="24"/>
              </w:rPr>
            </w:pPr>
            <w:r>
              <w:rPr>
                <w:rFonts w:eastAsia="黑体"/>
                <w:sz w:val="24"/>
              </w:rPr>
              <w:t>二、建议</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sz w:val="24"/>
              </w:rPr>
            </w:pPr>
            <w:r>
              <w:rPr>
                <w:sz w:val="24"/>
              </w:rPr>
              <w:t>（1）本工程环保投资约为</w:t>
            </w:r>
            <w:r>
              <w:rPr>
                <w:rFonts w:hint="eastAsia"/>
                <w:color w:val="000000" w:themeColor="text1"/>
                <w:sz w:val="24"/>
                <w:lang w:val="en-US" w:eastAsia="zh-CN"/>
                <w14:textFill>
                  <w14:solidFill>
                    <w14:schemeClr w14:val="tx1"/>
                  </w14:solidFill>
                </w14:textFill>
              </w:rPr>
              <w:t>22.4</w:t>
            </w:r>
            <w:r>
              <w:rPr>
                <w:rFonts w:hint="eastAsia"/>
                <w:color w:val="000000" w:themeColor="text1"/>
                <w:sz w:val="24"/>
                <w14:textFill>
                  <w14:solidFill>
                    <w14:schemeClr w14:val="tx1"/>
                  </w14:solidFill>
                </w14:textFill>
              </w:rPr>
              <w:t>万元</w:t>
            </w:r>
            <w:r>
              <w:rPr>
                <w:color w:val="000000" w:themeColor="text1"/>
                <w:sz w:val="24"/>
                <w14:textFill>
                  <w14:solidFill>
                    <w14:schemeClr w14:val="tx1"/>
                  </w14:solidFill>
                </w14:textFill>
              </w:rPr>
              <w:t>，占项目总投资</w:t>
            </w:r>
            <w:r>
              <w:rPr>
                <w:rFonts w:hint="eastAsia"/>
                <w:color w:val="000000" w:themeColor="text1"/>
                <w:sz w:val="24"/>
                <w:lang w:val="en-US" w:eastAsia="zh-CN"/>
                <w14:textFill>
                  <w14:solidFill>
                    <w14:schemeClr w14:val="tx1"/>
                  </w14:solidFill>
                </w14:textFill>
              </w:rPr>
              <w:t>80</w:t>
            </w:r>
            <w:r>
              <w:rPr>
                <w:color w:val="000000" w:themeColor="text1"/>
                <w:sz w:val="24"/>
                <w14:textFill>
                  <w14:solidFill>
                    <w14:schemeClr w14:val="tx1"/>
                  </w14:solidFill>
                </w14:textFill>
              </w:rPr>
              <w:t>万元的</w:t>
            </w:r>
            <w:r>
              <w:rPr>
                <w:rFonts w:hint="eastAsia"/>
                <w:color w:val="000000" w:themeColor="text1"/>
                <w:sz w:val="24"/>
                <w:lang w:val="en-US" w:eastAsia="zh-CN"/>
                <w14:textFill>
                  <w14:solidFill>
                    <w14:schemeClr w14:val="tx1"/>
                  </w14:solidFill>
                </w14:textFill>
              </w:rPr>
              <w:t>28</w:t>
            </w:r>
            <w:r>
              <w:rPr>
                <w:color w:val="000000" w:themeColor="text1"/>
                <w:sz w:val="24"/>
                <w14:textFill>
                  <w14:solidFill>
                    <w14:schemeClr w14:val="tx1"/>
                  </w14:solidFill>
                </w14:textFill>
              </w:rPr>
              <w:t>%</w:t>
            </w:r>
            <w:r>
              <w:rPr>
                <w:sz w:val="24"/>
              </w:rPr>
              <w:t>，应在项目中认真落实，专款专用。</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sz w:val="24"/>
              </w:rPr>
            </w:pPr>
            <w:r>
              <w:rPr>
                <w:sz w:val="24"/>
              </w:rPr>
              <w:t>（</w:t>
            </w:r>
            <w:r>
              <w:rPr>
                <w:rFonts w:hint="eastAsia"/>
                <w:sz w:val="24"/>
              </w:rPr>
              <w:t>2</w:t>
            </w:r>
            <w:r>
              <w:rPr>
                <w:sz w:val="24"/>
              </w:rPr>
              <w:t>）加强教育，提高员工的环境与安全意识。</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sz w:val="24"/>
              </w:rPr>
            </w:pPr>
            <w:r>
              <w:rPr>
                <w:sz w:val="24"/>
              </w:rPr>
              <w:t>（</w:t>
            </w:r>
            <w:r>
              <w:rPr>
                <w:rFonts w:hint="eastAsia"/>
                <w:sz w:val="24"/>
              </w:rPr>
              <w:t>3</w:t>
            </w:r>
            <w:r>
              <w:rPr>
                <w:sz w:val="24"/>
              </w:rPr>
              <w:t>）加强对各种污染防治设施的运行管理，定期维护检修，确保其正常稳定运行。</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sz w:val="24"/>
                <w:szCs w:val="24"/>
              </w:rPr>
            </w:pPr>
            <w:r>
              <w:rPr>
                <w:rFonts w:hint="eastAsia"/>
                <w:sz w:val="24"/>
                <w:szCs w:val="24"/>
              </w:rPr>
              <w:t>（4）加强管理</w:t>
            </w:r>
            <w:r>
              <w:rPr>
                <w:sz w:val="24"/>
                <w:szCs w:val="24"/>
              </w:rPr>
              <w:t>，制定相应的环境管理规章制度，</w:t>
            </w:r>
            <w:r>
              <w:rPr>
                <w:rFonts w:hint="eastAsia"/>
                <w:sz w:val="24"/>
                <w:szCs w:val="24"/>
              </w:rPr>
              <w:t>提高环保意识，</w:t>
            </w:r>
            <w:r>
              <w:rPr>
                <w:sz w:val="24"/>
                <w:szCs w:val="24"/>
              </w:rPr>
              <w:t>防止意外事故发生</w:t>
            </w:r>
            <w:r>
              <w:rPr>
                <w:rFonts w:hint="eastAsia"/>
                <w:sz w:val="24"/>
                <w:szCs w:val="24"/>
              </w:rPr>
              <w:t>，制定环境风险突发事件应急预案，并定期演习。</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sz w:val="24"/>
                <w:szCs w:val="24"/>
              </w:rPr>
            </w:pPr>
            <w:r>
              <w:rPr>
                <w:rFonts w:hint="eastAsia"/>
                <w:sz w:val="24"/>
                <w:szCs w:val="24"/>
              </w:rPr>
              <w:t>（5）企业生产过程中如原材料和产品方案、用量、规模、生产工艺等发生变化，应及时向环保主管部门申报。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sz w:val="24"/>
              </w:rPr>
            </w:pPr>
            <w:r>
              <w:rPr>
                <w:rFonts w:hint="eastAsia"/>
                <w:b w:val="0"/>
                <w:bCs w:val="0"/>
                <w:sz w:val="24"/>
              </w:rPr>
              <w:t>新乡县七里营镇信之达塑料制品厂年产</w:t>
            </w:r>
            <w:r>
              <w:rPr>
                <w:rFonts w:hint="eastAsia"/>
                <w:b w:val="0"/>
                <w:bCs w:val="0"/>
                <w:sz w:val="24"/>
                <w:lang w:val="en-US" w:eastAsia="zh-CN"/>
              </w:rPr>
              <w:t>10</w:t>
            </w:r>
            <w:r>
              <w:rPr>
                <w:rFonts w:hint="eastAsia"/>
                <w:b w:val="0"/>
                <w:bCs w:val="0"/>
                <w:sz w:val="24"/>
              </w:rPr>
              <w:t>万套塑料配件项目</w:t>
            </w:r>
            <w:r>
              <w:rPr>
                <w:b w:val="0"/>
                <w:bCs w:val="0"/>
                <w:sz w:val="24"/>
              </w:rPr>
              <w:t>符合国家产业政策</w:t>
            </w:r>
            <w:r>
              <w:rPr>
                <w:rFonts w:hint="eastAsia"/>
                <w:b w:val="0"/>
                <w:bCs w:val="0"/>
                <w:sz w:val="24"/>
              </w:rPr>
              <w:t>，</w:t>
            </w:r>
            <w:r>
              <w:rPr>
                <w:b w:val="0"/>
                <w:bCs w:val="0"/>
                <w:sz w:val="24"/>
              </w:rPr>
              <w:t>污染防治措施可行。在落实评价提出的各项污染防治措施并保证其正常运转的前提下，预计工程运行后不会对周围大气环境、声环境</w:t>
            </w:r>
            <w:r>
              <w:rPr>
                <w:rFonts w:hint="eastAsia"/>
                <w:b w:val="0"/>
                <w:bCs w:val="0"/>
                <w:sz w:val="24"/>
              </w:rPr>
              <w:t>、水环境</w:t>
            </w:r>
            <w:r>
              <w:rPr>
                <w:b w:val="0"/>
                <w:bCs w:val="0"/>
                <w:sz w:val="24"/>
              </w:rPr>
              <w:t>和生态环境造成明显影响。</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sz w:val="24"/>
              </w:rPr>
            </w:pPr>
            <w:r>
              <w:rPr>
                <w:sz w:val="24"/>
              </w:rPr>
              <w:t>从环保角度出发，该项目可行。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sz w:val="24"/>
              </w:rPr>
            </w:pPr>
            <w:r>
              <w:rPr>
                <w:rFonts w:hint="eastAsia"/>
                <w:sz w:val="24"/>
              </w:rPr>
              <w:t>重庆九天环境影响评价</w:t>
            </w:r>
            <w:r>
              <w:rPr>
                <w:sz w:val="24"/>
              </w:rPr>
              <w:t>有限公司</w:t>
            </w:r>
          </w:p>
          <w:p>
            <w:pPr>
              <w:spacing w:line="440" w:lineRule="exact"/>
              <w:ind w:right="1348"/>
              <w:jc w:val="right"/>
            </w:pPr>
          </w:p>
          <w:p>
            <w:pPr>
              <w:spacing w:line="440" w:lineRule="exact"/>
              <w:ind w:right="1348"/>
              <w:jc w:val="right"/>
            </w:pPr>
          </w:p>
          <w:p>
            <w:pPr>
              <w:spacing w:line="440" w:lineRule="exact"/>
              <w:ind w:right="1348"/>
              <w:jc w:val="right"/>
            </w:pPr>
          </w:p>
          <w:p>
            <w:pPr>
              <w:spacing w:line="440" w:lineRule="exact"/>
              <w:ind w:right="1348"/>
            </w:pPr>
          </w:p>
          <w:p>
            <w:pPr>
              <w:pStyle w:val="2"/>
            </w:pPr>
          </w:p>
          <w:p/>
          <w:p>
            <w:pPr>
              <w:pStyle w:val="2"/>
            </w:pPr>
          </w:p>
          <w:p/>
          <w:p>
            <w:pPr>
              <w:pStyle w:val="2"/>
            </w:pPr>
          </w:p>
          <w:p/>
          <w:p/>
          <w:p>
            <w:pPr>
              <w:tabs>
                <w:tab w:val="left" w:pos="1526"/>
              </w:tabs>
              <w:jc w:val="left"/>
            </w:pPr>
          </w:p>
        </w:tc>
      </w:tr>
    </w:tbl>
    <w:p>
      <w:pPr>
        <w:adjustRightInd w:val="0"/>
        <w:snapToGrid w:val="0"/>
        <w:rPr>
          <w:rFonts w:ascii="宋体" w:hAnsi="宋体" w:cs="宋体"/>
        </w:rPr>
        <w:sectPr>
          <w:pgSz w:w="11906" w:h="16838"/>
          <w:pgMar w:top="1440" w:right="1800" w:bottom="1440" w:left="1800" w:header="851" w:footer="992" w:gutter="0"/>
          <w:cols w:space="720" w:num="1"/>
          <w:docGrid w:type="lines" w:linePitch="312" w:charSpace="0"/>
        </w:sectPr>
      </w:pPr>
    </w:p>
    <w:tbl>
      <w:tblPr>
        <w:tblStyle w:val="23"/>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adjustRightInd w:val="0"/>
              <w:snapToGrid w:val="0"/>
              <w:rPr>
                <w:rFonts w:ascii="宋体"/>
                <w:sz w:val="24"/>
              </w:rPr>
            </w:pPr>
            <w:r>
              <w:rPr>
                <w:rFonts w:hint="eastAsia" w:ascii="宋体"/>
                <w:sz w:val="24"/>
              </w:rPr>
              <w:t>预审意见：</w:t>
            </w: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spacing w:line="360" w:lineRule="auto"/>
              <w:rPr>
                <w:rFonts w:ascii="宋体"/>
                <w:sz w:val="24"/>
              </w:rPr>
            </w:pPr>
            <w:r>
              <w:rPr>
                <w:rFonts w:hint="eastAsia" w:ascii="宋体"/>
                <w:sz w:val="24"/>
              </w:rPr>
              <w:t xml:space="preserve">                                                  公   章</w:t>
            </w:r>
          </w:p>
          <w:p>
            <w:pPr>
              <w:adjustRightInd w:val="0"/>
              <w:snapToGrid w:val="0"/>
              <w:spacing w:line="360" w:lineRule="auto"/>
              <w:rPr>
                <w:rFonts w:ascii="宋体"/>
                <w:sz w:val="24"/>
              </w:rPr>
            </w:pPr>
            <w:r>
              <w:rPr>
                <w:rFonts w:hint="eastAsia" w:ascii="宋体"/>
                <w:sz w:val="24"/>
              </w:rPr>
              <w:t>经办人：                                      年月日</w:t>
            </w:r>
          </w:p>
          <w:p>
            <w:pPr>
              <w:adjustRightInd w:val="0"/>
              <w:snapToGrid w:val="0"/>
              <w:rPr>
                <w:rFonts w:ascii="宋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adjustRightInd w:val="0"/>
              <w:snapToGrid w:val="0"/>
              <w:rPr>
                <w:rFonts w:ascii="宋体"/>
                <w:sz w:val="24"/>
              </w:rPr>
            </w:pPr>
            <w:r>
              <w:rPr>
                <w:rFonts w:hint="eastAsia" w:ascii="宋体"/>
                <w:sz w:val="24"/>
              </w:rPr>
              <w:t>下一级环境保护行政主管部门审查意见：</w:t>
            </w: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r>
              <w:rPr>
                <w:rFonts w:hint="eastAsia" w:ascii="宋体"/>
                <w:sz w:val="24"/>
              </w:rPr>
              <w:t xml:space="preserve">                                                  公  章</w:t>
            </w:r>
          </w:p>
          <w:p>
            <w:pPr>
              <w:adjustRightInd w:val="0"/>
              <w:snapToGrid w:val="0"/>
              <w:rPr>
                <w:rFonts w:ascii="宋体"/>
                <w:sz w:val="24"/>
              </w:rPr>
            </w:pPr>
          </w:p>
          <w:p>
            <w:pPr>
              <w:adjustRightInd w:val="0"/>
              <w:snapToGrid w:val="0"/>
              <w:rPr>
                <w:rFonts w:ascii="宋体"/>
                <w:sz w:val="24"/>
              </w:rPr>
            </w:pPr>
            <w:r>
              <w:rPr>
                <w:rFonts w:hint="eastAsia" w:ascii="宋体"/>
                <w:sz w:val="24"/>
              </w:rPr>
              <w:t>经办人：                                        年  月  日</w:t>
            </w:r>
          </w:p>
          <w:p>
            <w:pPr>
              <w:adjustRightInd w:val="0"/>
              <w:snapToGrid w:val="0"/>
              <w:rPr>
                <w:rFonts w:ascii="宋体"/>
                <w:sz w:val="24"/>
              </w:rPr>
            </w:pPr>
          </w:p>
          <w:p>
            <w:pPr>
              <w:adjustRightInd w:val="0"/>
              <w:snapToGrid w:val="0"/>
              <w:rPr>
                <w:rFonts w:ascii="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jc w:val="center"/>
        </w:trPr>
        <w:tc>
          <w:tcPr>
            <w:tcW w:w="9071" w:type="dxa"/>
          </w:tcPr>
          <w:p>
            <w:pPr>
              <w:adjustRightInd w:val="0"/>
              <w:snapToGrid w:val="0"/>
              <w:rPr>
                <w:rFonts w:ascii="宋体"/>
                <w:sz w:val="24"/>
              </w:rPr>
            </w:pPr>
            <w:r>
              <w:rPr>
                <w:rFonts w:hint="eastAsia" w:ascii="宋体"/>
                <w:sz w:val="24"/>
              </w:rPr>
              <w:t>审批意见：</w:t>
            </w: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p>
          <w:p>
            <w:pPr>
              <w:adjustRightInd w:val="0"/>
              <w:snapToGrid w:val="0"/>
              <w:rPr>
                <w:rFonts w:ascii="宋体"/>
                <w:sz w:val="24"/>
              </w:rPr>
            </w:pPr>
            <w:r>
              <w:rPr>
                <w:rFonts w:hint="eastAsia" w:ascii="宋体"/>
                <w:sz w:val="24"/>
              </w:rPr>
              <w:t xml:space="preserve">                                                  公  章</w:t>
            </w:r>
          </w:p>
          <w:p>
            <w:pPr>
              <w:adjustRightInd w:val="0"/>
              <w:snapToGrid w:val="0"/>
              <w:rPr>
                <w:rFonts w:ascii="宋体"/>
                <w:sz w:val="24"/>
              </w:rPr>
            </w:pPr>
          </w:p>
          <w:p>
            <w:pPr>
              <w:adjustRightInd w:val="0"/>
              <w:snapToGrid w:val="0"/>
              <w:rPr>
                <w:rFonts w:ascii="宋体"/>
                <w:sz w:val="24"/>
              </w:rPr>
            </w:pPr>
            <w:r>
              <w:rPr>
                <w:rFonts w:hint="eastAsia" w:ascii="宋体"/>
                <w:sz w:val="24"/>
              </w:rPr>
              <w:t>经办人：                                        年  月  日</w:t>
            </w:r>
          </w:p>
          <w:p>
            <w:pPr>
              <w:tabs>
                <w:tab w:val="left" w:pos="417"/>
              </w:tabs>
              <w:adjustRightInd w:val="0"/>
              <w:snapToGrid w:val="0"/>
              <w:rPr>
                <w:rFonts w:ascii="宋体"/>
                <w:sz w:val="24"/>
              </w:rPr>
            </w:pPr>
          </w:p>
          <w:p>
            <w:pPr>
              <w:tabs>
                <w:tab w:val="left" w:pos="417"/>
              </w:tabs>
              <w:adjustRightInd w:val="0"/>
              <w:snapToGrid w:val="0"/>
              <w:rPr>
                <w:rFonts w:ascii="宋体"/>
                <w:sz w:val="24"/>
              </w:rPr>
            </w:pPr>
          </w:p>
          <w:p>
            <w:pPr>
              <w:tabs>
                <w:tab w:val="left" w:pos="417"/>
              </w:tabs>
              <w:adjustRightInd w:val="0"/>
              <w:snapToGrid w:val="0"/>
              <w:rPr>
                <w:rFonts w:ascii="宋体"/>
                <w:sz w:val="24"/>
              </w:rPr>
            </w:pPr>
          </w:p>
          <w:p>
            <w:pPr>
              <w:tabs>
                <w:tab w:val="left" w:pos="417"/>
              </w:tabs>
              <w:adjustRightInd w:val="0"/>
              <w:snapToGrid w:val="0"/>
              <w:rPr>
                <w:rFonts w:ascii="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258" w:hRule="atLeast"/>
          <w:jc w:val="center"/>
        </w:trPr>
        <w:tc>
          <w:tcPr>
            <w:tcW w:w="9071" w:type="dxa"/>
          </w:tcPr>
          <w:p>
            <w:pPr>
              <w:tabs>
                <w:tab w:val="left" w:pos="417"/>
              </w:tabs>
              <w:adjustRightInd w:val="0"/>
              <w:snapToGrid w:val="0"/>
              <w:jc w:val="center"/>
              <w:rPr>
                <w:rFonts w:ascii="宋体"/>
                <w:b/>
                <w:sz w:val="24"/>
              </w:rPr>
            </w:pPr>
          </w:p>
          <w:p>
            <w:pPr>
              <w:tabs>
                <w:tab w:val="left" w:pos="417"/>
              </w:tabs>
              <w:adjustRightInd w:val="0"/>
              <w:snapToGrid w:val="0"/>
              <w:jc w:val="center"/>
              <w:rPr>
                <w:rFonts w:ascii="宋体"/>
                <w:b/>
                <w:sz w:val="24"/>
              </w:rPr>
            </w:pPr>
            <w:r>
              <w:rPr>
                <w:rFonts w:hint="eastAsia" w:ascii="宋体"/>
                <w:b/>
                <w:sz w:val="24"/>
              </w:rPr>
              <w:t>注        释</w:t>
            </w:r>
          </w:p>
          <w:p>
            <w:pPr>
              <w:tabs>
                <w:tab w:val="left" w:pos="417"/>
              </w:tabs>
              <w:adjustRightInd w:val="0"/>
              <w:snapToGrid w:val="0"/>
              <w:spacing w:line="360" w:lineRule="auto"/>
              <w:rPr>
                <w:rFonts w:ascii="宋体"/>
                <w:sz w:val="24"/>
              </w:rPr>
            </w:pPr>
          </w:p>
          <w:p>
            <w:pPr>
              <w:tabs>
                <w:tab w:val="left" w:pos="417"/>
              </w:tabs>
              <w:adjustRightInd w:val="0"/>
              <w:snapToGrid w:val="0"/>
              <w:spacing w:line="360" w:lineRule="auto"/>
              <w:ind w:firstLine="480" w:firstLineChars="200"/>
              <w:rPr>
                <w:rFonts w:ascii="宋体"/>
                <w:sz w:val="24"/>
              </w:rPr>
            </w:pPr>
            <w:r>
              <w:rPr>
                <w:rFonts w:hint="eastAsia" w:ascii="宋体"/>
                <w:sz w:val="24"/>
              </w:rPr>
              <w:t>一、本报告表应附以下附件、附图：</w:t>
            </w:r>
          </w:p>
          <w:p>
            <w:pPr>
              <w:tabs>
                <w:tab w:val="left" w:pos="417"/>
              </w:tabs>
              <w:adjustRightInd w:val="0"/>
              <w:snapToGrid w:val="0"/>
              <w:spacing w:line="360" w:lineRule="auto"/>
              <w:ind w:firstLine="480" w:firstLineChars="200"/>
              <w:rPr>
                <w:rFonts w:ascii="宋体"/>
                <w:sz w:val="24"/>
              </w:rPr>
            </w:pPr>
            <w:r>
              <w:rPr>
                <w:rFonts w:hint="eastAsia" w:ascii="宋体"/>
                <w:sz w:val="24"/>
              </w:rPr>
              <w:t>附件1  立项批准文件</w:t>
            </w:r>
          </w:p>
          <w:p>
            <w:pPr>
              <w:tabs>
                <w:tab w:val="left" w:pos="417"/>
              </w:tabs>
              <w:adjustRightInd w:val="0"/>
              <w:snapToGrid w:val="0"/>
              <w:spacing w:line="360" w:lineRule="auto"/>
              <w:ind w:firstLine="480" w:firstLineChars="200"/>
              <w:rPr>
                <w:rFonts w:ascii="宋体"/>
                <w:sz w:val="24"/>
              </w:rPr>
            </w:pPr>
            <w:r>
              <w:rPr>
                <w:rFonts w:hint="eastAsia" w:ascii="宋体"/>
                <w:sz w:val="24"/>
              </w:rPr>
              <w:t>附件2  其他与环评有关的行政管理文件</w:t>
            </w:r>
          </w:p>
          <w:p>
            <w:pPr>
              <w:tabs>
                <w:tab w:val="left" w:pos="417"/>
              </w:tabs>
              <w:adjustRightInd w:val="0"/>
              <w:snapToGrid w:val="0"/>
              <w:spacing w:line="360" w:lineRule="auto"/>
              <w:ind w:firstLine="480" w:firstLineChars="200"/>
              <w:rPr>
                <w:rFonts w:ascii="宋体"/>
                <w:sz w:val="24"/>
              </w:rPr>
            </w:pPr>
            <w:r>
              <w:rPr>
                <w:rFonts w:hint="eastAsia" w:ascii="宋体"/>
                <w:sz w:val="24"/>
              </w:rPr>
              <w:t>附图1  项目地理位置图(应反映行政区划、水系、标明纳污口位置和地形地貌等)</w:t>
            </w:r>
          </w:p>
          <w:p>
            <w:pPr>
              <w:tabs>
                <w:tab w:val="left" w:pos="417"/>
              </w:tabs>
              <w:adjustRightInd w:val="0"/>
              <w:snapToGrid w:val="0"/>
              <w:spacing w:line="360" w:lineRule="auto"/>
              <w:ind w:firstLine="480" w:firstLineChars="200"/>
              <w:rPr>
                <w:rFonts w:ascii="宋体"/>
                <w:sz w:val="24"/>
              </w:rPr>
            </w:pPr>
            <w:r>
              <w:rPr>
                <w:rFonts w:hint="eastAsia" w:ascii="宋体"/>
                <w:sz w:val="24"/>
              </w:rPr>
              <w:t>附图2  项目平面布置图</w:t>
            </w:r>
          </w:p>
          <w:p>
            <w:pPr>
              <w:tabs>
                <w:tab w:val="left" w:pos="417"/>
              </w:tabs>
              <w:adjustRightInd w:val="0"/>
              <w:snapToGrid w:val="0"/>
              <w:spacing w:line="360" w:lineRule="auto"/>
              <w:ind w:firstLine="480" w:firstLineChars="200"/>
              <w:rPr>
                <w:rFonts w:ascii="宋体"/>
                <w:sz w:val="24"/>
              </w:rPr>
            </w:pPr>
          </w:p>
          <w:p>
            <w:pPr>
              <w:tabs>
                <w:tab w:val="left" w:pos="417"/>
              </w:tabs>
              <w:adjustRightInd w:val="0"/>
              <w:snapToGrid w:val="0"/>
              <w:spacing w:line="360" w:lineRule="auto"/>
              <w:ind w:firstLine="480" w:firstLineChars="200"/>
              <w:rPr>
                <w:rFonts w:ascii="宋体"/>
                <w:sz w:val="24"/>
              </w:rPr>
            </w:pPr>
            <w:r>
              <w:rPr>
                <w:rFonts w:hint="eastAsia" w:ascii="宋体"/>
                <w:sz w:val="24"/>
              </w:rPr>
              <w:t>二、如果本报告表不能说明项目产生的污染及对环境造成的影响，应进行专项评价。根据建设项目的特点和当地环境特征，应选下列1-2项进行专项评价。</w:t>
            </w:r>
          </w:p>
          <w:p>
            <w:pPr>
              <w:tabs>
                <w:tab w:val="left" w:pos="417"/>
              </w:tabs>
              <w:adjustRightInd w:val="0"/>
              <w:snapToGrid w:val="0"/>
              <w:spacing w:line="360" w:lineRule="auto"/>
              <w:ind w:firstLine="480" w:firstLineChars="200"/>
              <w:rPr>
                <w:rFonts w:ascii="宋体"/>
                <w:sz w:val="24"/>
              </w:rPr>
            </w:pPr>
            <w:r>
              <w:rPr>
                <w:rFonts w:hint="eastAsia" w:ascii="宋体"/>
                <w:sz w:val="24"/>
              </w:rPr>
              <w:t>1、大气环境影响专项评价</w:t>
            </w:r>
          </w:p>
          <w:p>
            <w:pPr>
              <w:tabs>
                <w:tab w:val="left" w:pos="417"/>
              </w:tabs>
              <w:adjustRightInd w:val="0"/>
              <w:snapToGrid w:val="0"/>
              <w:spacing w:line="360" w:lineRule="auto"/>
              <w:ind w:firstLine="480" w:firstLineChars="200"/>
              <w:rPr>
                <w:rFonts w:ascii="宋体"/>
                <w:sz w:val="24"/>
              </w:rPr>
            </w:pPr>
            <w:r>
              <w:rPr>
                <w:rFonts w:hint="eastAsia" w:ascii="宋体"/>
                <w:sz w:val="24"/>
              </w:rPr>
              <w:t>2、水环境影响专项评价(包括地表水和地下水)</w:t>
            </w:r>
          </w:p>
          <w:p>
            <w:pPr>
              <w:tabs>
                <w:tab w:val="left" w:pos="417"/>
              </w:tabs>
              <w:adjustRightInd w:val="0"/>
              <w:snapToGrid w:val="0"/>
              <w:spacing w:line="360" w:lineRule="auto"/>
              <w:ind w:firstLine="480" w:firstLineChars="200"/>
              <w:rPr>
                <w:rFonts w:ascii="宋体"/>
                <w:sz w:val="24"/>
              </w:rPr>
            </w:pPr>
            <w:r>
              <w:rPr>
                <w:rFonts w:hint="eastAsia" w:ascii="宋体"/>
                <w:sz w:val="24"/>
              </w:rPr>
              <w:t>3、生态影响专项评价</w:t>
            </w:r>
          </w:p>
          <w:p>
            <w:pPr>
              <w:tabs>
                <w:tab w:val="left" w:pos="417"/>
              </w:tabs>
              <w:adjustRightInd w:val="0"/>
              <w:snapToGrid w:val="0"/>
              <w:spacing w:line="360" w:lineRule="auto"/>
              <w:ind w:firstLine="480" w:firstLineChars="200"/>
              <w:rPr>
                <w:rFonts w:ascii="宋体"/>
                <w:sz w:val="24"/>
              </w:rPr>
            </w:pPr>
            <w:r>
              <w:rPr>
                <w:rFonts w:hint="eastAsia" w:ascii="宋体"/>
                <w:sz w:val="24"/>
              </w:rPr>
              <w:t>4、声影响专项评价</w:t>
            </w:r>
          </w:p>
          <w:p>
            <w:pPr>
              <w:tabs>
                <w:tab w:val="left" w:pos="417"/>
              </w:tabs>
              <w:adjustRightInd w:val="0"/>
              <w:snapToGrid w:val="0"/>
              <w:spacing w:line="360" w:lineRule="auto"/>
              <w:ind w:firstLine="480" w:firstLineChars="200"/>
              <w:rPr>
                <w:rFonts w:ascii="宋体"/>
                <w:sz w:val="24"/>
              </w:rPr>
            </w:pPr>
            <w:r>
              <w:rPr>
                <w:rFonts w:hint="eastAsia" w:ascii="宋体"/>
                <w:sz w:val="24"/>
              </w:rPr>
              <w:t>5、土壤影响专项评价</w:t>
            </w:r>
          </w:p>
          <w:p>
            <w:pPr>
              <w:tabs>
                <w:tab w:val="left" w:pos="417"/>
              </w:tabs>
              <w:adjustRightInd w:val="0"/>
              <w:snapToGrid w:val="0"/>
              <w:spacing w:line="360" w:lineRule="auto"/>
              <w:ind w:firstLine="480" w:firstLineChars="200"/>
              <w:rPr>
                <w:rFonts w:ascii="宋体"/>
                <w:sz w:val="24"/>
              </w:rPr>
            </w:pPr>
            <w:r>
              <w:rPr>
                <w:rFonts w:hint="eastAsia" w:ascii="宋体"/>
                <w:sz w:val="24"/>
              </w:rPr>
              <w:t>6、固体废弃物影响专项评价</w:t>
            </w:r>
          </w:p>
          <w:p>
            <w:pPr>
              <w:tabs>
                <w:tab w:val="left" w:pos="417"/>
              </w:tabs>
              <w:adjustRightInd w:val="0"/>
              <w:snapToGrid w:val="0"/>
              <w:spacing w:line="360" w:lineRule="auto"/>
              <w:ind w:firstLine="480" w:firstLineChars="200"/>
              <w:rPr>
                <w:rFonts w:ascii="宋体"/>
                <w:sz w:val="24"/>
              </w:rPr>
            </w:pPr>
            <w:r>
              <w:rPr>
                <w:rFonts w:hint="eastAsia" w:ascii="宋体"/>
                <w:sz w:val="24"/>
              </w:rPr>
              <w:t>以上专项评价未包括的可另列专项，专项评价按照《环境影响评价技术导则》中的要求进行。</w:t>
            </w:r>
          </w:p>
          <w:p>
            <w:pPr>
              <w:tabs>
                <w:tab w:val="left" w:pos="417"/>
              </w:tabs>
              <w:adjustRightInd w:val="0"/>
              <w:snapToGrid w:val="0"/>
              <w:spacing w:line="360" w:lineRule="auto"/>
              <w:ind w:right="101" w:rightChars="48"/>
              <w:rPr>
                <w:rFonts w:ascii="宋体"/>
                <w:sz w:val="24"/>
              </w:rPr>
            </w:pPr>
          </w:p>
          <w:p>
            <w:pPr>
              <w:tabs>
                <w:tab w:val="left" w:pos="417"/>
              </w:tabs>
              <w:adjustRightInd w:val="0"/>
              <w:snapToGrid w:val="0"/>
              <w:spacing w:line="300" w:lineRule="auto"/>
              <w:ind w:right="101" w:rightChars="48"/>
              <w:rPr>
                <w:rFonts w:ascii="宋体"/>
                <w:sz w:val="24"/>
              </w:rPr>
            </w:pPr>
          </w:p>
          <w:p>
            <w:pPr>
              <w:tabs>
                <w:tab w:val="left" w:pos="417"/>
              </w:tabs>
              <w:adjustRightInd w:val="0"/>
              <w:snapToGrid w:val="0"/>
              <w:spacing w:line="300" w:lineRule="auto"/>
              <w:ind w:right="101" w:rightChars="48"/>
              <w:rPr>
                <w:rFonts w:ascii="宋体"/>
                <w:sz w:val="24"/>
              </w:rPr>
            </w:pPr>
          </w:p>
          <w:p>
            <w:pPr>
              <w:tabs>
                <w:tab w:val="left" w:pos="417"/>
              </w:tabs>
              <w:adjustRightInd w:val="0"/>
              <w:snapToGrid w:val="0"/>
              <w:spacing w:line="300" w:lineRule="auto"/>
              <w:rPr>
                <w:rFonts w:ascii="宋体"/>
                <w:sz w:val="24"/>
              </w:rPr>
            </w:pPr>
          </w:p>
          <w:p>
            <w:pPr>
              <w:tabs>
                <w:tab w:val="left" w:pos="417"/>
              </w:tabs>
              <w:adjustRightInd w:val="0"/>
              <w:snapToGrid w:val="0"/>
              <w:spacing w:line="300" w:lineRule="auto"/>
              <w:rPr>
                <w:rFonts w:ascii="宋体"/>
                <w:sz w:val="24"/>
              </w:rPr>
            </w:pPr>
          </w:p>
          <w:p>
            <w:pPr>
              <w:tabs>
                <w:tab w:val="left" w:pos="417"/>
              </w:tabs>
              <w:adjustRightInd w:val="0"/>
              <w:snapToGrid w:val="0"/>
              <w:spacing w:line="300" w:lineRule="auto"/>
              <w:rPr>
                <w:rFonts w:ascii="宋体"/>
                <w:sz w:val="24"/>
              </w:rPr>
            </w:pPr>
          </w:p>
          <w:p>
            <w:pPr>
              <w:tabs>
                <w:tab w:val="left" w:pos="417"/>
              </w:tabs>
              <w:adjustRightInd w:val="0"/>
              <w:snapToGrid w:val="0"/>
              <w:spacing w:line="300" w:lineRule="auto"/>
              <w:rPr>
                <w:rFonts w:ascii="宋体"/>
                <w:sz w:val="24"/>
              </w:rPr>
            </w:pPr>
          </w:p>
          <w:p>
            <w:pPr>
              <w:tabs>
                <w:tab w:val="left" w:pos="417"/>
              </w:tabs>
              <w:adjustRightInd w:val="0"/>
              <w:snapToGrid w:val="0"/>
              <w:spacing w:line="300" w:lineRule="auto"/>
              <w:rPr>
                <w:rFonts w:ascii="宋体"/>
                <w:sz w:val="24"/>
              </w:rPr>
            </w:pPr>
          </w:p>
          <w:p>
            <w:pPr>
              <w:tabs>
                <w:tab w:val="left" w:pos="417"/>
              </w:tabs>
              <w:adjustRightInd w:val="0"/>
              <w:snapToGrid w:val="0"/>
              <w:spacing w:line="300" w:lineRule="auto"/>
              <w:rPr>
                <w:rFonts w:ascii="宋体"/>
                <w:sz w:val="24"/>
              </w:rPr>
            </w:pPr>
          </w:p>
          <w:p>
            <w:pPr>
              <w:tabs>
                <w:tab w:val="left" w:pos="417"/>
              </w:tabs>
              <w:adjustRightInd w:val="0"/>
              <w:snapToGrid w:val="0"/>
              <w:spacing w:line="300" w:lineRule="auto"/>
              <w:rPr>
                <w:rFonts w:ascii="宋体"/>
                <w:sz w:val="24"/>
              </w:rPr>
            </w:pPr>
          </w:p>
          <w:p>
            <w:pPr>
              <w:tabs>
                <w:tab w:val="left" w:pos="417"/>
              </w:tabs>
              <w:adjustRightInd w:val="0"/>
              <w:snapToGrid w:val="0"/>
              <w:spacing w:line="300" w:lineRule="auto"/>
              <w:rPr>
                <w:rFonts w:ascii="宋体"/>
                <w:sz w:val="24"/>
              </w:rPr>
            </w:pPr>
          </w:p>
        </w:tc>
      </w:tr>
    </w:tbl>
    <w:p>
      <w:pPr>
        <w:rPr>
          <w:rFonts w:ascii="宋体" w:hAnsi="宋体" w:cs="宋体"/>
        </w:rPr>
      </w:pPr>
      <w:bookmarkStart w:id="1" w:name="_GoBack"/>
      <w:bookmarkEnd w:id="1"/>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Arail">
    <w:altName w:val="微软雅黑"/>
    <w:panose1 w:val="00000000000000000000"/>
    <w:charset w:val="00"/>
    <w:family w:val="auto"/>
    <w:pitch w:val="default"/>
    <w:sig w:usb0="00000000" w:usb1="00000000" w:usb2="00000000" w:usb3="00000000" w:csb0="00040001" w:csb1="00000000"/>
  </w:font>
  <w:font w:name="font-weight : 400">
    <w:altName w:val="Segoe Print"/>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TimesNewRomanPSMT">
    <w:altName w:val="宋体"/>
    <w:panose1 w:val="00000000000000000000"/>
    <w:charset w:val="86"/>
    <w:family w:val="auto"/>
    <w:pitch w:val="default"/>
    <w:sig w:usb0="00000000" w:usb1="00000000" w:usb2="00000010" w:usb3="00000000" w:csb0="00040000" w:csb1="00000000"/>
  </w:font>
  <w:font w:name="MicrosoftYaHei">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7310" cy="153035"/>
              <wp:effectExtent l="0" t="0" r="0" b="0"/>
              <wp:wrapNone/>
              <wp:docPr id="31" name="文本框25"/>
              <wp:cNvGraphicFramePr/>
              <a:graphic xmlns:a="http://schemas.openxmlformats.org/drawingml/2006/main">
                <a:graphicData uri="http://schemas.microsoft.com/office/word/2010/wordprocessingShape">
                  <wps:wsp>
                    <wps:cNvSpPr txBox="1"/>
                    <wps:spPr>
                      <a:xfrm>
                        <a:off x="0" y="0"/>
                        <a:ext cx="67310" cy="15303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8</w:t>
                          </w:r>
                          <w:r>
                            <w:rPr>
                              <w:rFonts w:hint="eastAsia"/>
                              <w:sz w:val="18"/>
                            </w:rPr>
                            <w:fldChar w:fldCharType="end"/>
                          </w:r>
                        </w:p>
                      </w:txbxContent>
                    </wps:txbx>
                    <wps:bodyPr wrap="none" lIns="0" tIns="0" rIns="0" bIns="0" upright="1">
                      <a:spAutoFit/>
                    </wps:bodyPr>
                  </wps:wsp>
                </a:graphicData>
              </a:graphic>
            </wp:anchor>
          </w:drawing>
        </mc:Choice>
        <mc:Fallback>
          <w:pict>
            <v:shape id="文本框25" o:spid="_x0000_s1026" o:spt="202" type="#_x0000_t202" style="position:absolute;left:0pt;margin-top:0pt;height:12.05pt;width:5.3pt;mso-position-horizontal:center;mso-position-horizontal-relative:margin;mso-wrap-style:none;z-index:251658240;mso-width-relative:page;mso-height-relative:page;" filled="f" stroked="f" coordsize="21600,21600" o:gfxdata="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erNUXQAAAA&#10;AwEAAA8AAAAAAAAAAQAgAAAAIgAAAGRycy9kb3ducmV2LnhtbFBLAQIUABQAAAAIAIdO4kDgY2S8&#10;swEAAEkDAAAOAAAAAAAAAAEAIAAAAB8BAABkcnMvZTJvRG9jLnhtbFBLBQYAAAAABgAGAFkBAABE&#10;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8</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1FB23"/>
    <w:multiLevelType w:val="singleLevel"/>
    <w:tmpl w:val="8281FB23"/>
    <w:lvl w:ilvl="0" w:tentative="0">
      <w:start w:val="1"/>
      <w:numFmt w:val="decimal"/>
      <w:suff w:val="nothing"/>
      <w:lvlText w:val="%1、"/>
      <w:lvlJc w:val="left"/>
    </w:lvl>
  </w:abstractNum>
  <w:abstractNum w:abstractNumId="1">
    <w:nsid w:val="ACB69E4D"/>
    <w:multiLevelType w:val="singleLevel"/>
    <w:tmpl w:val="ACB69E4D"/>
    <w:lvl w:ilvl="0" w:tentative="0">
      <w:start w:val="3"/>
      <w:numFmt w:val="decimal"/>
      <w:suff w:val="nothing"/>
      <w:lvlText w:val="%1、"/>
      <w:lvlJc w:val="left"/>
    </w:lvl>
  </w:abstractNum>
  <w:abstractNum w:abstractNumId="2">
    <w:nsid w:val="D7ACE498"/>
    <w:multiLevelType w:val="singleLevel"/>
    <w:tmpl w:val="D7ACE498"/>
    <w:lvl w:ilvl="0" w:tentative="0">
      <w:start w:val="8"/>
      <w:numFmt w:val="decimal"/>
      <w:suff w:val="nothing"/>
      <w:lvlText w:val="%1、"/>
      <w:lvlJc w:val="left"/>
    </w:lvl>
  </w:abstractNum>
  <w:abstractNum w:abstractNumId="3">
    <w:nsid w:val="0CBED41B"/>
    <w:multiLevelType w:val="singleLevel"/>
    <w:tmpl w:val="0CBED41B"/>
    <w:lvl w:ilvl="0" w:tentative="0">
      <w:start w:val="1"/>
      <w:numFmt w:val="chineseCounting"/>
      <w:suff w:val="nothing"/>
      <w:lvlText w:val="%1、"/>
      <w:lvlJc w:val="left"/>
      <w:rPr>
        <w:rFonts w:hint="eastAsia"/>
      </w:rPr>
    </w:lvl>
  </w:abstractNum>
  <w:abstractNum w:abstractNumId="4">
    <w:nsid w:val="5A435020"/>
    <w:multiLevelType w:val="singleLevel"/>
    <w:tmpl w:val="5A435020"/>
    <w:lvl w:ilvl="0" w:tentative="0">
      <w:start w:val="1"/>
      <w:numFmt w:val="decimal"/>
      <w:suff w:val="nothing"/>
      <w:lvlText w:val="%1、"/>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3234"/>
    <w:rsid w:val="00062B07"/>
    <w:rsid w:val="00084AA5"/>
    <w:rsid w:val="00092A78"/>
    <w:rsid w:val="000C1810"/>
    <w:rsid w:val="000E43CE"/>
    <w:rsid w:val="000E44EB"/>
    <w:rsid w:val="000E7C6B"/>
    <w:rsid w:val="0012524B"/>
    <w:rsid w:val="00164AE7"/>
    <w:rsid w:val="0016780B"/>
    <w:rsid w:val="00172A27"/>
    <w:rsid w:val="00192DB4"/>
    <w:rsid w:val="001C5005"/>
    <w:rsid w:val="001D52C6"/>
    <w:rsid w:val="001E3AC9"/>
    <w:rsid w:val="001F422E"/>
    <w:rsid w:val="002341D8"/>
    <w:rsid w:val="00243DC2"/>
    <w:rsid w:val="00251289"/>
    <w:rsid w:val="002624DE"/>
    <w:rsid w:val="002A4EB4"/>
    <w:rsid w:val="002A5784"/>
    <w:rsid w:val="002E37EE"/>
    <w:rsid w:val="002F0266"/>
    <w:rsid w:val="002F1149"/>
    <w:rsid w:val="002F4BF1"/>
    <w:rsid w:val="0031064D"/>
    <w:rsid w:val="00324E33"/>
    <w:rsid w:val="003649A7"/>
    <w:rsid w:val="003729DC"/>
    <w:rsid w:val="0037398C"/>
    <w:rsid w:val="00376A17"/>
    <w:rsid w:val="00377268"/>
    <w:rsid w:val="003815B7"/>
    <w:rsid w:val="00387C77"/>
    <w:rsid w:val="00390642"/>
    <w:rsid w:val="003C30D3"/>
    <w:rsid w:val="003C3DAB"/>
    <w:rsid w:val="003E7695"/>
    <w:rsid w:val="003F2006"/>
    <w:rsid w:val="004011C0"/>
    <w:rsid w:val="00405443"/>
    <w:rsid w:val="004177F5"/>
    <w:rsid w:val="004557FE"/>
    <w:rsid w:val="004722C6"/>
    <w:rsid w:val="00472E54"/>
    <w:rsid w:val="00474BC6"/>
    <w:rsid w:val="00483FBC"/>
    <w:rsid w:val="004A37CD"/>
    <w:rsid w:val="004A4716"/>
    <w:rsid w:val="004A73CD"/>
    <w:rsid w:val="004B17FE"/>
    <w:rsid w:val="004B37D4"/>
    <w:rsid w:val="004C0687"/>
    <w:rsid w:val="004C1461"/>
    <w:rsid w:val="004F24BE"/>
    <w:rsid w:val="004F55FB"/>
    <w:rsid w:val="0050397F"/>
    <w:rsid w:val="00503B0A"/>
    <w:rsid w:val="00504F33"/>
    <w:rsid w:val="0051717A"/>
    <w:rsid w:val="00527536"/>
    <w:rsid w:val="00527897"/>
    <w:rsid w:val="00557F33"/>
    <w:rsid w:val="0058000B"/>
    <w:rsid w:val="00582806"/>
    <w:rsid w:val="00583AA8"/>
    <w:rsid w:val="00584540"/>
    <w:rsid w:val="005A10CD"/>
    <w:rsid w:val="005A4314"/>
    <w:rsid w:val="005D6332"/>
    <w:rsid w:val="005F4935"/>
    <w:rsid w:val="005F61A4"/>
    <w:rsid w:val="006034C5"/>
    <w:rsid w:val="00615FF7"/>
    <w:rsid w:val="00644D51"/>
    <w:rsid w:val="00646445"/>
    <w:rsid w:val="006509D5"/>
    <w:rsid w:val="00652B95"/>
    <w:rsid w:val="00671FB5"/>
    <w:rsid w:val="0067408A"/>
    <w:rsid w:val="0068424A"/>
    <w:rsid w:val="0068563B"/>
    <w:rsid w:val="0068756B"/>
    <w:rsid w:val="006947B5"/>
    <w:rsid w:val="00696391"/>
    <w:rsid w:val="006A10EC"/>
    <w:rsid w:val="006D34CB"/>
    <w:rsid w:val="00735004"/>
    <w:rsid w:val="00736299"/>
    <w:rsid w:val="007400A5"/>
    <w:rsid w:val="007507E5"/>
    <w:rsid w:val="00794DFB"/>
    <w:rsid w:val="007A59CA"/>
    <w:rsid w:val="007D3804"/>
    <w:rsid w:val="007E230D"/>
    <w:rsid w:val="007E788C"/>
    <w:rsid w:val="007F4D47"/>
    <w:rsid w:val="00800EDC"/>
    <w:rsid w:val="008067A4"/>
    <w:rsid w:val="00813ACA"/>
    <w:rsid w:val="00816828"/>
    <w:rsid w:val="00825407"/>
    <w:rsid w:val="0083571D"/>
    <w:rsid w:val="008371FB"/>
    <w:rsid w:val="008452DA"/>
    <w:rsid w:val="0084707F"/>
    <w:rsid w:val="00850A7E"/>
    <w:rsid w:val="0087089C"/>
    <w:rsid w:val="00886FAC"/>
    <w:rsid w:val="008A764F"/>
    <w:rsid w:val="008B7077"/>
    <w:rsid w:val="00912226"/>
    <w:rsid w:val="00921845"/>
    <w:rsid w:val="0092260F"/>
    <w:rsid w:val="0092592A"/>
    <w:rsid w:val="00943EAD"/>
    <w:rsid w:val="009530A0"/>
    <w:rsid w:val="00981154"/>
    <w:rsid w:val="00985ABA"/>
    <w:rsid w:val="009C11A4"/>
    <w:rsid w:val="009C13DA"/>
    <w:rsid w:val="009C4BB5"/>
    <w:rsid w:val="009C6F2F"/>
    <w:rsid w:val="009D1116"/>
    <w:rsid w:val="009E5905"/>
    <w:rsid w:val="00A244F0"/>
    <w:rsid w:val="00A4569D"/>
    <w:rsid w:val="00A5027F"/>
    <w:rsid w:val="00A63C8F"/>
    <w:rsid w:val="00A6511A"/>
    <w:rsid w:val="00A65C14"/>
    <w:rsid w:val="00A90375"/>
    <w:rsid w:val="00A9195B"/>
    <w:rsid w:val="00A9463A"/>
    <w:rsid w:val="00AA4E5D"/>
    <w:rsid w:val="00AB5410"/>
    <w:rsid w:val="00AC7FA9"/>
    <w:rsid w:val="00AD55AD"/>
    <w:rsid w:val="00AE424F"/>
    <w:rsid w:val="00AE7437"/>
    <w:rsid w:val="00B17706"/>
    <w:rsid w:val="00B23AF1"/>
    <w:rsid w:val="00B23DCA"/>
    <w:rsid w:val="00B33A4E"/>
    <w:rsid w:val="00B33D18"/>
    <w:rsid w:val="00B81886"/>
    <w:rsid w:val="00B842F5"/>
    <w:rsid w:val="00B91EBB"/>
    <w:rsid w:val="00B94C60"/>
    <w:rsid w:val="00BB6273"/>
    <w:rsid w:val="00BC6E73"/>
    <w:rsid w:val="00BC72A3"/>
    <w:rsid w:val="00BE10B9"/>
    <w:rsid w:val="00BE6EAD"/>
    <w:rsid w:val="00C017D0"/>
    <w:rsid w:val="00C100EF"/>
    <w:rsid w:val="00C43A39"/>
    <w:rsid w:val="00C57D8F"/>
    <w:rsid w:val="00C64F13"/>
    <w:rsid w:val="00C820C8"/>
    <w:rsid w:val="00C85375"/>
    <w:rsid w:val="00CA1A8F"/>
    <w:rsid w:val="00CC58E3"/>
    <w:rsid w:val="00CD400B"/>
    <w:rsid w:val="00D2118D"/>
    <w:rsid w:val="00D21418"/>
    <w:rsid w:val="00D47B41"/>
    <w:rsid w:val="00D50922"/>
    <w:rsid w:val="00D65819"/>
    <w:rsid w:val="00D77D42"/>
    <w:rsid w:val="00D824FA"/>
    <w:rsid w:val="00D86DF1"/>
    <w:rsid w:val="00DA3657"/>
    <w:rsid w:val="00DB446E"/>
    <w:rsid w:val="00DC09D1"/>
    <w:rsid w:val="00DD01BF"/>
    <w:rsid w:val="00DD7B72"/>
    <w:rsid w:val="00DF0707"/>
    <w:rsid w:val="00E01226"/>
    <w:rsid w:val="00E06595"/>
    <w:rsid w:val="00E0665C"/>
    <w:rsid w:val="00E5127A"/>
    <w:rsid w:val="00E60CB1"/>
    <w:rsid w:val="00E630F7"/>
    <w:rsid w:val="00E81E1F"/>
    <w:rsid w:val="00E91F6F"/>
    <w:rsid w:val="00EA3E36"/>
    <w:rsid w:val="00EA7649"/>
    <w:rsid w:val="00EB2BDA"/>
    <w:rsid w:val="00EC271C"/>
    <w:rsid w:val="00EE5E0B"/>
    <w:rsid w:val="00EF286D"/>
    <w:rsid w:val="00EF5821"/>
    <w:rsid w:val="00F06BFC"/>
    <w:rsid w:val="00F3628A"/>
    <w:rsid w:val="00F37FFE"/>
    <w:rsid w:val="00F45CD9"/>
    <w:rsid w:val="00F54D93"/>
    <w:rsid w:val="00F638D0"/>
    <w:rsid w:val="00F671EB"/>
    <w:rsid w:val="00F75F39"/>
    <w:rsid w:val="00F767A7"/>
    <w:rsid w:val="00F84A11"/>
    <w:rsid w:val="00FB799C"/>
    <w:rsid w:val="00FC2D6B"/>
    <w:rsid w:val="00FD7D89"/>
    <w:rsid w:val="00FE2623"/>
    <w:rsid w:val="00FE3D06"/>
    <w:rsid w:val="00FF76A2"/>
    <w:rsid w:val="010227DC"/>
    <w:rsid w:val="010749A5"/>
    <w:rsid w:val="01086276"/>
    <w:rsid w:val="010C0545"/>
    <w:rsid w:val="0123016A"/>
    <w:rsid w:val="013215A4"/>
    <w:rsid w:val="01502992"/>
    <w:rsid w:val="019A6EAF"/>
    <w:rsid w:val="01BF5DB0"/>
    <w:rsid w:val="01CB767E"/>
    <w:rsid w:val="01D027EB"/>
    <w:rsid w:val="01D53811"/>
    <w:rsid w:val="01D6001B"/>
    <w:rsid w:val="021D26C5"/>
    <w:rsid w:val="02262316"/>
    <w:rsid w:val="02320327"/>
    <w:rsid w:val="02392643"/>
    <w:rsid w:val="023D4244"/>
    <w:rsid w:val="025B2A77"/>
    <w:rsid w:val="02607B71"/>
    <w:rsid w:val="02807FD1"/>
    <w:rsid w:val="028832B4"/>
    <w:rsid w:val="029A6A52"/>
    <w:rsid w:val="02BC0565"/>
    <w:rsid w:val="02C62D99"/>
    <w:rsid w:val="02D85381"/>
    <w:rsid w:val="02E87E56"/>
    <w:rsid w:val="02EC78A3"/>
    <w:rsid w:val="0301048D"/>
    <w:rsid w:val="030C6B2E"/>
    <w:rsid w:val="032D5F46"/>
    <w:rsid w:val="032D7BE9"/>
    <w:rsid w:val="0343506D"/>
    <w:rsid w:val="034B0512"/>
    <w:rsid w:val="034B6875"/>
    <w:rsid w:val="0356048A"/>
    <w:rsid w:val="03681FA8"/>
    <w:rsid w:val="036D482C"/>
    <w:rsid w:val="03722600"/>
    <w:rsid w:val="037D7B00"/>
    <w:rsid w:val="03887146"/>
    <w:rsid w:val="038F48F5"/>
    <w:rsid w:val="03A27284"/>
    <w:rsid w:val="03B01985"/>
    <w:rsid w:val="03B6091F"/>
    <w:rsid w:val="03C91782"/>
    <w:rsid w:val="03EA1ACB"/>
    <w:rsid w:val="03F67AE6"/>
    <w:rsid w:val="040171F1"/>
    <w:rsid w:val="04101B17"/>
    <w:rsid w:val="042D3644"/>
    <w:rsid w:val="04344A3D"/>
    <w:rsid w:val="04581D9F"/>
    <w:rsid w:val="046702C7"/>
    <w:rsid w:val="04877F3B"/>
    <w:rsid w:val="0495125E"/>
    <w:rsid w:val="04A37FDC"/>
    <w:rsid w:val="04A879CE"/>
    <w:rsid w:val="04B80465"/>
    <w:rsid w:val="04C718D0"/>
    <w:rsid w:val="04C763C4"/>
    <w:rsid w:val="04D251A0"/>
    <w:rsid w:val="04D52A52"/>
    <w:rsid w:val="04D67D24"/>
    <w:rsid w:val="04DE3E8A"/>
    <w:rsid w:val="04E8539D"/>
    <w:rsid w:val="04E940BF"/>
    <w:rsid w:val="050D321D"/>
    <w:rsid w:val="05176B55"/>
    <w:rsid w:val="05273C75"/>
    <w:rsid w:val="052A3888"/>
    <w:rsid w:val="05344197"/>
    <w:rsid w:val="053E2528"/>
    <w:rsid w:val="055E085F"/>
    <w:rsid w:val="055F3EAB"/>
    <w:rsid w:val="05644393"/>
    <w:rsid w:val="05750484"/>
    <w:rsid w:val="05761A1B"/>
    <w:rsid w:val="057C7331"/>
    <w:rsid w:val="05C43691"/>
    <w:rsid w:val="05CC560F"/>
    <w:rsid w:val="05D00779"/>
    <w:rsid w:val="05DC5B3D"/>
    <w:rsid w:val="061B7980"/>
    <w:rsid w:val="061C08CB"/>
    <w:rsid w:val="06306679"/>
    <w:rsid w:val="06385FC4"/>
    <w:rsid w:val="064176DC"/>
    <w:rsid w:val="06441B68"/>
    <w:rsid w:val="065105C4"/>
    <w:rsid w:val="06625BD3"/>
    <w:rsid w:val="06661F8B"/>
    <w:rsid w:val="066B71C6"/>
    <w:rsid w:val="06904454"/>
    <w:rsid w:val="069375C0"/>
    <w:rsid w:val="069B1888"/>
    <w:rsid w:val="069B3D33"/>
    <w:rsid w:val="06B936B3"/>
    <w:rsid w:val="06BC2041"/>
    <w:rsid w:val="06C91809"/>
    <w:rsid w:val="06DB33F8"/>
    <w:rsid w:val="06F918EA"/>
    <w:rsid w:val="07117EA5"/>
    <w:rsid w:val="071B5353"/>
    <w:rsid w:val="07204C3C"/>
    <w:rsid w:val="072D57A5"/>
    <w:rsid w:val="072E7434"/>
    <w:rsid w:val="07366004"/>
    <w:rsid w:val="073B6AEB"/>
    <w:rsid w:val="076E27BD"/>
    <w:rsid w:val="07786950"/>
    <w:rsid w:val="077B67C5"/>
    <w:rsid w:val="07944BFB"/>
    <w:rsid w:val="079F6CB3"/>
    <w:rsid w:val="07A92650"/>
    <w:rsid w:val="07CB69B1"/>
    <w:rsid w:val="07D37F63"/>
    <w:rsid w:val="07DB7F91"/>
    <w:rsid w:val="0805422F"/>
    <w:rsid w:val="080969C3"/>
    <w:rsid w:val="0823486A"/>
    <w:rsid w:val="083D5CB9"/>
    <w:rsid w:val="083F7C99"/>
    <w:rsid w:val="084724A0"/>
    <w:rsid w:val="085113F7"/>
    <w:rsid w:val="08575FBE"/>
    <w:rsid w:val="08611B38"/>
    <w:rsid w:val="086E6FC8"/>
    <w:rsid w:val="08770A71"/>
    <w:rsid w:val="08963270"/>
    <w:rsid w:val="0897084E"/>
    <w:rsid w:val="08A1169E"/>
    <w:rsid w:val="08A13AF9"/>
    <w:rsid w:val="08AC34C9"/>
    <w:rsid w:val="08B60044"/>
    <w:rsid w:val="08C94FF8"/>
    <w:rsid w:val="08CB6DA9"/>
    <w:rsid w:val="08CD39FE"/>
    <w:rsid w:val="08FB54E0"/>
    <w:rsid w:val="08FC479C"/>
    <w:rsid w:val="091031EE"/>
    <w:rsid w:val="091A4D0A"/>
    <w:rsid w:val="091B07A7"/>
    <w:rsid w:val="09296715"/>
    <w:rsid w:val="09317E9F"/>
    <w:rsid w:val="09390B2F"/>
    <w:rsid w:val="09487BAA"/>
    <w:rsid w:val="094E4F36"/>
    <w:rsid w:val="095C586C"/>
    <w:rsid w:val="095D3909"/>
    <w:rsid w:val="096554FB"/>
    <w:rsid w:val="0966617B"/>
    <w:rsid w:val="0971023E"/>
    <w:rsid w:val="097E0316"/>
    <w:rsid w:val="09860A78"/>
    <w:rsid w:val="09A53162"/>
    <w:rsid w:val="09A76BE4"/>
    <w:rsid w:val="09BE680A"/>
    <w:rsid w:val="09C76309"/>
    <w:rsid w:val="09CF6AA4"/>
    <w:rsid w:val="09D91571"/>
    <w:rsid w:val="09EC4A41"/>
    <w:rsid w:val="09ED4F75"/>
    <w:rsid w:val="09EE25F2"/>
    <w:rsid w:val="09FE0F16"/>
    <w:rsid w:val="0A12370B"/>
    <w:rsid w:val="0A2A393B"/>
    <w:rsid w:val="0A3A19D7"/>
    <w:rsid w:val="0A3D76B6"/>
    <w:rsid w:val="0A5F2B10"/>
    <w:rsid w:val="0A6A0302"/>
    <w:rsid w:val="0A6B2816"/>
    <w:rsid w:val="0A830A65"/>
    <w:rsid w:val="0A891756"/>
    <w:rsid w:val="0A9648DF"/>
    <w:rsid w:val="0AA238ED"/>
    <w:rsid w:val="0AA55803"/>
    <w:rsid w:val="0AC81CE9"/>
    <w:rsid w:val="0AE157B3"/>
    <w:rsid w:val="0AE230E9"/>
    <w:rsid w:val="0AE43A13"/>
    <w:rsid w:val="0AFE4F3A"/>
    <w:rsid w:val="0B0645A2"/>
    <w:rsid w:val="0B066CDA"/>
    <w:rsid w:val="0B0B0A2A"/>
    <w:rsid w:val="0B2A22AD"/>
    <w:rsid w:val="0B57769F"/>
    <w:rsid w:val="0B686B1C"/>
    <w:rsid w:val="0B746E64"/>
    <w:rsid w:val="0B7A4561"/>
    <w:rsid w:val="0B7D5130"/>
    <w:rsid w:val="0B7F459C"/>
    <w:rsid w:val="0B845F8B"/>
    <w:rsid w:val="0B8C54A5"/>
    <w:rsid w:val="0B906705"/>
    <w:rsid w:val="0BA35725"/>
    <w:rsid w:val="0BA869B1"/>
    <w:rsid w:val="0BB83B8A"/>
    <w:rsid w:val="0BBF1D93"/>
    <w:rsid w:val="0BC07254"/>
    <w:rsid w:val="0BF6772E"/>
    <w:rsid w:val="0C0C7FE8"/>
    <w:rsid w:val="0C1F4015"/>
    <w:rsid w:val="0C3E7B22"/>
    <w:rsid w:val="0C3F6FFF"/>
    <w:rsid w:val="0C43782D"/>
    <w:rsid w:val="0C4C5A9C"/>
    <w:rsid w:val="0C536BE7"/>
    <w:rsid w:val="0C670215"/>
    <w:rsid w:val="0C682513"/>
    <w:rsid w:val="0C6C68D1"/>
    <w:rsid w:val="0C817DF2"/>
    <w:rsid w:val="0C837A3F"/>
    <w:rsid w:val="0C8C717B"/>
    <w:rsid w:val="0CAA7D26"/>
    <w:rsid w:val="0CB833DF"/>
    <w:rsid w:val="0CBE5FEC"/>
    <w:rsid w:val="0CC7045E"/>
    <w:rsid w:val="0CC75B1C"/>
    <w:rsid w:val="0CCD0037"/>
    <w:rsid w:val="0CE45724"/>
    <w:rsid w:val="0CED76BE"/>
    <w:rsid w:val="0CF2414E"/>
    <w:rsid w:val="0CF410FB"/>
    <w:rsid w:val="0D132D0B"/>
    <w:rsid w:val="0D451C1E"/>
    <w:rsid w:val="0D641328"/>
    <w:rsid w:val="0D72249E"/>
    <w:rsid w:val="0D7A2CCF"/>
    <w:rsid w:val="0D8603C0"/>
    <w:rsid w:val="0D8938A1"/>
    <w:rsid w:val="0D9E7236"/>
    <w:rsid w:val="0DBE6D1A"/>
    <w:rsid w:val="0DCA2B2C"/>
    <w:rsid w:val="0DF209E5"/>
    <w:rsid w:val="0DF77CF5"/>
    <w:rsid w:val="0E230A3B"/>
    <w:rsid w:val="0E3B7968"/>
    <w:rsid w:val="0E3C1B66"/>
    <w:rsid w:val="0E411DD6"/>
    <w:rsid w:val="0E4C44F0"/>
    <w:rsid w:val="0E5014A7"/>
    <w:rsid w:val="0E6E3613"/>
    <w:rsid w:val="0E8E66B4"/>
    <w:rsid w:val="0EA66B23"/>
    <w:rsid w:val="0EAD1A60"/>
    <w:rsid w:val="0EBB4894"/>
    <w:rsid w:val="0EBE46BE"/>
    <w:rsid w:val="0ED25B24"/>
    <w:rsid w:val="0EEF4B88"/>
    <w:rsid w:val="0EF44925"/>
    <w:rsid w:val="0EFB1A10"/>
    <w:rsid w:val="0F1E5F78"/>
    <w:rsid w:val="0F2130DE"/>
    <w:rsid w:val="0F2C306C"/>
    <w:rsid w:val="0F316BFB"/>
    <w:rsid w:val="0F3D4891"/>
    <w:rsid w:val="0F3F750D"/>
    <w:rsid w:val="0F477EF4"/>
    <w:rsid w:val="0F5613B9"/>
    <w:rsid w:val="0F7C5D76"/>
    <w:rsid w:val="0F830D73"/>
    <w:rsid w:val="0F8B49C5"/>
    <w:rsid w:val="0F8D6BA2"/>
    <w:rsid w:val="0F8E17A1"/>
    <w:rsid w:val="0F952374"/>
    <w:rsid w:val="0FA57D90"/>
    <w:rsid w:val="0FC264EA"/>
    <w:rsid w:val="0FD4375E"/>
    <w:rsid w:val="0FDA7B9D"/>
    <w:rsid w:val="100B74F8"/>
    <w:rsid w:val="100E52E5"/>
    <w:rsid w:val="103108E1"/>
    <w:rsid w:val="104120B0"/>
    <w:rsid w:val="1041483A"/>
    <w:rsid w:val="10486DAB"/>
    <w:rsid w:val="106D2193"/>
    <w:rsid w:val="1077066B"/>
    <w:rsid w:val="10771491"/>
    <w:rsid w:val="1091203B"/>
    <w:rsid w:val="109A3E52"/>
    <w:rsid w:val="109B03CC"/>
    <w:rsid w:val="109C3C4F"/>
    <w:rsid w:val="109D7C8C"/>
    <w:rsid w:val="10B10371"/>
    <w:rsid w:val="10E82AFD"/>
    <w:rsid w:val="10EB7206"/>
    <w:rsid w:val="10F3685C"/>
    <w:rsid w:val="10F40B62"/>
    <w:rsid w:val="10F41309"/>
    <w:rsid w:val="111E5122"/>
    <w:rsid w:val="112441D8"/>
    <w:rsid w:val="11296D36"/>
    <w:rsid w:val="113E3458"/>
    <w:rsid w:val="114214B3"/>
    <w:rsid w:val="11455CEB"/>
    <w:rsid w:val="114C5FF1"/>
    <w:rsid w:val="118A1B4C"/>
    <w:rsid w:val="118A2253"/>
    <w:rsid w:val="11A02E23"/>
    <w:rsid w:val="11AD7A4B"/>
    <w:rsid w:val="11B54A9B"/>
    <w:rsid w:val="11C170F3"/>
    <w:rsid w:val="11F62C07"/>
    <w:rsid w:val="11F961A6"/>
    <w:rsid w:val="120425D7"/>
    <w:rsid w:val="120D0D2E"/>
    <w:rsid w:val="120E2546"/>
    <w:rsid w:val="12180BBD"/>
    <w:rsid w:val="12197F41"/>
    <w:rsid w:val="12215242"/>
    <w:rsid w:val="122327D1"/>
    <w:rsid w:val="12236F4E"/>
    <w:rsid w:val="124D3615"/>
    <w:rsid w:val="125B6A67"/>
    <w:rsid w:val="125C5080"/>
    <w:rsid w:val="12706EAD"/>
    <w:rsid w:val="1279795D"/>
    <w:rsid w:val="1296630C"/>
    <w:rsid w:val="12995C93"/>
    <w:rsid w:val="129D235E"/>
    <w:rsid w:val="12AB39AF"/>
    <w:rsid w:val="12CB3EE4"/>
    <w:rsid w:val="12CC1965"/>
    <w:rsid w:val="12DB66FD"/>
    <w:rsid w:val="12E138CF"/>
    <w:rsid w:val="12E60311"/>
    <w:rsid w:val="12F066A2"/>
    <w:rsid w:val="12F32487"/>
    <w:rsid w:val="1331710B"/>
    <w:rsid w:val="133C3D47"/>
    <w:rsid w:val="134D3BB8"/>
    <w:rsid w:val="136251B4"/>
    <w:rsid w:val="137037B2"/>
    <w:rsid w:val="1377219E"/>
    <w:rsid w:val="13802795"/>
    <w:rsid w:val="13935EAB"/>
    <w:rsid w:val="13A95FDD"/>
    <w:rsid w:val="13B82BAC"/>
    <w:rsid w:val="13BE4771"/>
    <w:rsid w:val="13CA3E07"/>
    <w:rsid w:val="13E36C46"/>
    <w:rsid w:val="13EB653A"/>
    <w:rsid w:val="13F74A3A"/>
    <w:rsid w:val="140B4870"/>
    <w:rsid w:val="140C06F2"/>
    <w:rsid w:val="14105E63"/>
    <w:rsid w:val="14236C33"/>
    <w:rsid w:val="14427CFA"/>
    <w:rsid w:val="147719A1"/>
    <w:rsid w:val="14782CA6"/>
    <w:rsid w:val="1483504C"/>
    <w:rsid w:val="14861E14"/>
    <w:rsid w:val="148F7B4F"/>
    <w:rsid w:val="14A7113A"/>
    <w:rsid w:val="14AA2C73"/>
    <w:rsid w:val="14B474D1"/>
    <w:rsid w:val="14B66BE3"/>
    <w:rsid w:val="14BD76C0"/>
    <w:rsid w:val="14D41384"/>
    <w:rsid w:val="14F40071"/>
    <w:rsid w:val="14F9173E"/>
    <w:rsid w:val="14FB5FD3"/>
    <w:rsid w:val="14FB79FC"/>
    <w:rsid w:val="14FD2EFF"/>
    <w:rsid w:val="15010E9E"/>
    <w:rsid w:val="151E0BAF"/>
    <w:rsid w:val="152A35B0"/>
    <w:rsid w:val="1537283E"/>
    <w:rsid w:val="1543604A"/>
    <w:rsid w:val="15517A9E"/>
    <w:rsid w:val="15663828"/>
    <w:rsid w:val="157902CA"/>
    <w:rsid w:val="15861B5E"/>
    <w:rsid w:val="15987F8B"/>
    <w:rsid w:val="15A83398"/>
    <w:rsid w:val="15B25EA5"/>
    <w:rsid w:val="15BF2FBD"/>
    <w:rsid w:val="15C0516C"/>
    <w:rsid w:val="15CD44D1"/>
    <w:rsid w:val="15D46CE4"/>
    <w:rsid w:val="15DA37E6"/>
    <w:rsid w:val="15DA7E04"/>
    <w:rsid w:val="15DD3368"/>
    <w:rsid w:val="15DE3F67"/>
    <w:rsid w:val="15EB2EB5"/>
    <w:rsid w:val="15EE354A"/>
    <w:rsid w:val="15F3690F"/>
    <w:rsid w:val="15FE7B65"/>
    <w:rsid w:val="1607153E"/>
    <w:rsid w:val="16290048"/>
    <w:rsid w:val="162B7D3C"/>
    <w:rsid w:val="162E0B22"/>
    <w:rsid w:val="164704A3"/>
    <w:rsid w:val="165D633E"/>
    <w:rsid w:val="165F72C3"/>
    <w:rsid w:val="167E7D19"/>
    <w:rsid w:val="16830E55"/>
    <w:rsid w:val="168358DE"/>
    <w:rsid w:val="168503D6"/>
    <w:rsid w:val="1696199B"/>
    <w:rsid w:val="169F00AC"/>
    <w:rsid w:val="16A279DB"/>
    <w:rsid w:val="16A641B4"/>
    <w:rsid w:val="16A77AEF"/>
    <w:rsid w:val="16AA5916"/>
    <w:rsid w:val="16B433C5"/>
    <w:rsid w:val="16BC7776"/>
    <w:rsid w:val="17083146"/>
    <w:rsid w:val="170D06E0"/>
    <w:rsid w:val="17241610"/>
    <w:rsid w:val="172E194C"/>
    <w:rsid w:val="172F4118"/>
    <w:rsid w:val="173477C0"/>
    <w:rsid w:val="17365CD7"/>
    <w:rsid w:val="173C59AC"/>
    <w:rsid w:val="174278B6"/>
    <w:rsid w:val="174746BD"/>
    <w:rsid w:val="174F3A55"/>
    <w:rsid w:val="17513299"/>
    <w:rsid w:val="175E1151"/>
    <w:rsid w:val="17905436"/>
    <w:rsid w:val="17AF76C6"/>
    <w:rsid w:val="17B07807"/>
    <w:rsid w:val="17B83363"/>
    <w:rsid w:val="17B87925"/>
    <w:rsid w:val="17BA2121"/>
    <w:rsid w:val="17C944C1"/>
    <w:rsid w:val="17CD676D"/>
    <w:rsid w:val="17D04BC6"/>
    <w:rsid w:val="17D15EA0"/>
    <w:rsid w:val="17DC7AB4"/>
    <w:rsid w:val="17DF1E0F"/>
    <w:rsid w:val="17E84602"/>
    <w:rsid w:val="17F13BB9"/>
    <w:rsid w:val="17F376D9"/>
    <w:rsid w:val="17FC20AB"/>
    <w:rsid w:val="17FD7A37"/>
    <w:rsid w:val="18173EEB"/>
    <w:rsid w:val="18191B17"/>
    <w:rsid w:val="181B0BB6"/>
    <w:rsid w:val="182670F9"/>
    <w:rsid w:val="1835341F"/>
    <w:rsid w:val="186C57DB"/>
    <w:rsid w:val="18763874"/>
    <w:rsid w:val="187767CC"/>
    <w:rsid w:val="18940D6C"/>
    <w:rsid w:val="189C7AF7"/>
    <w:rsid w:val="18AE58E1"/>
    <w:rsid w:val="18B77DFE"/>
    <w:rsid w:val="18CE6BA2"/>
    <w:rsid w:val="18DC6C95"/>
    <w:rsid w:val="18EB7C71"/>
    <w:rsid w:val="18F024E7"/>
    <w:rsid w:val="19030AE2"/>
    <w:rsid w:val="19533D68"/>
    <w:rsid w:val="1955065F"/>
    <w:rsid w:val="19574DA2"/>
    <w:rsid w:val="197A14BB"/>
    <w:rsid w:val="197A1F0C"/>
    <w:rsid w:val="198E1B3F"/>
    <w:rsid w:val="19903A0A"/>
    <w:rsid w:val="19951621"/>
    <w:rsid w:val="19A62B20"/>
    <w:rsid w:val="19BD2028"/>
    <w:rsid w:val="19C65209"/>
    <w:rsid w:val="19C713D2"/>
    <w:rsid w:val="19CF3767"/>
    <w:rsid w:val="19EC7784"/>
    <w:rsid w:val="19EF621A"/>
    <w:rsid w:val="19FB3474"/>
    <w:rsid w:val="19FB7CCE"/>
    <w:rsid w:val="1A034EBB"/>
    <w:rsid w:val="1A0B22C7"/>
    <w:rsid w:val="1A302507"/>
    <w:rsid w:val="1A370C7F"/>
    <w:rsid w:val="1A386E3B"/>
    <w:rsid w:val="1A500892"/>
    <w:rsid w:val="1A5026C8"/>
    <w:rsid w:val="1A52734D"/>
    <w:rsid w:val="1A5955F6"/>
    <w:rsid w:val="1A5A58C9"/>
    <w:rsid w:val="1A5A7091"/>
    <w:rsid w:val="1A5D02F6"/>
    <w:rsid w:val="1A5D684E"/>
    <w:rsid w:val="1A721B2C"/>
    <w:rsid w:val="1A8B1D09"/>
    <w:rsid w:val="1A915A83"/>
    <w:rsid w:val="1A936D28"/>
    <w:rsid w:val="1A9C6719"/>
    <w:rsid w:val="1A9D51AB"/>
    <w:rsid w:val="1AA15B67"/>
    <w:rsid w:val="1AA36B5A"/>
    <w:rsid w:val="1AB25DD7"/>
    <w:rsid w:val="1ABD7B6C"/>
    <w:rsid w:val="1AC669BE"/>
    <w:rsid w:val="1AD90D56"/>
    <w:rsid w:val="1AE37A26"/>
    <w:rsid w:val="1B06689B"/>
    <w:rsid w:val="1B0A50D1"/>
    <w:rsid w:val="1B142779"/>
    <w:rsid w:val="1B1C41EA"/>
    <w:rsid w:val="1B1C7B86"/>
    <w:rsid w:val="1B475EF4"/>
    <w:rsid w:val="1B4B06D5"/>
    <w:rsid w:val="1B54471C"/>
    <w:rsid w:val="1B5622E9"/>
    <w:rsid w:val="1B604DF7"/>
    <w:rsid w:val="1B904CDA"/>
    <w:rsid w:val="1BA334FB"/>
    <w:rsid w:val="1BAE1FE0"/>
    <w:rsid w:val="1BBB68BA"/>
    <w:rsid w:val="1BBD2F92"/>
    <w:rsid w:val="1BDA3C2C"/>
    <w:rsid w:val="1BE94464"/>
    <w:rsid w:val="1BF76167"/>
    <w:rsid w:val="1BFD7C58"/>
    <w:rsid w:val="1C0773EB"/>
    <w:rsid w:val="1C1439A1"/>
    <w:rsid w:val="1C547C18"/>
    <w:rsid w:val="1C587D27"/>
    <w:rsid w:val="1C5F76E9"/>
    <w:rsid w:val="1C656C23"/>
    <w:rsid w:val="1C7A6BC9"/>
    <w:rsid w:val="1C7B464A"/>
    <w:rsid w:val="1C7C19D8"/>
    <w:rsid w:val="1C966826"/>
    <w:rsid w:val="1CDE662C"/>
    <w:rsid w:val="1CFA5A1C"/>
    <w:rsid w:val="1CFD009B"/>
    <w:rsid w:val="1D0C28B4"/>
    <w:rsid w:val="1D122E0C"/>
    <w:rsid w:val="1D384BE7"/>
    <w:rsid w:val="1D3D09D7"/>
    <w:rsid w:val="1D422FA4"/>
    <w:rsid w:val="1D5C3938"/>
    <w:rsid w:val="1D6436AC"/>
    <w:rsid w:val="1D653FBA"/>
    <w:rsid w:val="1D7574DB"/>
    <w:rsid w:val="1D7E44DD"/>
    <w:rsid w:val="1D804DF1"/>
    <w:rsid w:val="1D9D79AD"/>
    <w:rsid w:val="1DA366A5"/>
    <w:rsid w:val="1DB23DF6"/>
    <w:rsid w:val="1DB4564C"/>
    <w:rsid w:val="1DB530CD"/>
    <w:rsid w:val="1DB56FBF"/>
    <w:rsid w:val="1DB71330"/>
    <w:rsid w:val="1DC16EE0"/>
    <w:rsid w:val="1DCF5298"/>
    <w:rsid w:val="1DE82EC6"/>
    <w:rsid w:val="1DEC1F22"/>
    <w:rsid w:val="1DF94ABB"/>
    <w:rsid w:val="1E3F6E1F"/>
    <w:rsid w:val="1E685653"/>
    <w:rsid w:val="1E6C1C31"/>
    <w:rsid w:val="1E6D287C"/>
    <w:rsid w:val="1E79088D"/>
    <w:rsid w:val="1E8E4C7D"/>
    <w:rsid w:val="1EA62F42"/>
    <w:rsid w:val="1EA679B8"/>
    <w:rsid w:val="1EC916F6"/>
    <w:rsid w:val="1EE94949"/>
    <w:rsid w:val="1EF254EE"/>
    <w:rsid w:val="1EF63FA1"/>
    <w:rsid w:val="1F163A80"/>
    <w:rsid w:val="1F240D25"/>
    <w:rsid w:val="1F254F93"/>
    <w:rsid w:val="1F2A653C"/>
    <w:rsid w:val="1F2C1ABC"/>
    <w:rsid w:val="1F3E492E"/>
    <w:rsid w:val="1F5A07DA"/>
    <w:rsid w:val="1F5A4C24"/>
    <w:rsid w:val="1F5E4382"/>
    <w:rsid w:val="1F7678A8"/>
    <w:rsid w:val="1F823556"/>
    <w:rsid w:val="1F8A588E"/>
    <w:rsid w:val="1F9D516C"/>
    <w:rsid w:val="1FB00ACA"/>
    <w:rsid w:val="1FB44D91"/>
    <w:rsid w:val="1FC04427"/>
    <w:rsid w:val="1FEB5F2C"/>
    <w:rsid w:val="1FF45B7B"/>
    <w:rsid w:val="1FFC2F87"/>
    <w:rsid w:val="1FFF3F0C"/>
    <w:rsid w:val="20163B31"/>
    <w:rsid w:val="202B6621"/>
    <w:rsid w:val="2031731D"/>
    <w:rsid w:val="203543E6"/>
    <w:rsid w:val="20386D8F"/>
    <w:rsid w:val="204128A4"/>
    <w:rsid w:val="204321BC"/>
    <w:rsid w:val="20563F24"/>
    <w:rsid w:val="20651017"/>
    <w:rsid w:val="207825CD"/>
    <w:rsid w:val="20845461"/>
    <w:rsid w:val="20863ED5"/>
    <w:rsid w:val="20910519"/>
    <w:rsid w:val="20970C07"/>
    <w:rsid w:val="20A36C18"/>
    <w:rsid w:val="20A510BE"/>
    <w:rsid w:val="20AC1AA6"/>
    <w:rsid w:val="20C751D2"/>
    <w:rsid w:val="20CE32DF"/>
    <w:rsid w:val="20D5026F"/>
    <w:rsid w:val="20D53A59"/>
    <w:rsid w:val="20DE174D"/>
    <w:rsid w:val="20E166EE"/>
    <w:rsid w:val="20E56788"/>
    <w:rsid w:val="20EA48AE"/>
    <w:rsid w:val="20EE1616"/>
    <w:rsid w:val="20F71F25"/>
    <w:rsid w:val="20FC0C3E"/>
    <w:rsid w:val="21245812"/>
    <w:rsid w:val="213502CB"/>
    <w:rsid w:val="21407D9B"/>
    <w:rsid w:val="214F03B6"/>
    <w:rsid w:val="2171636C"/>
    <w:rsid w:val="217B1907"/>
    <w:rsid w:val="21836286"/>
    <w:rsid w:val="218971C2"/>
    <w:rsid w:val="21A232D4"/>
    <w:rsid w:val="21A56EA3"/>
    <w:rsid w:val="21AB758C"/>
    <w:rsid w:val="21BC2F68"/>
    <w:rsid w:val="21EC3348"/>
    <w:rsid w:val="21F912AD"/>
    <w:rsid w:val="21FC6B25"/>
    <w:rsid w:val="220226B4"/>
    <w:rsid w:val="22040DCA"/>
    <w:rsid w:val="22046BDF"/>
    <w:rsid w:val="22053F20"/>
    <w:rsid w:val="221B6805"/>
    <w:rsid w:val="222953DA"/>
    <w:rsid w:val="22491331"/>
    <w:rsid w:val="224F46D5"/>
    <w:rsid w:val="22882F02"/>
    <w:rsid w:val="228B225C"/>
    <w:rsid w:val="22931946"/>
    <w:rsid w:val="229D2256"/>
    <w:rsid w:val="22A50F20"/>
    <w:rsid w:val="22BB3ECA"/>
    <w:rsid w:val="22D32037"/>
    <w:rsid w:val="22D649D2"/>
    <w:rsid w:val="22D66F38"/>
    <w:rsid w:val="22D7576E"/>
    <w:rsid w:val="22E6606F"/>
    <w:rsid w:val="22EB258A"/>
    <w:rsid w:val="22EF67DD"/>
    <w:rsid w:val="22F809CD"/>
    <w:rsid w:val="23150C1B"/>
    <w:rsid w:val="23165B71"/>
    <w:rsid w:val="23443CE8"/>
    <w:rsid w:val="234775A2"/>
    <w:rsid w:val="234E207A"/>
    <w:rsid w:val="2357268C"/>
    <w:rsid w:val="235D75D6"/>
    <w:rsid w:val="237432BE"/>
    <w:rsid w:val="237753E3"/>
    <w:rsid w:val="237B21A4"/>
    <w:rsid w:val="238D2B8F"/>
    <w:rsid w:val="2396026F"/>
    <w:rsid w:val="239C7AC6"/>
    <w:rsid w:val="23A333EB"/>
    <w:rsid w:val="23A63D8D"/>
    <w:rsid w:val="23A7180F"/>
    <w:rsid w:val="23A75F8B"/>
    <w:rsid w:val="23B80A5C"/>
    <w:rsid w:val="23B8593A"/>
    <w:rsid w:val="23BA7C82"/>
    <w:rsid w:val="23D4293B"/>
    <w:rsid w:val="24061828"/>
    <w:rsid w:val="240C77C3"/>
    <w:rsid w:val="240D6F9E"/>
    <w:rsid w:val="242104A0"/>
    <w:rsid w:val="2422351E"/>
    <w:rsid w:val="242B31B3"/>
    <w:rsid w:val="243A1739"/>
    <w:rsid w:val="24610C3D"/>
    <w:rsid w:val="24755E02"/>
    <w:rsid w:val="24894380"/>
    <w:rsid w:val="249E2CA0"/>
    <w:rsid w:val="249F6523"/>
    <w:rsid w:val="24E80C69"/>
    <w:rsid w:val="24F82B98"/>
    <w:rsid w:val="250B3654"/>
    <w:rsid w:val="250C32D4"/>
    <w:rsid w:val="250D6B57"/>
    <w:rsid w:val="2518393D"/>
    <w:rsid w:val="253079A2"/>
    <w:rsid w:val="2537201C"/>
    <w:rsid w:val="25447D6F"/>
    <w:rsid w:val="254772CA"/>
    <w:rsid w:val="254F08C6"/>
    <w:rsid w:val="25510545"/>
    <w:rsid w:val="25695CA1"/>
    <w:rsid w:val="259553CE"/>
    <w:rsid w:val="2598673B"/>
    <w:rsid w:val="259C4387"/>
    <w:rsid w:val="25AD5164"/>
    <w:rsid w:val="25C2433A"/>
    <w:rsid w:val="25C42A83"/>
    <w:rsid w:val="25E40DB9"/>
    <w:rsid w:val="25FF00E4"/>
    <w:rsid w:val="26005FF7"/>
    <w:rsid w:val="260470EF"/>
    <w:rsid w:val="26077CD0"/>
    <w:rsid w:val="26251F7D"/>
    <w:rsid w:val="263973AC"/>
    <w:rsid w:val="26413D89"/>
    <w:rsid w:val="26510992"/>
    <w:rsid w:val="265834E0"/>
    <w:rsid w:val="266B1D16"/>
    <w:rsid w:val="266E1D20"/>
    <w:rsid w:val="267112C7"/>
    <w:rsid w:val="26795B9D"/>
    <w:rsid w:val="267A6D2E"/>
    <w:rsid w:val="267D76B2"/>
    <w:rsid w:val="26873E45"/>
    <w:rsid w:val="2689463A"/>
    <w:rsid w:val="269B313B"/>
    <w:rsid w:val="26AA63F8"/>
    <w:rsid w:val="26AB50F3"/>
    <w:rsid w:val="26C35343"/>
    <w:rsid w:val="27056E78"/>
    <w:rsid w:val="27172430"/>
    <w:rsid w:val="272A364F"/>
    <w:rsid w:val="273C7872"/>
    <w:rsid w:val="276371EC"/>
    <w:rsid w:val="276C6EA9"/>
    <w:rsid w:val="277402B3"/>
    <w:rsid w:val="27851986"/>
    <w:rsid w:val="27944359"/>
    <w:rsid w:val="27AF61B6"/>
    <w:rsid w:val="27B91461"/>
    <w:rsid w:val="27CC2E58"/>
    <w:rsid w:val="27D952AD"/>
    <w:rsid w:val="28002C91"/>
    <w:rsid w:val="280E4FB6"/>
    <w:rsid w:val="28193779"/>
    <w:rsid w:val="28283CF6"/>
    <w:rsid w:val="282E514C"/>
    <w:rsid w:val="28381DB2"/>
    <w:rsid w:val="284A4710"/>
    <w:rsid w:val="285665BE"/>
    <w:rsid w:val="286711DC"/>
    <w:rsid w:val="28733B77"/>
    <w:rsid w:val="288D7ACF"/>
    <w:rsid w:val="28A458C5"/>
    <w:rsid w:val="28A74A02"/>
    <w:rsid w:val="28CF3772"/>
    <w:rsid w:val="28F22C3A"/>
    <w:rsid w:val="29145457"/>
    <w:rsid w:val="29146541"/>
    <w:rsid w:val="291B3113"/>
    <w:rsid w:val="29377EAB"/>
    <w:rsid w:val="293D3166"/>
    <w:rsid w:val="294138E4"/>
    <w:rsid w:val="29415750"/>
    <w:rsid w:val="294A48AC"/>
    <w:rsid w:val="295E7D6B"/>
    <w:rsid w:val="29815BF2"/>
    <w:rsid w:val="2989374F"/>
    <w:rsid w:val="298B2C15"/>
    <w:rsid w:val="299B6C73"/>
    <w:rsid w:val="29AD336D"/>
    <w:rsid w:val="29D246C8"/>
    <w:rsid w:val="29F85A8F"/>
    <w:rsid w:val="2A0D3F3C"/>
    <w:rsid w:val="2A2A2A66"/>
    <w:rsid w:val="2A5676A3"/>
    <w:rsid w:val="2A592EB1"/>
    <w:rsid w:val="2A5B6F8F"/>
    <w:rsid w:val="2A5E1DAC"/>
    <w:rsid w:val="2A63032E"/>
    <w:rsid w:val="2A652CAB"/>
    <w:rsid w:val="2A756509"/>
    <w:rsid w:val="2A857309"/>
    <w:rsid w:val="2A963E6C"/>
    <w:rsid w:val="2A997AF3"/>
    <w:rsid w:val="2AA0676A"/>
    <w:rsid w:val="2AA53E30"/>
    <w:rsid w:val="2AB80D62"/>
    <w:rsid w:val="2ABC352B"/>
    <w:rsid w:val="2ACD4841"/>
    <w:rsid w:val="2AE41FFC"/>
    <w:rsid w:val="2AEF2ECF"/>
    <w:rsid w:val="2AF04C7E"/>
    <w:rsid w:val="2B001F8A"/>
    <w:rsid w:val="2B023C9F"/>
    <w:rsid w:val="2B055E77"/>
    <w:rsid w:val="2B1F4D59"/>
    <w:rsid w:val="2B215DD4"/>
    <w:rsid w:val="2B2628A1"/>
    <w:rsid w:val="2B3012EB"/>
    <w:rsid w:val="2B3129AD"/>
    <w:rsid w:val="2B323EDA"/>
    <w:rsid w:val="2B3934F8"/>
    <w:rsid w:val="2B3C72FC"/>
    <w:rsid w:val="2B4C7601"/>
    <w:rsid w:val="2B6156C9"/>
    <w:rsid w:val="2B6D1AE7"/>
    <w:rsid w:val="2B73401E"/>
    <w:rsid w:val="2B7965F5"/>
    <w:rsid w:val="2B895E7C"/>
    <w:rsid w:val="2B900C9F"/>
    <w:rsid w:val="2B982C0E"/>
    <w:rsid w:val="2BA369EA"/>
    <w:rsid w:val="2BB54C52"/>
    <w:rsid w:val="2BB878AB"/>
    <w:rsid w:val="2BCA72D1"/>
    <w:rsid w:val="2BE645D3"/>
    <w:rsid w:val="2BEA0719"/>
    <w:rsid w:val="2BFA290C"/>
    <w:rsid w:val="2C0676F2"/>
    <w:rsid w:val="2C0F39D6"/>
    <w:rsid w:val="2C2D1BB0"/>
    <w:rsid w:val="2C4B0A6F"/>
    <w:rsid w:val="2C4B7110"/>
    <w:rsid w:val="2C4C6E75"/>
    <w:rsid w:val="2C4C72C4"/>
    <w:rsid w:val="2C541566"/>
    <w:rsid w:val="2C552BA3"/>
    <w:rsid w:val="2C791CA9"/>
    <w:rsid w:val="2C882617"/>
    <w:rsid w:val="2C960832"/>
    <w:rsid w:val="2C97440D"/>
    <w:rsid w:val="2CA12446"/>
    <w:rsid w:val="2CC02C9A"/>
    <w:rsid w:val="2CCE420F"/>
    <w:rsid w:val="2CDB3B57"/>
    <w:rsid w:val="2CEE0921"/>
    <w:rsid w:val="2CF808D7"/>
    <w:rsid w:val="2D036C68"/>
    <w:rsid w:val="2D125BFD"/>
    <w:rsid w:val="2D1404FA"/>
    <w:rsid w:val="2D287027"/>
    <w:rsid w:val="2D4F12E5"/>
    <w:rsid w:val="2D590AFF"/>
    <w:rsid w:val="2D7F1FC7"/>
    <w:rsid w:val="2D8517E4"/>
    <w:rsid w:val="2D861431"/>
    <w:rsid w:val="2D8D0A17"/>
    <w:rsid w:val="2D9D2AF4"/>
    <w:rsid w:val="2DA67074"/>
    <w:rsid w:val="2DBB6416"/>
    <w:rsid w:val="2DCC08AF"/>
    <w:rsid w:val="2DD1310A"/>
    <w:rsid w:val="2DDC59FB"/>
    <w:rsid w:val="2DDD43CD"/>
    <w:rsid w:val="2DDF0193"/>
    <w:rsid w:val="2DFB097F"/>
    <w:rsid w:val="2DFC7583"/>
    <w:rsid w:val="2E016E7E"/>
    <w:rsid w:val="2E227781"/>
    <w:rsid w:val="2E2834E4"/>
    <w:rsid w:val="2E2E6F44"/>
    <w:rsid w:val="2E341B0E"/>
    <w:rsid w:val="2E346307"/>
    <w:rsid w:val="2E6A74B4"/>
    <w:rsid w:val="2E726B3C"/>
    <w:rsid w:val="2E7C498F"/>
    <w:rsid w:val="2E7C6531"/>
    <w:rsid w:val="2E871501"/>
    <w:rsid w:val="2E8C4939"/>
    <w:rsid w:val="2EBF1292"/>
    <w:rsid w:val="2EC77D2E"/>
    <w:rsid w:val="2ECB6253"/>
    <w:rsid w:val="2EDD4D9B"/>
    <w:rsid w:val="2EE161F9"/>
    <w:rsid w:val="2EE56DFD"/>
    <w:rsid w:val="2EE77823"/>
    <w:rsid w:val="2F123144"/>
    <w:rsid w:val="2F125308"/>
    <w:rsid w:val="2F2D0876"/>
    <w:rsid w:val="2F385D71"/>
    <w:rsid w:val="2F3925C3"/>
    <w:rsid w:val="2F733C44"/>
    <w:rsid w:val="2F835A02"/>
    <w:rsid w:val="2F8A32EE"/>
    <w:rsid w:val="2F925551"/>
    <w:rsid w:val="2F9306D6"/>
    <w:rsid w:val="2F962139"/>
    <w:rsid w:val="2FA539B8"/>
    <w:rsid w:val="2FA54936"/>
    <w:rsid w:val="2FA603F6"/>
    <w:rsid w:val="2FB01D49"/>
    <w:rsid w:val="2FB05BFC"/>
    <w:rsid w:val="2FC51CEF"/>
    <w:rsid w:val="2FCD7A73"/>
    <w:rsid w:val="2FD00080"/>
    <w:rsid w:val="2FF01D70"/>
    <w:rsid w:val="3002590C"/>
    <w:rsid w:val="300A6F60"/>
    <w:rsid w:val="300B6BE0"/>
    <w:rsid w:val="301072C1"/>
    <w:rsid w:val="30176316"/>
    <w:rsid w:val="30260A8E"/>
    <w:rsid w:val="302C0291"/>
    <w:rsid w:val="30536180"/>
    <w:rsid w:val="305366C7"/>
    <w:rsid w:val="30583798"/>
    <w:rsid w:val="305F4CBE"/>
    <w:rsid w:val="306060D2"/>
    <w:rsid w:val="30635D36"/>
    <w:rsid w:val="30793560"/>
    <w:rsid w:val="307B4A9C"/>
    <w:rsid w:val="307E4E95"/>
    <w:rsid w:val="30957EC1"/>
    <w:rsid w:val="30C93B1B"/>
    <w:rsid w:val="30DF4709"/>
    <w:rsid w:val="30FE507C"/>
    <w:rsid w:val="31260B8E"/>
    <w:rsid w:val="312E12C1"/>
    <w:rsid w:val="31336D13"/>
    <w:rsid w:val="314B4D50"/>
    <w:rsid w:val="315F4BA7"/>
    <w:rsid w:val="31613893"/>
    <w:rsid w:val="316734C2"/>
    <w:rsid w:val="31801FC4"/>
    <w:rsid w:val="318E12DA"/>
    <w:rsid w:val="31C50E0F"/>
    <w:rsid w:val="31E33DEC"/>
    <w:rsid w:val="31F125A6"/>
    <w:rsid w:val="31FB2343"/>
    <w:rsid w:val="31FB7710"/>
    <w:rsid w:val="320B29ED"/>
    <w:rsid w:val="32177BC4"/>
    <w:rsid w:val="325E40C9"/>
    <w:rsid w:val="32712BD2"/>
    <w:rsid w:val="328714F2"/>
    <w:rsid w:val="328A5CC9"/>
    <w:rsid w:val="328F0767"/>
    <w:rsid w:val="329C664D"/>
    <w:rsid w:val="32A27B1D"/>
    <w:rsid w:val="32B07A4C"/>
    <w:rsid w:val="32C826AB"/>
    <w:rsid w:val="32E367AC"/>
    <w:rsid w:val="32EA2C9D"/>
    <w:rsid w:val="32F1203D"/>
    <w:rsid w:val="32FB14B1"/>
    <w:rsid w:val="33103D41"/>
    <w:rsid w:val="33123F5B"/>
    <w:rsid w:val="3312705D"/>
    <w:rsid w:val="33135537"/>
    <w:rsid w:val="33162843"/>
    <w:rsid w:val="332A3EDA"/>
    <w:rsid w:val="332D3D16"/>
    <w:rsid w:val="33307EE3"/>
    <w:rsid w:val="33314E3E"/>
    <w:rsid w:val="333E1F5A"/>
    <w:rsid w:val="334209E7"/>
    <w:rsid w:val="334A28B5"/>
    <w:rsid w:val="334C0B3F"/>
    <w:rsid w:val="33583DC9"/>
    <w:rsid w:val="336F1304"/>
    <w:rsid w:val="337D2024"/>
    <w:rsid w:val="33814F8D"/>
    <w:rsid w:val="33843993"/>
    <w:rsid w:val="339616AF"/>
    <w:rsid w:val="339D48BD"/>
    <w:rsid w:val="33A132C4"/>
    <w:rsid w:val="33AB77C4"/>
    <w:rsid w:val="33B466E1"/>
    <w:rsid w:val="33B75FC9"/>
    <w:rsid w:val="33B77665"/>
    <w:rsid w:val="33C05220"/>
    <w:rsid w:val="33C40EFA"/>
    <w:rsid w:val="33C614A0"/>
    <w:rsid w:val="33C95381"/>
    <w:rsid w:val="33CA6686"/>
    <w:rsid w:val="33CD760B"/>
    <w:rsid w:val="33D0142E"/>
    <w:rsid w:val="33D35DBE"/>
    <w:rsid w:val="33E1128E"/>
    <w:rsid w:val="33FD5BDC"/>
    <w:rsid w:val="341764B9"/>
    <w:rsid w:val="342C6EB7"/>
    <w:rsid w:val="34444313"/>
    <w:rsid w:val="34520A78"/>
    <w:rsid w:val="34653179"/>
    <w:rsid w:val="346719A3"/>
    <w:rsid w:val="346F6E14"/>
    <w:rsid w:val="347635B6"/>
    <w:rsid w:val="349424C1"/>
    <w:rsid w:val="34B16EB2"/>
    <w:rsid w:val="34B275D1"/>
    <w:rsid w:val="34B76AE1"/>
    <w:rsid w:val="34BE3070"/>
    <w:rsid w:val="34D866B3"/>
    <w:rsid w:val="34DD3D93"/>
    <w:rsid w:val="34E35F35"/>
    <w:rsid w:val="35046E2D"/>
    <w:rsid w:val="351D0231"/>
    <w:rsid w:val="3525563E"/>
    <w:rsid w:val="35277580"/>
    <w:rsid w:val="35335312"/>
    <w:rsid w:val="353D6568"/>
    <w:rsid w:val="353E2D8C"/>
    <w:rsid w:val="35414B3A"/>
    <w:rsid w:val="355B1D31"/>
    <w:rsid w:val="35676786"/>
    <w:rsid w:val="356A7CDB"/>
    <w:rsid w:val="356C4C23"/>
    <w:rsid w:val="356E6D37"/>
    <w:rsid w:val="3570223A"/>
    <w:rsid w:val="357F70FE"/>
    <w:rsid w:val="35807A3C"/>
    <w:rsid w:val="358F5F97"/>
    <w:rsid w:val="359E5308"/>
    <w:rsid w:val="359F088D"/>
    <w:rsid w:val="35B273E5"/>
    <w:rsid w:val="35B303AD"/>
    <w:rsid w:val="35B3361A"/>
    <w:rsid w:val="35BD08E0"/>
    <w:rsid w:val="35CF1D02"/>
    <w:rsid w:val="35D67170"/>
    <w:rsid w:val="35E11FA5"/>
    <w:rsid w:val="35F142EB"/>
    <w:rsid w:val="3605771B"/>
    <w:rsid w:val="360758AF"/>
    <w:rsid w:val="360C66DE"/>
    <w:rsid w:val="361A4446"/>
    <w:rsid w:val="36350E5D"/>
    <w:rsid w:val="366073AD"/>
    <w:rsid w:val="36622AC7"/>
    <w:rsid w:val="366D0E58"/>
    <w:rsid w:val="36756265"/>
    <w:rsid w:val="367B7B31"/>
    <w:rsid w:val="36820DFD"/>
    <w:rsid w:val="368C170D"/>
    <w:rsid w:val="36A43530"/>
    <w:rsid w:val="36B66101"/>
    <w:rsid w:val="36CA260C"/>
    <w:rsid w:val="36CA72C9"/>
    <w:rsid w:val="36DC7DC9"/>
    <w:rsid w:val="36E40CBB"/>
    <w:rsid w:val="36E71676"/>
    <w:rsid w:val="3720128C"/>
    <w:rsid w:val="3726190B"/>
    <w:rsid w:val="37290304"/>
    <w:rsid w:val="372C7F91"/>
    <w:rsid w:val="375A3AAE"/>
    <w:rsid w:val="375C6562"/>
    <w:rsid w:val="37642CB9"/>
    <w:rsid w:val="378153A2"/>
    <w:rsid w:val="37877600"/>
    <w:rsid w:val="37971015"/>
    <w:rsid w:val="379C4B91"/>
    <w:rsid w:val="37B76D07"/>
    <w:rsid w:val="37BC7880"/>
    <w:rsid w:val="37C37BC2"/>
    <w:rsid w:val="37CF6241"/>
    <w:rsid w:val="37D00A9F"/>
    <w:rsid w:val="37D72BE2"/>
    <w:rsid w:val="37D84FB3"/>
    <w:rsid w:val="37D87D7C"/>
    <w:rsid w:val="37D919FE"/>
    <w:rsid w:val="37E30F72"/>
    <w:rsid w:val="37FD766C"/>
    <w:rsid w:val="38016A44"/>
    <w:rsid w:val="3812784E"/>
    <w:rsid w:val="38173412"/>
    <w:rsid w:val="381E67D2"/>
    <w:rsid w:val="382501A9"/>
    <w:rsid w:val="3829796D"/>
    <w:rsid w:val="384B057E"/>
    <w:rsid w:val="384D38EC"/>
    <w:rsid w:val="384E7367"/>
    <w:rsid w:val="385D641E"/>
    <w:rsid w:val="385E057E"/>
    <w:rsid w:val="3860038E"/>
    <w:rsid w:val="38676806"/>
    <w:rsid w:val="387637D7"/>
    <w:rsid w:val="387F7289"/>
    <w:rsid w:val="388108C3"/>
    <w:rsid w:val="388E1C77"/>
    <w:rsid w:val="389311AB"/>
    <w:rsid w:val="38972A67"/>
    <w:rsid w:val="38CF48F4"/>
    <w:rsid w:val="38D12FE1"/>
    <w:rsid w:val="38D315C7"/>
    <w:rsid w:val="38D45707"/>
    <w:rsid w:val="38D557BF"/>
    <w:rsid w:val="38D616A2"/>
    <w:rsid w:val="38EE7BF2"/>
    <w:rsid w:val="38F03D24"/>
    <w:rsid w:val="38F81807"/>
    <w:rsid w:val="3905471D"/>
    <w:rsid w:val="391119AE"/>
    <w:rsid w:val="39153335"/>
    <w:rsid w:val="393A2169"/>
    <w:rsid w:val="39540B23"/>
    <w:rsid w:val="39572A8D"/>
    <w:rsid w:val="395872A2"/>
    <w:rsid w:val="39597950"/>
    <w:rsid w:val="396665B7"/>
    <w:rsid w:val="39765215"/>
    <w:rsid w:val="397B12E9"/>
    <w:rsid w:val="397E1C6A"/>
    <w:rsid w:val="398E1CFA"/>
    <w:rsid w:val="39C75357"/>
    <w:rsid w:val="39CC2710"/>
    <w:rsid w:val="39CF46E7"/>
    <w:rsid w:val="39DC32A2"/>
    <w:rsid w:val="39EF5588"/>
    <w:rsid w:val="39F83928"/>
    <w:rsid w:val="3A0719C4"/>
    <w:rsid w:val="3A1A5B7F"/>
    <w:rsid w:val="3A1A6450"/>
    <w:rsid w:val="3A382193"/>
    <w:rsid w:val="3A4119B4"/>
    <w:rsid w:val="3A49242D"/>
    <w:rsid w:val="3A5E23D3"/>
    <w:rsid w:val="3A622FD7"/>
    <w:rsid w:val="3A630775"/>
    <w:rsid w:val="3A654926"/>
    <w:rsid w:val="3A6A0988"/>
    <w:rsid w:val="3A73223C"/>
    <w:rsid w:val="3A7F5CD9"/>
    <w:rsid w:val="3A8A2E97"/>
    <w:rsid w:val="3AB1468C"/>
    <w:rsid w:val="3ABE3CDC"/>
    <w:rsid w:val="3AC61ACA"/>
    <w:rsid w:val="3AD8165F"/>
    <w:rsid w:val="3AE138A5"/>
    <w:rsid w:val="3AF773EC"/>
    <w:rsid w:val="3B266598"/>
    <w:rsid w:val="3B2F7DD5"/>
    <w:rsid w:val="3B3850D2"/>
    <w:rsid w:val="3B4C67D8"/>
    <w:rsid w:val="3B7361C7"/>
    <w:rsid w:val="3B737BAF"/>
    <w:rsid w:val="3B80234B"/>
    <w:rsid w:val="3B8119F1"/>
    <w:rsid w:val="3B822350"/>
    <w:rsid w:val="3B8D3972"/>
    <w:rsid w:val="3B8E3A98"/>
    <w:rsid w:val="3B8E4CC3"/>
    <w:rsid w:val="3B8F01B5"/>
    <w:rsid w:val="3B95464E"/>
    <w:rsid w:val="3BBB1BD3"/>
    <w:rsid w:val="3BC0486E"/>
    <w:rsid w:val="3BC44CAC"/>
    <w:rsid w:val="3BCD002B"/>
    <w:rsid w:val="3BDB390A"/>
    <w:rsid w:val="3BEA2CEA"/>
    <w:rsid w:val="3BF4318C"/>
    <w:rsid w:val="3BF82174"/>
    <w:rsid w:val="3BFA21E7"/>
    <w:rsid w:val="3C056598"/>
    <w:rsid w:val="3C1525A1"/>
    <w:rsid w:val="3C1A1A50"/>
    <w:rsid w:val="3C3C60E0"/>
    <w:rsid w:val="3C4E6DCA"/>
    <w:rsid w:val="3C535D05"/>
    <w:rsid w:val="3C5D292E"/>
    <w:rsid w:val="3C614949"/>
    <w:rsid w:val="3C64330D"/>
    <w:rsid w:val="3C7246C9"/>
    <w:rsid w:val="3C783857"/>
    <w:rsid w:val="3C8D359F"/>
    <w:rsid w:val="3C9F3C37"/>
    <w:rsid w:val="3C9F4B00"/>
    <w:rsid w:val="3CA21308"/>
    <w:rsid w:val="3CA32737"/>
    <w:rsid w:val="3CA5098D"/>
    <w:rsid w:val="3CA760FE"/>
    <w:rsid w:val="3CB75A2A"/>
    <w:rsid w:val="3CD75CFD"/>
    <w:rsid w:val="3CDA595B"/>
    <w:rsid w:val="3CE816BE"/>
    <w:rsid w:val="3CE81A7C"/>
    <w:rsid w:val="3CEE7632"/>
    <w:rsid w:val="3CF75C7C"/>
    <w:rsid w:val="3CF97798"/>
    <w:rsid w:val="3D056C3F"/>
    <w:rsid w:val="3D1921AF"/>
    <w:rsid w:val="3D2A7F67"/>
    <w:rsid w:val="3D384516"/>
    <w:rsid w:val="3D4C5F1D"/>
    <w:rsid w:val="3D6C4254"/>
    <w:rsid w:val="3D8263F7"/>
    <w:rsid w:val="3D830879"/>
    <w:rsid w:val="3D856DC9"/>
    <w:rsid w:val="3DA05553"/>
    <w:rsid w:val="3DAB3B8B"/>
    <w:rsid w:val="3DBC46A7"/>
    <w:rsid w:val="3DBF13C2"/>
    <w:rsid w:val="3DD539F3"/>
    <w:rsid w:val="3DD72D65"/>
    <w:rsid w:val="3DE74465"/>
    <w:rsid w:val="3E0456CC"/>
    <w:rsid w:val="3E2C300D"/>
    <w:rsid w:val="3E3245CD"/>
    <w:rsid w:val="3E3606B4"/>
    <w:rsid w:val="3E4619B8"/>
    <w:rsid w:val="3E513C5A"/>
    <w:rsid w:val="3E5654D6"/>
    <w:rsid w:val="3E572F58"/>
    <w:rsid w:val="3E5A0F89"/>
    <w:rsid w:val="3E5F5CA9"/>
    <w:rsid w:val="3E667CEF"/>
    <w:rsid w:val="3E6B6D64"/>
    <w:rsid w:val="3E6C3DF6"/>
    <w:rsid w:val="3E7B4411"/>
    <w:rsid w:val="3EB6605C"/>
    <w:rsid w:val="3EBC06FE"/>
    <w:rsid w:val="3ED24E20"/>
    <w:rsid w:val="3EDC792D"/>
    <w:rsid w:val="3EE65855"/>
    <w:rsid w:val="3EEA2DAE"/>
    <w:rsid w:val="3EED6457"/>
    <w:rsid w:val="3EEE5634"/>
    <w:rsid w:val="3EF318A2"/>
    <w:rsid w:val="3EF417B7"/>
    <w:rsid w:val="3F0E7886"/>
    <w:rsid w:val="3F1509BE"/>
    <w:rsid w:val="3F384684"/>
    <w:rsid w:val="3F3D5285"/>
    <w:rsid w:val="3F3F77B9"/>
    <w:rsid w:val="3F501701"/>
    <w:rsid w:val="3F64448B"/>
    <w:rsid w:val="3F742C41"/>
    <w:rsid w:val="3F7F336D"/>
    <w:rsid w:val="3F815EBD"/>
    <w:rsid w:val="3F937EB7"/>
    <w:rsid w:val="3FA34681"/>
    <w:rsid w:val="3FAA7814"/>
    <w:rsid w:val="3FB86F7C"/>
    <w:rsid w:val="3FCD52AE"/>
    <w:rsid w:val="3FCE0AE3"/>
    <w:rsid w:val="3FD768CC"/>
    <w:rsid w:val="3FF020E8"/>
    <w:rsid w:val="3FF37BEF"/>
    <w:rsid w:val="3FF930D6"/>
    <w:rsid w:val="3FFD6B0B"/>
    <w:rsid w:val="400A47AD"/>
    <w:rsid w:val="401776B5"/>
    <w:rsid w:val="40196243"/>
    <w:rsid w:val="40240F49"/>
    <w:rsid w:val="40243032"/>
    <w:rsid w:val="402512AE"/>
    <w:rsid w:val="40411E4F"/>
    <w:rsid w:val="404751C2"/>
    <w:rsid w:val="404C0A2A"/>
    <w:rsid w:val="404D4067"/>
    <w:rsid w:val="40574252"/>
    <w:rsid w:val="405E45F1"/>
    <w:rsid w:val="406B01F7"/>
    <w:rsid w:val="40846998"/>
    <w:rsid w:val="40906F2F"/>
    <w:rsid w:val="40985685"/>
    <w:rsid w:val="40A5279C"/>
    <w:rsid w:val="40AE30D8"/>
    <w:rsid w:val="40BE4D91"/>
    <w:rsid w:val="40C0100C"/>
    <w:rsid w:val="40C0552F"/>
    <w:rsid w:val="40C83B74"/>
    <w:rsid w:val="40CA64E1"/>
    <w:rsid w:val="40D16AE4"/>
    <w:rsid w:val="40D2551F"/>
    <w:rsid w:val="40E24800"/>
    <w:rsid w:val="40E7749B"/>
    <w:rsid w:val="40FB360C"/>
    <w:rsid w:val="410F1F26"/>
    <w:rsid w:val="41106966"/>
    <w:rsid w:val="41114618"/>
    <w:rsid w:val="41216FDC"/>
    <w:rsid w:val="412B30A4"/>
    <w:rsid w:val="41337C02"/>
    <w:rsid w:val="4142391F"/>
    <w:rsid w:val="414A67AD"/>
    <w:rsid w:val="414C02CC"/>
    <w:rsid w:val="41567949"/>
    <w:rsid w:val="415F0AF1"/>
    <w:rsid w:val="41702DF3"/>
    <w:rsid w:val="41894C84"/>
    <w:rsid w:val="41906967"/>
    <w:rsid w:val="4194656B"/>
    <w:rsid w:val="41A07BFD"/>
    <w:rsid w:val="41C0096A"/>
    <w:rsid w:val="41C31BB8"/>
    <w:rsid w:val="41CB68B1"/>
    <w:rsid w:val="41D53BB9"/>
    <w:rsid w:val="4205661E"/>
    <w:rsid w:val="421343D8"/>
    <w:rsid w:val="423F737B"/>
    <w:rsid w:val="42702D0D"/>
    <w:rsid w:val="42726210"/>
    <w:rsid w:val="42732AEB"/>
    <w:rsid w:val="428209C6"/>
    <w:rsid w:val="429B5270"/>
    <w:rsid w:val="429F4FB1"/>
    <w:rsid w:val="42AE0B7C"/>
    <w:rsid w:val="42B37F17"/>
    <w:rsid w:val="42BE2F6B"/>
    <w:rsid w:val="42C102A5"/>
    <w:rsid w:val="42CB4450"/>
    <w:rsid w:val="43034CD8"/>
    <w:rsid w:val="43344875"/>
    <w:rsid w:val="4349562F"/>
    <w:rsid w:val="43497B64"/>
    <w:rsid w:val="437B4A03"/>
    <w:rsid w:val="43827DD3"/>
    <w:rsid w:val="43912748"/>
    <w:rsid w:val="439A4D1A"/>
    <w:rsid w:val="43B37EA1"/>
    <w:rsid w:val="43BB158B"/>
    <w:rsid w:val="43C0303B"/>
    <w:rsid w:val="43C512D6"/>
    <w:rsid w:val="43C845C3"/>
    <w:rsid w:val="43D910A0"/>
    <w:rsid w:val="441A52C7"/>
    <w:rsid w:val="442104D5"/>
    <w:rsid w:val="44406A59"/>
    <w:rsid w:val="44407E25"/>
    <w:rsid w:val="44513222"/>
    <w:rsid w:val="445264E6"/>
    <w:rsid w:val="445676AA"/>
    <w:rsid w:val="44695F8A"/>
    <w:rsid w:val="446B3DCC"/>
    <w:rsid w:val="446C0D5E"/>
    <w:rsid w:val="446F0254"/>
    <w:rsid w:val="44775660"/>
    <w:rsid w:val="448172D8"/>
    <w:rsid w:val="44A969D0"/>
    <w:rsid w:val="44CC0465"/>
    <w:rsid w:val="44D057A2"/>
    <w:rsid w:val="44DB3186"/>
    <w:rsid w:val="44F34125"/>
    <w:rsid w:val="451851EA"/>
    <w:rsid w:val="451E228D"/>
    <w:rsid w:val="451E7BA9"/>
    <w:rsid w:val="45236DFE"/>
    <w:rsid w:val="452774B9"/>
    <w:rsid w:val="4527757F"/>
    <w:rsid w:val="4530369D"/>
    <w:rsid w:val="45580404"/>
    <w:rsid w:val="457E590A"/>
    <w:rsid w:val="459407BE"/>
    <w:rsid w:val="45964FA7"/>
    <w:rsid w:val="459A7D41"/>
    <w:rsid w:val="459D149B"/>
    <w:rsid w:val="45A041FE"/>
    <w:rsid w:val="45A05840"/>
    <w:rsid w:val="45A602D1"/>
    <w:rsid w:val="45A837D4"/>
    <w:rsid w:val="45AF22B3"/>
    <w:rsid w:val="45B8636A"/>
    <w:rsid w:val="45CF0E37"/>
    <w:rsid w:val="45D10866"/>
    <w:rsid w:val="45F3359D"/>
    <w:rsid w:val="45FA60EE"/>
    <w:rsid w:val="45FF6B67"/>
    <w:rsid w:val="4600431A"/>
    <w:rsid w:val="46120C85"/>
    <w:rsid w:val="4617194F"/>
    <w:rsid w:val="461B7470"/>
    <w:rsid w:val="462824EE"/>
    <w:rsid w:val="46295027"/>
    <w:rsid w:val="465316EE"/>
    <w:rsid w:val="46710CD2"/>
    <w:rsid w:val="4673478F"/>
    <w:rsid w:val="469278C7"/>
    <w:rsid w:val="469B64AD"/>
    <w:rsid w:val="469D6E56"/>
    <w:rsid w:val="46A11E74"/>
    <w:rsid w:val="46A91E18"/>
    <w:rsid w:val="46BC08A3"/>
    <w:rsid w:val="46BE2722"/>
    <w:rsid w:val="46C73226"/>
    <w:rsid w:val="46CD71A3"/>
    <w:rsid w:val="46D20BEF"/>
    <w:rsid w:val="46D360E9"/>
    <w:rsid w:val="46DF1936"/>
    <w:rsid w:val="46EC39DA"/>
    <w:rsid w:val="46F337F6"/>
    <w:rsid w:val="46F87C7E"/>
    <w:rsid w:val="4714000D"/>
    <w:rsid w:val="472B2A17"/>
    <w:rsid w:val="472D6E53"/>
    <w:rsid w:val="47311667"/>
    <w:rsid w:val="4742403B"/>
    <w:rsid w:val="474920B7"/>
    <w:rsid w:val="4750741E"/>
    <w:rsid w:val="47551537"/>
    <w:rsid w:val="47561ED7"/>
    <w:rsid w:val="475B5E6C"/>
    <w:rsid w:val="475C411F"/>
    <w:rsid w:val="4764152B"/>
    <w:rsid w:val="476B18CA"/>
    <w:rsid w:val="4776504B"/>
    <w:rsid w:val="47805170"/>
    <w:rsid w:val="47BA1F3A"/>
    <w:rsid w:val="47DA0270"/>
    <w:rsid w:val="47F82FD5"/>
    <w:rsid w:val="481A105A"/>
    <w:rsid w:val="48262F88"/>
    <w:rsid w:val="482C4178"/>
    <w:rsid w:val="48333D9B"/>
    <w:rsid w:val="48342447"/>
    <w:rsid w:val="48397EBA"/>
    <w:rsid w:val="485157FA"/>
    <w:rsid w:val="48912976"/>
    <w:rsid w:val="48AF3F0D"/>
    <w:rsid w:val="48B87899"/>
    <w:rsid w:val="48CD515B"/>
    <w:rsid w:val="48CE657F"/>
    <w:rsid w:val="48D40488"/>
    <w:rsid w:val="48F5765B"/>
    <w:rsid w:val="49075575"/>
    <w:rsid w:val="491358EA"/>
    <w:rsid w:val="49154775"/>
    <w:rsid w:val="49166E14"/>
    <w:rsid w:val="491805B9"/>
    <w:rsid w:val="492753A0"/>
    <w:rsid w:val="49302F1E"/>
    <w:rsid w:val="493213A1"/>
    <w:rsid w:val="49400E3C"/>
    <w:rsid w:val="494570CC"/>
    <w:rsid w:val="495625BD"/>
    <w:rsid w:val="49566DEF"/>
    <w:rsid w:val="495751DE"/>
    <w:rsid w:val="4968677D"/>
    <w:rsid w:val="496C23AF"/>
    <w:rsid w:val="496E483D"/>
    <w:rsid w:val="49827327"/>
    <w:rsid w:val="4987675A"/>
    <w:rsid w:val="49955F5D"/>
    <w:rsid w:val="49B212B5"/>
    <w:rsid w:val="49C1268F"/>
    <w:rsid w:val="49C41AD9"/>
    <w:rsid w:val="49D7286C"/>
    <w:rsid w:val="49E4422C"/>
    <w:rsid w:val="4A0B5605"/>
    <w:rsid w:val="4A0F498D"/>
    <w:rsid w:val="4A224674"/>
    <w:rsid w:val="4A2645B2"/>
    <w:rsid w:val="4A3B5EF8"/>
    <w:rsid w:val="4A4A68BB"/>
    <w:rsid w:val="4A5F68D1"/>
    <w:rsid w:val="4A65539B"/>
    <w:rsid w:val="4A882126"/>
    <w:rsid w:val="4A96243E"/>
    <w:rsid w:val="4A9D06E5"/>
    <w:rsid w:val="4AA67EE9"/>
    <w:rsid w:val="4AA94B8B"/>
    <w:rsid w:val="4AD56CD4"/>
    <w:rsid w:val="4AD91719"/>
    <w:rsid w:val="4ADC671F"/>
    <w:rsid w:val="4AF924FD"/>
    <w:rsid w:val="4B0574A3"/>
    <w:rsid w:val="4B0804DD"/>
    <w:rsid w:val="4B131159"/>
    <w:rsid w:val="4B135CD0"/>
    <w:rsid w:val="4B281834"/>
    <w:rsid w:val="4B373B6B"/>
    <w:rsid w:val="4B3B655F"/>
    <w:rsid w:val="4B3F6D3E"/>
    <w:rsid w:val="4B412EEA"/>
    <w:rsid w:val="4B481211"/>
    <w:rsid w:val="4B5B6031"/>
    <w:rsid w:val="4B676243"/>
    <w:rsid w:val="4B7D6D6F"/>
    <w:rsid w:val="4B7E6FB1"/>
    <w:rsid w:val="4B7F716D"/>
    <w:rsid w:val="4B8B517E"/>
    <w:rsid w:val="4B996ADB"/>
    <w:rsid w:val="4BAD1978"/>
    <w:rsid w:val="4BB315F1"/>
    <w:rsid w:val="4BB922F7"/>
    <w:rsid w:val="4BC16D24"/>
    <w:rsid w:val="4BC70851"/>
    <w:rsid w:val="4BD023EF"/>
    <w:rsid w:val="4BE41A08"/>
    <w:rsid w:val="4BF519DD"/>
    <w:rsid w:val="4C03066A"/>
    <w:rsid w:val="4C0D2735"/>
    <w:rsid w:val="4C16251A"/>
    <w:rsid w:val="4C1953D1"/>
    <w:rsid w:val="4C2853AC"/>
    <w:rsid w:val="4C5469C5"/>
    <w:rsid w:val="4C596AD0"/>
    <w:rsid w:val="4C5D0B3F"/>
    <w:rsid w:val="4C617760"/>
    <w:rsid w:val="4C896AE6"/>
    <w:rsid w:val="4C8C0250"/>
    <w:rsid w:val="4C8D15D8"/>
    <w:rsid w:val="4C9131F9"/>
    <w:rsid w:val="4C940753"/>
    <w:rsid w:val="4C9F73B6"/>
    <w:rsid w:val="4CA93E36"/>
    <w:rsid w:val="4CAF1A5D"/>
    <w:rsid w:val="4CB01E15"/>
    <w:rsid w:val="4CB052E1"/>
    <w:rsid w:val="4CC0217C"/>
    <w:rsid w:val="4CD4421B"/>
    <w:rsid w:val="4CDB5DA5"/>
    <w:rsid w:val="4CDE68D8"/>
    <w:rsid w:val="4CEC663D"/>
    <w:rsid w:val="4CF80D83"/>
    <w:rsid w:val="4CFA4AB5"/>
    <w:rsid w:val="4D130179"/>
    <w:rsid w:val="4D1B2411"/>
    <w:rsid w:val="4D1E4100"/>
    <w:rsid w:val="4D221D9C"/>
    <w:rsid w:val="4D2302CC"/>
    <w:rsid w:val="4D2441E5"/>
    <w:rsid w:val="4D2A4A3E"/>
    <w:rsid w:val="4D2F4EEF"/>
    <w:rsid w:val="4D3D03C8"/>
    <w:rsid w:val="4D4024EF"/>
    <w:rsid w:val="4D4B3FA2"/>
    <w:rsid w:val="4D503658"/>
    <w:rsid w:val="4D5216DB"/>
    <w:rsid w:val="4D612D6B"/>
    <w:rsid w:val="4D6562A4"/>
    <w:rsid w:val="4D67316F"/>
    <w:rsid w:val="4D675ED4"/>
    <w:rsid w:val="4D804CE7"/>
    <w:rsid w:val="4D8C1453"/>
    <w:rsid w:val="4D924B1A"/>
    <w:rsid w:val="4D935553"/>
    <w:rsid w:val="4D9E4BB6"/>
    <w:rsid w:val="4DA064F5"/>
    <w:rsid w:val="4DF80AFB"/>
    <w:rsid w:val="4E295A47"/>
    <w:rsid w:val="4E555AFC"/>
    <w:rsid w:val="4E567C6D"/>
    <w:rsid w:val="4E5F769C"/>
    <w:rsid w:val="4E634927"/>
    <w:rsid w:val="4E733B22"/>
    <w:rsid w:val="4E8273DA"/>
    <w:rsid w:val="4E872E20"/>
    <w:rsid w:val="4E8A4C83"/>
    <w:rsid w:val="4E8E5C30"/>
    <w:rsid w:val="4E930CFA"/>
    <w:rsid w:val="4E9F63CE"/>
    <w:rsid w:val="4ED37AA0"/>
    <w:rsid w:val="4ED4622A"/>
    <w:rsid w:val="4ED819CA"/>
    <w:rsid w:val="4EDA0E02"/>
    <w:rsid w:val="4EED46DE"/>
    <w:rsid w:val="4EF37A9C"/>
    <w:rsid w:val="4F0369FC"/>
    <w:rsid w:val="4F090A30"/>
    <w:rsid w:val="4F182B74"/>
    <w:rsid w:val="4F19540A"/>
    <w:rsid w:val="4F252466"/>
    <w:rsid w:val="4F3C208C"/>
    <w:rsid w:val="4F443758"/>
    <w:rsid w:val="4F506B2E"/>
    <w:rsid w:val="4F522031"/>
    <w:rsid w:val="4F623629"/>
    <w:rsid w:val="4F8C25FD"/>
    <w:rsid w:val="4F913EC9"/>
    <w:rsid w:val="4FA80EDC"/>
    <w:rsid w:val="4FAD018A"/>
    <w:rsid w:val="4FB158CE"/>
    <w:rsid w:val="4FB36FD7"/>
    <w:rsid w:val="4FBE4792"/>
    <w:rsid w:val="4FC27967"/>
    <w:rsid w:val="4FCF7A89"/>
    <w:rsid w:val="4FD16CDE"/>
    <w:rsid w:val="4FD33884"/>
    <w:rsid w:val="500374DF"/>
    <w:rsid w:val="50070D1C"/>
    <w:rsid w:val="500A55F4"/>
    <w:rsid w:val="50275997"/>
    <w:rsid w:val="50342624"/>
    <w:rsid w:val="503C096B"/>
    <w:rsid w:val="503E7F34"/>
    <w:rsid w:val="504376F1"/>
    <w:rsid w:val="504B6B94"/>
    <w:rsid w:val="504C354E"/>
    <w:rsid w:val="505179D5"/>
    <w:rsid w:val="50620AEC"/>
    <w:rsid w:val="509D57DA"/>
    <w:rsid w:val="50A44B4D"/>
    <w:rsid w:val="50B77DAD"/>
    <w:rsid w:val="50B87A82"/>
    <w:rsid w:val="50C12D58"/>
    <w:rsid w:val="50C20F8E"/>
    <w:rsid w:val="50C415A5"/>
    <w:rsid w:val="50CA46F6"/>
    <w:rsid w:val="50CE5B36"/>
    <w:rsid w:val="50D47330"/>
    <w:rsid w:val="50EA7200"/>
    <w:rsid w:val="510C4885"/>
    <w:rsid w:val="51151D67"/>
    <w:rsid w:val="511F5EC8"/>
    <w:rsid w:val="512026C5"/>
    <w:rsid w:val="51253231"/>
    <w:rsid w:val="512707AA"/>
    <w:rsid w:val="5136416B"/>
    <w:rsid w:val="51484E48"/>
    <w:rsid w:val="514968E8"/>
    <w:rsid w:val="51513CF5"/>
    <w:rsid w:val="51532BB1"/>
    <w:rsid w:val="515A6B83"/>
    <w:rsid w:val="516710CF"/>
    <w:rsid w:val="516A3324"/>
    <w:rsid w:val="516B7310"/>
    <w:rsid w:val="51846ACD"/>
    <w:rsid w:val="5189487C"/>
    <w:rsid w:val="519B2E6F"/>
    <w:rsid w:val="51A47744"/>
    <w:rsid w:val="51B95CA3"/>
    <w:rsid w:val="51BA7EA1"/>
    <w:rsid w:val="51BF4B27"/>
    <w:rsid w:val="51C55353"/>
    <w:rsid w:val="51C84621"/>
    <w:rsid w:val="51D00D9E"/>
    <w:rsid w:val="51D058C8"/>
    <w:rsid w:val="51E872D2"/>
    <w:rsid w:val="51F107C0"/>
    <w:rsid w:val="52044E1D"/>
    <w:rsid w:val="52073823"/>
    <w:rsid w:val="521F33FC"/>
    <w:rsid w:val="52211A54"/>
    <w:rsid w:val="5266383D"/>
    <w:rsid w:val="52693DFE"/>
    <w:rsid w:val="5276327B"/>
    <w:rsid w:val="52773CAE"/>
    <w:rsid w:val="527F7DC4"/>
    <w:rsid w:val="52A90892"/>
    <w:rsid w:val="52B513BE"/>
    <w:rsid w:val="52B93E44"/>
    <w:rsid w:val="52D518F2"/>
    <w:rsid w:val="52D94EE5"/>
    <w:rsid w:val="52EC3F25"/>
    <w:rsid w:val="52F61E27"/>
    <w:rsid w:val="52F656AA"/>
    <w:rsid w:val="53034BB4"/>
    <w:rsid w:val="5309309D"/>
    <w:rsid w:val="530F7461"/>
    <w:rsid w:val="532A6DFE"/>
    <w:rsid w:val="532B0103"/>
    <w:rsid w:val="532C3F5B"/>
    <w:rsid w:val="532F6005"/>
    <w:rsid w:val="538B5E7F"/>
    <w:rsid w:val="53B01288"/>
    <w:rsid w:val="53C25CF4"/>
    <w:rsid w:val="53C83F3A"/>
    <w:rsid w:val="53D00807"/>
    <w:rsid w:val="53DA11A0"/>
    <w:rsid w:val="53FA74D7"/>
    <w:rsid w:val="54055868"/>
    <w:rsid w:val="540D674C"/>
    <w:rsid w:val="541E748C"/>
    <w:rsid w:val="542F7692"/>
    <w:rsid w:val="543E768B"/>
    <w:rsid w:val="54420A91"/>
    <w:rsid w:val="544662D1"/>
    <w:rsid w:val="54525967"/>
    <w:rsid w:val="54587870"/>
    <w:rsid w:val="54675C7F"/>
    <w:rsid w:val="546D200B"/>
    <w:rsid w:val="54784522"/>
    <w:rsid w:val="54B26C85"/>
    <w:rsid w:val="54C1201C"/>
    <w:rsid w:val="54D2142D"/>
    <w:rsid w:val="54FE63F4"/>
    <w:rsid w:val="55045EA9"/>
    <w:rsid w:val="55145A25"/>
    <w:rsid w:val="55253741"/>
    <w:rsid w:val="552C047D"/>
    <w:rsid w:val="55463F1C"/>
    <w:rsid w:val="554B00FD"/>
    <w:rsid w:val="55700B25"/>
    <w:rsid w:val="55705BAF"/>
    <w:rsid w:val="55774444"/>
    <w:rsid w:val="5583018F"/>
    <w:rsid w:val="55844A99"/>
    <w:rsid w:val="5594225D"/>
    <w:rsid w:val="559450A3"/>
    <w:rsid w:val="55A34882"/>
    <w:rsid w:val="55B84EAE"/>
    <w:rsid w:val="55C80F45"/>
    <w:rsid w:val="55E25D49"/>
    <w:rsid w:val="55ED318A"/>
    <w:rsid w:val="560D5C3D"/>
    <w:rsid w:val="56126E14"/>
    <w:rsid w:val="56206E5C"/>
    <w:rsid w:val="562A2C6B"/>
    <w:rsid w:val="563570ED"/>
    <w:rsid w:val="564E7F2A"/>
    <w:rsid w:val="56530930"/>
    <w:rsid w:val="565902BA"/>
    <w:rsid w:val="565C3D10"/>
    <w:rsid w:val="56696762"/>
    <w:rsid w:val="5673149A"/>
    <w:rsid w:val="5679094D"/>
    <w:rsid w:val="567A59C9"/>
    <w:rsid w:val="567B6271"/>
    <w:rsid w:val="567E1989"/>
    <w:rsid w:val="56871BFA"/>
    <w:rsid w:val="56882694"/>
    <w:rsid w:val="56A62938"/>
    <w:rsid w:val="56D91CF5"/>
    <w:rsid w:val="56DC10ED"/>
    <w:rsid w:val="56E83021"/>
    <w:rsid w:val="56FD2FC7"/>
    <w:rsid w:val="57031869"/>
    <w:rsid w:val="57081358"/>
    <w:rsid w:val="570E4A70"/>
    <w:rsid w:val="5725273D"/>
    <w:rsid w:val="572D4B3A"/>
    <w:rsid w:val="572E2E72"/>
    <w:rsid w:val="573F3A30"/>
    <w:rsid w:val="57463F4A"/>
    <w:rsid w:val="575F1D66"/>
    <w:rsid w:val="57625A80"/>
    <w:rsid w:val="57653709"/>
    <w:rsid w:val="57760F14"/>
    <w:rsid w:val="577F481A"/>
    <w:rsid w:val="579424EC"/>
    <w:rsid w:val="579558D9"/>
    <w:rsid w:val="579671B3"/>
    <w:rsid w:val="57A25CD3"/>
    <w:rsid w:val="57B94B85"/>
    <w:rsid w:val="57BD53D3"/>
    <w:rsid w:val="57C470BE"/>
    <w:rsid w:val="57CF4FC5"/>
    <w:rsid w:val="57DC5F79"/>
    <w:rsid w:val="57E01A11"/>
    <w:rsid w:val="57F57178"/>
    <w:rsid w:val="5803421D"/>
    <w:rsid w:val="58090768"/>
    <w:rsid w:val="580944D8"/>
    <w:rsid w:val="58096F96"/>
    <w:rsid w:val="58171515"/>
    <w:rsid w:val="5830787B"/>
    <w:rsid w:val="58646FA2"/>
    <w:rsid w:val="58857160"/>
    <w:rsid w:val="588573D7"/>
    <w:rsid w:val="589D71F0"/>
    <w:rsid w:val="58BB5CA7"/>
    <w:rsid w:val="58C463DE"/>
    <w:rsid w:val="58C52932"/>
    <w:rsid w:val="58C96805"/>
    <w:rsid w:val="58D43639"/>
    <w:rsid w:val="58D45DF0"/>
    <w:rsid w:val="58DB6CD4"/>
    <w:rsid w:val="58E30FD1"/>
    <w:rsid w:val="58E5190F"/>
    <w:rsid w:val="58EA72EF"/>
    <w:rsid w:val="58ED43E5"/>
    <w:rsid w:val="58F31CEC"/>
    <w:rsid w:val="58F400DD"/>
    <w:rsid w:val="58F47BFE"/>
    <w:rsid w:val="59006D08"/>
    <w:rsid w:val="590C5679"/>
    <w:rsid w:val="591E59C8"/>
    <w:rsid w:val="592616D2"/>
    <w:rsid w:val="592B22D7"/>
    <w:rsid w:val="592F69F7"/>
    <w:rsid w:val="5935393A"/>
    <w:rsid w:val="593623DE"/>
    <w:rsid w:val="595E4027"/>
    <w:rsid w:val="59710F2C"/>
    <w:rsid w:val="59864141"/>
    <w:rsid w:val="59877A2B"/>
    <w:rsid w:val="598900F2"/>
    <w:rsid w:val="598F5E42"/>
    <w:rsid w:val="59B447B9"/>
    <w:rsid w:val="59B46C7C"/>
    <w:rsid w:val="59B57CBC"/>
    <w:rsid w:val="59BB7886"/>
    <w:rsid w:val="59BD4985"/>
    <w:rsid w:val="59BF7CAA"/>
    <w:rsid w:val="59C44A54"/>
    <w:rsid w:val="59D07423"/>
    <w:rsid w:val="59D44862"/>
    <w:rsid w:val="59DC5D3E"/>
    <w:rsid w:val="59E347E7"/>
    <w:rsid w:val="59E647AC"/>
    <w:rsid w:val="59EB5D09"/>
    <w:rsid w:val="59FF35B4"/>
    <w:rsid w:val="5A297625"/>
    <w:rsid w:val="5A347E1C"/>
    <w:rsid w:val="5A437DE4"/>
    <w:rsid w:val="5A6D3BE8"/>
    <w:rsid w:val="5A7413FD"/>
    <w:rsid w:val="5A7574E3"/>
    <w:rsid w:val="5A773386"/>
    <w:rsid w:val="5A810EF0"/>
    <w:rsid w:val="5A82030A"/>
    <w:rsid w:val="5A932194"/>
    <w:rsid w:val="5AB51DDE"/>
    <w:rsid w:val="5AB97CDF"/>
    <w:rsid w:val="5AC17B1B"/>
    <w:rsid w:val="5ACF1989"/>
    <w:rsid w:val="5AD8753D"/>
    <w:rsid w:val="5ADE05F3"/>
    <w:rsid w:val="5AEC2932"/>
    <w:rsid w:val="5AEE4675"/>
    <w:rsid w:val="5AFC3F39"/>
    <w:rsid w:val="5AFF0F58"/>
    <w:rsid w:val="5B0F6FF4"/>
    <w:rsid w:val="5B1C2A87"/>
    <w:rsid w:val="5B253396"/>
    <w:rsid w:val="5B2E1168"/>
    <w:rsid w:val="5B301727"/>
    <w:rsid w:val="5B3823B7"/>
    <w:rsid w:val="5B522168"/>
    <w:rsid w:val="5B582AF4"/>
    <w:rsid w:val="5B59036D"/>
    <w:rsid w:val="5B5C45DE"/>
    <w:rsid w:val="5B6772F1"/>
    <w:rsid w:val="5B6B6089"/>
    <w:rsid w:val="5B80602E"/>
    <w:rsid w:val="5B8C1E41"/>
    <w:rsid w:val="5B8C403F"/>
    <w:rsid w:val="5B915C17"/>
    <w:rsid w:val="5BD13CE8"/>
    <w:rsid w:val="5BD347B4"/>
    <w:rsid w:val="5BD52B82"/>
    <w:rsid w:val="5BD6794A"/>
    <w:rsid w:val="5C182DEC"/>
    <w:rsid w:val="5C1F6E31"/>
    <w:rsid w:val="5C21276D"/>
    <w:rsid w:val="5C2B17D8"/>
    <w:rsid w:val="5C4A34F9"/>
    <w:rsid w:val="5C5E5650"/>
    <w:rsid w:val="5C7010C3"/>
    <w:rsid w:val="5C726EDE"/>
    <w:rsid w:val="5C7410F0"/>
    <w:rsid w:val="5C805BD1"/>
    <w:rsid w:val="5CA87AD3"/>
    <w:rsid w:val="5CBF0813"/>
    <w:rsid w:val="5CC13C59"/>
    <w:rsid w:val="5CC16BEF"/>
    <w:rsid w:val="5CC755AB"/>
    <w:rsid w:val="5CC83D33"/>
    <w:rsid w:val="5CCB0CB4"/>
    <w:rsid w:val="5CDF5C11"/>
    <w:rsid w:val="5CE076AF"/>
    <w:rsid w:val="5CE16EEF"/>
    <w:rsid w:val="5CFE1740"/>
    <w:rsid w:val="5D050E85"/>
    <w:rsid w:val="5D0B1E72"/>
    <w:rsid w:val="5D1B2126"/>
    <w:rsid w:val="5D355AFE"/>
    <w:rsid w:val="5D433711"/>
    <w:rsid w:val="5D443390"/>
    <w:rsid w:val="5D4717B2"/>
    <w:rsid w:val="5D4F1722"/>
    <w:rsid w:val="5D612FC7"/>
    <w:rsid w:val="5D6A04FA"/>
    <w:rsid w:val="5D6F7A58"/>
    <w:rsid w:val="5D713EC8"/>
    <w:rsid w:val="5D84417A"/>
    <w:rsid w:val="5D8F5D8E"/>
    <w:rsid w:val="5D9A5BA1"/>
    <w:rsid w:val="5DA1097A"/>
    <w:rsid w:val="5DC01CE6"/>
    <w:rsid w:val="5DC04C5D"/>
    <w:rsid w:val="5DC10BA8"/>
    <w:rsid w:val="5DC61919"/>
    <w:rsid w:val="5DD7572A"/>
    <w:rsid w:val="5DDB040C"/>
    <w:rsid w:val="5DDD08F1"/>
    <w:rsid w:val="5DF5152A"/>
    <w:rsid w:val="5E011BDB"/>
    <w:rsid w:val="5E0639B8"/>
    <w:rsid w:val="5E064B41"/>
    <w:rsid w:val="5E0C24E0"/>
    <w:rsid w:val="5E0C4841"/>
    <w:rsid w:val="5E3D0A0A"/>
    <w:rsid w:val="5E3D71AC"/>
    <w:rsid w:val="5E3F0130"/>
    <w:rsid w:val="5E464876"/>
    <w:rsid w:val="5E5E18DF"/>
    <w:rsid w:val="5E622C10"/>
    <w:rsid w:val="5E6B4AF3"/>
    <w:rsid w:val="5E7B5155"/>
    <w:rsid w:val="5E7E7C15"/>
    <w:rsid w:val="5E8621DE"/>
    <w:rsid w:val="5E8A01E5"/>
    <w:rsid w:val="5E9330AB"/>
    <w:rsid w:val="5EAD532D"/>
    <w:rsid w:val="5EB6612C"/>
    <w:rsid w:val="5EBF3F02"/>
    <w:rsid w:val="5EE52B64"/>
    <w:rsid w:val="5EE966AC"/>
    <w:rsid w:val="5EEE6B83"/>
    <w:rsid w:val="5F01183E"/>
    <w:rsid w:val="5F15394A"/>
    <w:rsid w:val="5F184000"/>
    <w:rsid w:val="5F205220"/>
    <w:rsid w:val="5F2B1033"/>
    <w:rsid w:val="5F3C24F5"/>
    <w:rsid w:val="5F3E69CE"/>
    <w:rsid w:val="5F4C5CE4"/>
    <w:rsid w:val="5F600167"/>
    <w:rsid w:val="5F885755"/>
    <w:rsid w:val="5F91425A"/>
    <w:rsid w:val="5F95321A"/>
    <w:rsid w:val="5F9771A5"/>
    <w:rsid w:val="5F9F6892"/>
    <w:rsid w:val="5FB042C9"/>
    <w:rsid w:val="5FB9411A"/>
    <w:rsid w:val="5FBC509E"/>
    <w:rsid w:val="5FC06797"/>
    <w:rsid w:val="5FD03D3F"/>
    <w:rsid w:val="5FD34CC4"/>
    <w:rsid w:val="5FE307E1"/>
    <w:rsid w:val="5FE50461"/>
    <w:rsid w:val="60000D86"/>
    <w:rsid w:val="60056797"/>
    <w:rsid w:val="600C2DD5"/>
    <w:rsid w:val="600F12AB"/>
    <w:rsid w:val="601A6345"/>
    <w:rsid w:val="602B17B3"/>
    <w:rsid w:val="60661A6A"/>
    <w:rsid w:val="60680630"/>
    <w:rsid w:val="606949D1"/>
    <w:rsid w:val="606A3AC3"/>
    <w:rsid w:val="60782CB8"/>
    <w:rsid w:val="607B56F0"/>
    <w:rsid w:val="60977BA1"/>
    <w:rsid w:val="609B1F62"/>
    <w:rsid w:val="609D7C10"/>
    <w:rsid w:val="60AD5CE1"/>
    <w:rsid w:val="60B35636"/>
    <w:rsid w:val="60BD0B1F"/>
    <w:rsid w:val="60BD462C"/>
    <w:rsid w:val="60E32902"/>
    <w:rsid w:val="60FA61A1"/>
    <w:rsid w:val="60FC55C1"/>
    <w:rsid w:val="60FD68FD"/>
    <w:rsid w:val="60FE69AF"/>
    <w:rsid w:val="61027E3E"/>
    <w:rsid w:val="610370B1"/>
    <w:rsid w:val="612B2CF7"/>
    <w:rsid w:val="613709F8"/>
    <w:rsid w:val="619879E0"/>
    <w:rsid w:val="61A14000"/>
    <w:rsid w:val="61B5722E"/>
    <w:rsid w:val="61BC290E"/>
    <w:rsid w:val="61F84303"/>
    <w:rsid w:val="620307DC"/>
    <w:rsid w:val="62086087"/>
    <w:rsid w:val="62146551"/>
    <w:rsid w:val="621E2750"/>
    <w:rsid w:val="623D3CD1"/>
    <w:rsid w:val="624215C5"/>
    <w:rsid w:val="629038C3"/>
    <w:rsid w:val="62A44F1B"/>
    <w:rsid w:val="62BE310D"/>
    <w:rsid w:val="62C66256"/>
    <w:rsid w:val="62CC5CA6"/>
    <w:rsid w:val="62D53A32"/>
    <w:rsid w:val="63070B2D"/>
    <w:rsid w:val="630906E2"/>
    <w:rsid w:val="630D0430"/>
    <w:rsid w:val="630E74FF"/>
    <w:rsid w:val="63156017"/>
    <w:rsid w:val="631E69AA"/>
    <w:rsid w:val="633330CC"/>
    <w:rsid w:val="633C3689"/>
    <w:rsid w:val="634C76E0"/>
    <w:rsid w:val="634E1816"/>
    <w:rsid w:val="635A61ED"/>
    <w:rsid w:val="63792D0B"/>
    <w:rsid w:val="63810456"/>
    <w:rsid w:val="6384677A"/>
    <w:rsid w:val="638A735E"/>
    <w:rsid w:val="63932935"/>
    <w:rsid w:val="63A54217"/>
    <w:rsid w:val="63AD4F94"/>
    <w:rsid w:val="63C41B4A"/>
    <w:rsid w:val="63C55EBE"/>
    <w:rsid w:val="63CB7DC7"/>
    <w:rsid w:val="63CC55FC"/>
    <w:rsid w:val="63F21900"/>
    <w:rsid w:val="64112A16"/>
    <w:rsid w:val="64145C3D"/>
    <w:rsid w:val="642B1296"/>
    <w:rsid w:val="642B2AB0"/>
    <w:rsid w:val="642F2AA7"/>
    <w:rsid w:val="644D4224"/>
    <w:rsid w:val="644D50E6"/>
    <w:rsid w:val="645A0167"/>
    <w:rsid w:val="64645E13"/>
    <w:rsid w:val="6464610F"/>
    <w:rsid w:val="64702AD3"/>
    <w:rsid w:val="647F0894"/>
    <w:rsid w:val="64910A1C"/>
    <w:rsid w:val="64AB1199"/>
    <w:rsid w:val="64C54524"/>
    <w:rsid w:val="64C83658"/>
    <w:rsid w:val="650023C2"/>
    <w:rsid w:val="6501489C"/>
    <w:rsid w:val="650642CC"/>
    <w:rsid w:val="65142EFD"/>
    <w:rsid w:val="651E246D"/>
    <w:rsid w:val="65254B81"/>
    <w:rsid w:val="65310993"/>
    <w:rsid w:val="65453DB0"/>
    <w:rsid w:val="65463905"/>
    <w:rsid w:val="65562E1C"/>
    <w:rsid w:val="65732701"/>
    <w:rsid w:val="65775081"/>
    <w:rsid w:val="658110FA"/>
    <w:rsid w:val="65840955"/>
    <w:rsid w:val="65B174EE"/>
    <w:rsid w:val="65B8397A"/>
    <w:rsid w:val="65BC36E3"/>
    <w:rsid w:val="65C72395"/>
    <w:rsid w:val="65E24F34"/>
    <w:rsid w:val="66231914"/>
    <w:rsid w:val="662665DE"/>
    <w:rsid w:val="665242EE"/>
    <w:rsid w:val="66613283"/>
    <w:rsid w:val="66651AB1"/>
    <w:rsid w:val="66662F8E"/>
    <w:rsid w:val="66921248"/>
    <w:rsid w:val="669308B4"/>
    <w:rsid w:val="66A27570"/>
    <w:rsid w:val="66AD1184"/>
    <w:rsid w:val="66B27342"/>
    <w:rsid w:val="66B87515"/>
    <w:rsid w:val="66C179DC"/>
    <w:rsid w:val="66CD3C37"/>
    <w:rsid w:val="66D64C7D"/>
    <w:rsid w:val="66DD269C"/>
    <w:rsid w:val="66E47C8E"/>
    <w:rsid w:val="66E512DE"/>
    <w:rsid w:val="66F619F5"/>
    <w:rsid w:val="671962B5"/>
    <w:rsid w:val="671C5AE4"/>
    <w:rsid w:val="67222CCB"/>
    <w:rsid w:val="672743FD"/>
    <w:rsid w:val="67336806"/>
    <w:rsid w:val="673A09E8"/>
    <w:rsid w:val="67476284"/>
    <w:rsid w:val="676550B0"/>
    <w:rsid w:val="678A1A6C"/>
    <w:rsid w:val="67936949"/>
    <w:rsid w:val="679A484A"/>
    <w:rsid w:val="67C718D1"/>
    <w:rsid w:val="67E0339D"/>
    <w:rsid w:val="67F33A1A"/>
    <w:rsid w:val="680853FE"/>
    <w:rsid w:val="6814614D"/>
    <w:rsid w:val="68364CEE"/>
    <w:rsid w:val="68404627"/>
    <w:rsid w:val="6849034F"/>
    <w:rsid w:val="68501E5D"/>
    <w:rsid w:val="68520FD9"/>
    <w:rsid w:val="68551034"/>
    <w:rsid w:val="6856013C"/>
    <w:rsid w:val="6857103D"/>
    <w:rsid w:val="686023CB"/>
    <w:rsid w:val="68602632"/>
    <w:rsid w:val="686E35B9"/>
    <w:rsid w:val="68757D06"/>
    <w:rsid w:val="68862D0F"/>
    <w:rsid w:val="688E2A69"/>
    <w:rsid w:val="68953223"/>
    <w:rsid w:val="689A7F27"/>
    <w:rsid w:val="68A04E37"/>
    <w:rsid w:val="68A846B1"/>
    <w:rsid w:val="68B824DE"/>
    <w:rsid w:val="68C248EA"/>
    <w:rsid w:val="68CD6CB4"/>
    <w:rsid w:val="68E542A7"/>
    <w:rsid w:val="6913556B"/>
    <w:rsid w:val="69223C5B"/>
    <w:rsid w:val="69313349"/>
    <w:rsid w:val="69386C20"/>
    <w:rsid w:val="6938727E"/>
    <w:rsid w:val="694148E0"/>
    <w:rsid w:val="69426BBF"/>
    <w:rsid w:val="697A6D19"/>
    <w:rsid w:val="697B152C"/>
    <w:rsid w:val="697C221C"/>
    <w:rsid w:val="69930AE0"/>
    <w:rsid w:val="69A60116"/>
    <w:rsid w:val="69B013F1"/>
    <w:rsid w:val="69C61397"/>
    <w:rsid w:val="69CE1960"/>
    <w:rsid w:val="69D1105F"/>
    <w:rsid w:val="69D72936"/>
    <w:rsid w:val="69DD5D13"/>
    <w:rsid w:val="69EF48B2"/>
    <w:rsid w:val="69F77599"/>
    <w:rsid w:val="69FB65DB"/>
    <w:rsid w:val="6A0F720C"/>
    <w:rsid w:val="6A1239C9"/>
    <w:rsid w:val="6A3119CC"/>
    <w:rsid w:val="6A321D4B"/>
    <w:rsid w:val="6A3A7095"/>
    <w:rsid w:val="6A3C5986"/>
    <w:rsid w:val="6A442999"/>
    <w:rsid w:val="6A4448E5"/>
    <w:rsid w:val="6A48352C"/>
    <w:rsid w:val="6A844BC4"/>
    <w:rsid w:val="6A9455FD"/>
    <w:rsid w:val="6AAE4264"/>
    <w:rsid w:val="6ABA168C"/>
    <w:rsid w:val="6AC04B25"/>
    <w:rsid w:val="6AC32CE5"/>
    <w:rsid w:val="6AE12DE8"/>
    <w:rsid w:val="6AEF7E64"/>
    <w:rsid w:val="6B0170AE"/>
    <w:rsid w:val="6B1066CB"/>
    <w:rsid w:val="6B183FCF"/>
    <w:rsid w:val="6B344DF0"/>
    <w:rsid w:val="6B4B4A16"/>
    <w:rsid w:val="6B63021A"/>
    <w:rsid w:val="6B6E5DE7"/>
    <w:rsid w:val="6B6F5ECF"/>
    <w:rsid w:val="6B7A7116"/>
    <w:rsid w:val="6B802974"/>
    <w:rsid w:val="6B9A5C91"/>
    <w:rsid w:val="6BB40BC2"/>
    <w:rsid w:val="6BBB6D2F"/>
    <w:rsid w:val="6BCB406A"/>
    <w:rsid w:val="6BDA315E"/>
    <w:rsid w:val="6BE10E9C"/>
    <w:rsid w:val="6BF151A3"/>
    <w:rsid w:val="6C057051"/>
    <w:rsid w:val="6C091DBB"/>
    <w:rsid w:val="6C0F21D5"/>
    <w:rsid w:val="6C3271B7"/>
    <w:rsid w:val="6C3950FD"/>
    <w:rsid w:val="6C3B6EFF"/>
    <w:rsid w:val="6C521123"/>
    <w:rsid w:val="6C5C00D6"/>
    <w:rsid w:val="6C5E0978"/>
    <w:rsid w:val="6C686111"/>
    <w:rsid w:val="6C6F5A72"/>
    <w:rsid w:val="6C7147F8"/>
    <w:rsid w:val="6C7600D2"/>
    <w:rsid w:val="6C9378A2"/>
    <w:rsid w:val="6C967675"/>
    <w:rsid w:val="6C9D0B3F"/>
    <w:rsid w:val="6CC32720"/>
    <w:rsid w:val="6CC5214A"/>
    <w:rsid w:val="6CC87405"/>
    <w:rsid w:val="6CC929D0"/>
    <w:rsid w:val="6CD43218"/>
    <w:rsid w:val="6CD5451D"/>
    <w:rsid w:val="6CDE3EBC"/>
    <w:rsid w:val="6CE8100F"/>
    <w:rsid w:val="6CEA2DA2"/>
    <w:rsid w:val="6CF76B1C"/>
    <w:rsid w:val="6D0773A5"/>
    <w:rsid w:val="6D0914F3"/>
    <w:rsid w:val="6D201D3F"/>
    <w:rsid w:val="6D2162BA"/>
    <w:rsid w:val="6D35796A"/>
    <w:rsid w:val="6D482EA7"/>
    <w:rsid w:val="6D7C636C"/>
    <w:rsid w:val="6D7F36B1"/>
    <w:rsid w:val="6D85293B"/>
    <w:rsid w:val="6D8E6D68"/>
    <w:rsid w:val="6DBB3515"/>
    <w:rsid w:val="6DCA44A4"/>
    <w:rsid w:val="6DF32DE9"/>
    <w:rsid w:val="6E1D2622"/>
    <w:rsid w:val="6E224F4C"/>
    <w:rsid w:val="6E2D5DD3"/>
    <w:rsid w:val="6E442175"/>
    <w:rsid w:val="6E5C35C6"/>
    <w:rsid w:val="6E617526"/>
    <w:rsid w:val="6E623CB9"/>
    <w:rsid w:val="6E73534E"/>
    <w:rsid w:val="6E8A2403"/>
    <w:rsid w:val="6E925C35"/>
    <w:rsid w:val="6E940F4D"/>
    <w:rsid w:val="6EB44CB0"/>
    <w:rsid w:val="6EDC6E70"/>
    <w:rsid w:val="6EDF4571"/>
    <w:rsid w:val="6EE36D82"/>
    <w:rsid w:val="6EF07249"/>
    <w:rsid w:val="6EFF1F4C"/>
    <w:rsid w:val="6F086442"/>
    <w:rsid w:val="6F0B07C4"/>
    <w:rsid w:val="6F116608"/>
    <w:rsid w:val="6F220D1E"/>
    <w:rsid w:val="6F330E9E"/>
    <w:rsid w:val="6F397796"/>
    <w:rsid w:val="6F416B95"/>
    <w:rsid w:val="6F473724"/>
    <w:rsid w:val="6F5A16CA"/>
    <w:rsid w:val="6F600965"/>
    <w:rsid w:val="6F675EAA"/>
    <w:rsid w:val="6F6A08CB"/>
    <w:rsid w:val="6F6B01D6"/>
    <w:rsid w:val="6F74201A"/>
    <w:rsid w:val="6F792572"/>
    <w:rsid w:val="6F8B7F0D"/>
    <w:rsid w:val="6F8E65A5"/>
    <w:rsid w:val="6F9F49B0"/>
    <w:rsid w:val="6FA50AB7"/>
    <w:rsid w:val="6FBA04D5"/>
    <w:rsid w:val="6FCB0CF7"/>
    <w:rsid w:val="6FCF485A"/>
    <w:rsid w:val="6FD74B0A"/>
    <w:rsid w:val="6FE94361"/>
    <w:rsid w:val="70206203"/>
    <w:rsid w:val="702C54A8"/>
    <w:rsid w:val="70442F3F"/>
    <w:rsid w:val="70460641"/>
    <w:rsid w:val="70603550"/>
    <w:rsid w:val="706459F2"/>
    <w:rsid w:val="706E0500"/>
    <w:rsid w:val="707B61B8"/>
    <w:rsid w:val="7086142A"/>
    <w:rsid w:val="7093251A"/>
    <w:rsid w:val="70A01FD4"/>
    <w:rsid w:val="70A7179D"/>
    <w:rsid w:val="70B63A1E"/>
    <w:rsid w:val="70B67766"/>
    <w:rsid w:val="70BA2B7E"/>
    <w:rsid w:val="70C14345"/>
    <w:rsid w:val="70C21F0B"/>
    <w:rsid w:val="70D03232"/>
    <w:rsid w:val="70D27488"/>
    <w:rsid w:val="70D32BD9"/>
    <w:rsid w:val="70DA0EB4"/>
    <w:rsid w:val="70DC429A"/>
    <w:rsid w:val="70FF4E45"/>
    <w:rsid w:val="710010F4"/>
    <w:rsid w:val="71034277"/>
    <w:rsid w:val="71170D19"/>
    <w:rsid w:val="711B6D51"/>
    <w:rsid w:val="712663AD"/>
    <w:rsid w:val="713118C3"/>
    <w:rsid w:val="713418F7"/>
    <w:rsid w:val="71355EB5"/>
    <w:rsid w:val="71703DF6"/>
    <w:rsid w:val="717D06BD"/>
    <w:rsid w:val="71864323"/>
    <w:rsid w:val="718F48C1"/>
    <w:rsid w:val="7198256C"/>
    <w:rsid w:val="71A55FFE"/>
    <w:rsid w:val="71B27EF0"/>
    <w:rsid w:val="71CE36E5"/>
    <w:rsid w:val="71D310CC"/>
    <w:rsid w:val="71E061E4"/>
    <w:rsid w:val="7205731D"/>
    <w:rsid w:val="720C252B"/>
    <w:rsid w:val="721708BC"/>
    <w:rsid w:val="72216008"/>
    <w:rsid w:val="722D2ABC"/>
    <w:rsid w:val="723140CD"/>
    <w:rsid w:val="72414727"/>
    <w:rsid w:val="724560FA"/>
    <w:rsid w:val="72487520"/>
    <w:rsid w:val="7252420D"/>
    <w:rsid w:val="726141B3"/>
    <w:rsid w:val="726D3090"/>
    <w:rsid w:val="72842EBC"/>
    <w:rsid w:val="72903DBE"/>
    <w:rsid w:val="72A90B13"/>
    <w:rsid w:val="72A97CE8"/>
    <w:rsid w:val="72CD4B67"/>
    <w:rsid w:val="72D26F8E"/>
    <w:rsid w:val="72F153C9"/>
    <w:rsid w:val="73082558"/>
    <w:rsid w:val="731B0D8F"/>
    <w:rsid w:val="73222073"/>
    <w:rsid w:val="732324D9"/>
    <w:rsid w:val="732B2414"/>
    <w:rsid w:val="73327668"/>
    <w:rsid w:val="73605E3A"/>
    <w:rsid w:val="73663A61"/>
    <w:rsid w:val="736E4159"/>
    <w:rsid w:val="737B5F85"/>
    <w:rsid w:val="73853C4C"/>
    <w:rsid w:val="738F6E24"/>
    <w:rsid w:val="73962032"/>
    <w:rsid w:val="739F6107"/>
    <w:rsid w:val="73A467AB"/>
    <w:rsid w:val="73A66A49"/>
    <w:rsid w:val="73A93C90"/>
    <w:rsid w:val="73A96C5B"/>
    <w:rsid w:val="73AA197D"/>
    <w:rsid w:val="73C64D7F"/>
    <w:rsid w:val="73C94F9E"/>
    <w:rsid w:val="73D04344"/>
    <w:rsid w:val="73DB3A20"/>
    <w:rsid w:val="73F77EA5"/>
    <w:rsid w:val="73FE74C1"/>
    <w:rsid w:val="740555B2"/>
    <w:rsid w:val="741114EB"/>
    <w:rsid w:val="743350CC"/>
    <w:rsid w:val="74934335"/>
    <w:rsid w:val="749D71E9"/>
    <w:rsid w:val="74B011A5"/>
    <w:rsid w:val="74E754D4"/>
    <w:rsid w:val="74E77798"/>
    <w:rsid w:val="74E777D0"/>
    <w:rsid w:val="74EC37E2"/>
    <w:rsid w:val="74FE4C16"/>
    <w:rsid w:val="75103172"/>
    <w:rsid w:val="7510601B"/>
    <w:rsid w:val="7523723A"/>
    <w:rsid w:val="7525273D"/>
    <w:rsid w:val="75443E76"/>
    <w:rsid w:val="75471DAA"/>
    <w:rsid w:val="75504D39"/>
    <w:rsid w:val="756C198A"/>
    <w:rsid w:val="756C2BDA"/>
    <w:rsid w:val="757B0F4D"/>
    <w:rsid w:val="75845FDA"/>
    <w:rsid w:val="75967A88"/>
    <w:rsid w:val="75A63A9F"/>
    <w:rsid w:val="75A76CF1"/>
    <w:rsid w:val="75A87EB7"/>
    <w:rsid w:val="75B06BB6"/>
    <w:rsid w:val="75CA3569"/>
    <w:rsid w:val="75EF348B"/>
    <w:rsid w:val="75F0310B"/>
    <w:rsid w:val="75FD406D"/>
    <w:rsid w:val="76145174"/>
    <w:rsid w:val="76226D8F"/>
    <w:rsid w:val="762672BA"/>
    <w:rsid w:val="762E0262"/>
    <w:rsid w:val="76561C09"/>
    <w:rsid w:val="765E373E"/>
    <w:rsid w:val="76931A1A"/>
    <w:rsid w:val="76A14677"/>
    <w:rsid w:val="76A9613C"/>
    <w:rsid w:val="76BB319E"/>
    <w:rsid w:val="76EB0FB9"/>
    <w:rsid w:val="76F26FD5"/>
    <w:rsid w:val="774B5945"/>
    <w:rsid w:val="776F6FC2"/>
    <w:rsid w:val="777D4DB3"/>
    <w:rsid w:val="777F0C82"/>
    <w:rsid w:val="77802EB0"/>
    <w:rsid w:val="7794703F"/>
    <w:rsid w:val="77A74D8E"/>
    <w:rsid w:val="77B550DC"/>
    <w:rsid w:val="77BA3484"/>
    <w:rsid w:val="77C7448E"/>
    <w:rsid w:val="77CE269B"/>
    <w:rsid w:val="77CE7084"/>
    <w:rsid w:val="77D83B30"/>
    <w:rsid w:val="77DB7E3A"/>
    <w:rsid w:val="77E42641"/>
    <w:rsid w:val="77E6773D"/>
    <w:rsid w:val="77F96D63"/>
    <w:rsid w:val="78044EAE"/>
    <w:rsid w:val="78105619"/>
    <w:rsid w:val="78111155"/>
    <w:rsid w:val="78114153"/>
    <w:rsid w:val="7811438C"/>
    <w:rsid w:val="781620F9"/>
    <w:rsid w:val="783103BA"/>
    <w:rsid w:val="78484564"/>
    <w:rsid w:val="78667397"/>
    <w:rsid w:val="787943C9"/>
    <w:rsid w:val="787B730A"/>
    <w:rsid w:val="7881265D"/>
    <w:rsid w:val="788B25B4"/>
    <w:rsid w:val="788C4D0C"/>
    <w:rsid w:val="78962BAC"/>
    <w:rsid w:val="789C1AAD"/>
    <w:rsid w:val="789D7E73"/>
    <w:rsid w:val="78A83641"/>
    <w:rsid w:val="78BD7DA6"/>
    <w:rsid w:val="78BF2DD7"/>
    <w:rsid w:val="78E679FB"/>
    <w:rsid w:val="78EF4284"/>
    <w:rsid w:val="78F072FB"/>
    <w:rsid w:val="792C1010"/>
    <w:rsid w:val="793A05A6"/>
    <w:rsid w:val="7941367F"/>
    <w:rsid w:val="796B11C3"/>
    <w:rsid w:val="796F6DAA"/>
    <w:rsid w:val="79757554"/>
    <w:rsid w:val="7990495E"/>
    <w:rsid w:val="7999518A"/>
    <w:rsid w:val="79A10018"/>
    <w:rsid w:val="79A71F7E"/>
    <w:rsid w:val="79AF0811"/>
    <w:rsid w:val="79C07B5A"/>
    <w:rsid w:val="79C1634F"/>
    <w:rsid w:val="79CC46E0"/>
    <w:rsid w:val="79DD628E"/>
    <w:rsid w:val="79E177E0"/>
    <w:rsid w:val="79FB1281"/>
    <w:rsid w:val="7A0125B8"/>
    <w:rsid w:val="7A107C9D"/>
    <w:rsid w:val="7A403BB7"/>
    <w:rsid w:val="7A532470"/>
    <w:rsid w:val="7A6A54E3"/>
    <w:rsid w:val="7A72376E"/>
    <w:rsid w:val="7A99479A"/>
    <w:rsid w:val="7A9A769D"/>
    <w:rsid w:val="7AA443C3"/>
    <w:rsid w:val="7AA77D41"/>
    <w:rsid w:val="7AA81C9E"/>
    <w:rsid w:val="7AA83BDB"/>
    <w:rsid w:val="7AC46E76"/>
    <w:rsid w:val="7AE24959"/>
    <w:rsid w:val="7AEC47DE"/>
    <w:rsid w:val="7AF41F87"/>
    <w:rsid w:val="7B05312C"/>
    <w:rsid w:val="7B074467"/>
    <w:rsid w:val="7B1455B5"/>
    <w:rsid w:val="7B227414"/>
    <w:rsid w:val="7B3F45C1"/>
    <w:rsid w:val="7B404318"/>
    <w:rsid w:val="7B484ED1"/>
    <w:rsid w:val="7B683207"/>
    <w:rsid w:val="7B723BD9"/>
    <w:rsid w:val="7B762B5C"/>
    <w:rsid w:val="7B7D7929"/>
    <w:rsid w:val="7B8E4CE6"/>
    <w:rsid w:val="7B943CCB"/>
    <w:rsid w:val="7B956104"/>
    <w:rsid w:val="7B975160"/>
    <w:rsid w:val="7BA86828"/>
    <w:rsid w:val="7BAA3C71"/>
    <w:rsid w:val="7BB00AA1"/>
    <w:rsid w:val="7BB954DB"/>
    <w:rsid w:val="7BBA3F0B"/>
    <w:rsid w:val="7BCD1D3D"/>
    <w:rsid w:val="7BDF2657"/>
    <w:rsid w:val="7BE532E0"/>
    <w:rsid w:val="7BFE58F9"/>
    <w:rsid w:val="7C15481A"/>
    <w:rsid w:val="7C297EC3"/>
    <w:rsid w:val="7C376227"/>
    <w:rsid w:val="7C3C5070"/>
    <w:rsid w:val="7C3C603E"/>
    <w:rsid w:val="7C400BED"/>
    <w:rsid w:val="7C4902F7"/>
    <w:rsid w:val="7C4B1A08"/>
    <w:rsid w:val="7C555CC5"/>
    <w:rsid w:val="7C67274C"/>
    <w:rsid w:val="7C805C46"/>
    <w:rsid w:val="7C99137B"/>
    <w:rsid w:val="7CA83143"/>
    <w:rsid w:val="7CA97DC4"/>
    <w:rsid w:val="7CB165D7"/>
    <w:rsid w:val="7CB805AB"/>
    <w:rsid w:val="7CBD3F44"/>
    <w:rsid w:val="7CC23476"/>
    <w:rsid w:val="7CC47011"/>
    <w:rsid w:val="7CD13FAA"/>
    <w:rsid w:val="7CD21154"/>
    <w:rsid w:val="7CE008FD"/>
    <w:rsid w:val="7CE558F0"/>
    <w:rsid w:val="7CE7526B"/>
    <w:rsid w:val="7CE82B5C"/>
    <w:rsid w:val="7CEC5AA1"/>
    <w:rsid w:val="7CFC48D2"/>
    <w:rsid w:val="7CFF17F3"/>
    <w:rsid w:val="7CFF7B14"/>
    <w:rsid w:val="7D1711AB"/>
    <w:rsid w:val="7D3B0B84"/>
    <w:rsid w:val="7D471E10"/>
    <w:rsid w:val="7D497CCD"/>
    <w:rsid w:val="7D5052CB"/>
    <w:rsid w:val="7D5B6439"/>
    <w:rsid w:val="7D634F21"/>
    <w:rsid w:val="7D6811EC"/>
    <w:rsid w:val="7D6E297B"/>
    <w:rsid w:val="7D896865"/>
    <w:rsid w:val="7D921593"/>
    <w:rsid w:val="7D941020"/>
    <w:rsid w:val="7DA131EB"/>
    <w:rsid w:val="7DBA46A3"/>
    <w:rsid w:val="7DBE58DA"/>
    <w:rsid w:val="7DC47C41"/>
    <w:rsid w:val="7DC73FEB"/>
    <w:rsid w:val="7DFC1BDB"/>
    <w:rsid w:val="7DFE2E40"/>
    <w:rsid w:val="7DFE3445"/>
    <w:rsid w:val="7E145626"/>
    <w:rsid w:val="7E350D9C"/>
    <w:rsid w:val="7E765088"/>
    <w:rsid w:val="7E7D77C7"/>
    <w:rsid w:val="7E8E272F"/>
    <w:rsid w:val="7E91602D"/>
    <w:rsid w:val="7EBA46FF"/>
    <w:rsid w:val="7EC17A30"/>
    <w:rsid w:val="7ECD5A97"/>
    <w:rsid w:val="7EE70380"/>
    <w:rsid w:val="7EED3DCE"/>
    <w:rsid w:val="7F0D6881"/>
    <w:rsid w:val="7F1A2313"/>
    <w:rsid w:val="7F1B3F05"/>
    <w:rsid w:val="7F21209E"/>
    <w:rsid w:val="7F242C23"/>
    <w:rsid w:val="7F2772BF"/>
    <w:rsid w:val="7F2E4837"/>
    <w:rsid w:val="7F5247B6"/>
    <w:rsid w:val="7F5B0FCD"/>
    <w:rsid w:val="7F633A0C"/>
    <w:rsid w:val="7F7052A0"/>
    <w:rsid w:val="7F8E2101"/>
    <w:rsid w:val="7F9D7655"/>
    <w:rsid w:val="7FA64E39"/>
    <w:rsid w:val="7FBE2A85"/>
    <w:rsid w:val="7FC44FCE"/>
    <w:rsid w:val="7FC86FB4"/>
    <w:rsid w:val="7FCC6406"/>
    <w:rsid w:val="7FF22FF1"/>
    <w:rsid w:val="7FF455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75"/>
    <w:qFormat/>
    <w:uiPriority w:val="0"/>
    <w:pPr>
      <w:keepNext/>
      <w:keepLines/>
      <w:spacing w:before="260" w:after="260" w:line="416" w:lineRule="auto"/>
      <w:outlineLvl w:val="2"/>
    </w:pPr>
    <w:rPr>
      <w:rFonts w:ascii="Arial" w:hAnsi="Arial" w:eastAsia="Times New Roman"/>
      <w:b/>
      <w:bCs/>
      <w:sz w:val="32"/>
      <w:szCs w:val="32"/>
      <w:lang w:eastAsia="en-US"/>
    </w:rPr>
  </w:style>
  <w:style w:type="paragraph" w:styleId="5">
    <w:name w:val="heading 4"/>
    <w:basedOn w:val="1"/>
    <w:next w:val="1"/>
    <w:qFormat/>
    <w:uiPriority w:val="0"/>
    <w:pPr>
      <w:keepNext/>
      <w:keepLines/>
      <w:adjustRightInd w:val="0"/>
      <w:snapToGrid w:val="0"/>
      <w:textAlignment w:val="baseline"/>
      <w:outlineLvl w:val="3"/>
    </w:pPr>
    <w:rPr>
      <w:rFonts w:ascii="黑体" w:eastAsia="黑体"/>
      <w:b/>
      <w:kern w:val="0"/>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caption"/>
    <w:basedOn w:val="1"/>
    <w:next w:val="1"/>
    <w:unhideWhenUsed/>
    <w:qFormat/>
    <w:uiPriority w:val="0"/>
    <w:rPr>
      <w:rFonts w:ascii="Arial" w:hAnsi="Arial" w:eastAsia="黑体"/>
      <w:sz w:val="20"/>
    </w:rPr>
  </w:style>
  <w:style w:type="paragraph" w:styleId="8">
    <w:name w:val="annotation text"/>
    <w:basedOn w:val="1"/>
    <w:link w:val="64"/>
    <w:qFormat/>
    <w:uiPriority w:val="0"/>
    <w:pPr>
      <w:jc w:val="left"/>
    </w:pPr>
    <w:rPr>
      <w:rFonts w:ascii="Arial" w:hAnsi="Arial" w:eastAsia="Times New Roman"/>
      <w:lang w:eastAsia="en-US"/>
    </w:rPr>
  </w:style>
  <w:style w:type="paragraph" w:styleId="9">
    <w:name w:val="Body Text"/>
    <w:basedOn w:val="1"/>
    <w:link w:val="73"/>
    <w:qFormat/>
    <w:uiPriority w:val="0"/>
    <w:pPr>
      <w:spacing w:line="480" w:lineRule="auto"/>
    </w:pPr>
    <w:rPr>
      <w:b/>
      <w:bCs/>
      <w:kern w:val="0"/>
      <w:sz w:val="24"/>
      <w:szCs w:val="20"/>
    </w:rPr>
  </w:style>
  <w:style w:type="paragraph" w:styleId="10">
    <w:name w:val="Body Text Indent"/>
    <w:basedOn w:val="1"/>
    <w:next w:val="9"/>
    <w:qFormat/>
    <w:uiPriority w:val="0"/>
    <w:pPr>
      <w:spacing w:after="120"/>
      <w:ind w:left="420" w:leftChars="200"/>
    </w:pPr>
    <w:rPr>
      <w:szCs w:val="20"/>
    </w:rPr>
  </w:style>
  <w:style w:type="paragraph" w:styleId="11">
    <w:name w:val="Block Text"/>
    <w:basedOn w:val="1"/>
    <w:unhideWhenUsed/>
    <w:qFormat/>
    <w:uiPriority w:val="99"/>
    <w:pPr>
      <w:autoSpaceDE w:val="0"/>
      <w:autoSpaceDN w:val="0"/>
      <w:spacing w:before="1" w:line="537" w:lineRule="exact"/>
      <w:ind w:left="88" w:right="6"/>
    </w:pPr>
  </w:style>
  <w:style w:type="paragraph" w:styleId="12">
    <w:name w:val="Plain Text"/>
    <w:basedOn w:val="1"/>
    <w:qFormat/>
    <w:uiPriority w:val="0"/>
    <w:rPr>
      <w:rFonts w:ascii="宋体" w:hAnsi="Courier New" w:cs="Courier New"/>
      <w:szCs w:val="21"/>
    </w:rPr>
  </w:style>
  <w:style w:type="paragraph" w:styleId="13">
    <w:name w:val="Date"/>
    <w:basedOn w:val="1"/>
    <w:next w:val="1"/>
    <w:qFormat/>
    <w:uiPriority w:val="0"/>
    <w:rPr>
      <w:sz w:val="28"/>
      <w:szCs w:val="20"/>
    </w:rPr>
  </w:style>
  <w:style w:type="paragraph" w:styleId="14">
    <w:name w:val="Body Text Indent 2"/>
    <w:basedOn w:val="1"/>
    <w:qFormat/>
    <w:uiPriority w:val="0"/>
    <w:pPr>
      <w:spacing w:line="360" w:lineRule="auto"/>
      <w:ind w:firstLine="612"/>
    </w:pPr>
    <w:rPr>
      <w:sz w:val="28"/>
    </w:rPr>
  </w:style>
  <w:style w:type="paragraph" w:styleId="15">
    <w:name w:val="Balloon Text"/>
    <w:basedOn w:val="1"/>
    <w:link w:val="76"/>
    <w:qFormat/>
    <w:uiPriority w:val="0"/>
    <w:rPr>
      <w:rFonts w:ascii="Arial" w:hAnsi="Arial" w:eastAsia="Times New Roman"/>
      <w:sz w:val="18"/>
      <w:szCs w:val="18"/>
      <w:lang w:eastAsia="en-US"/>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Body Text Indent 3"/>
    <w:basedOn w:val="1"/>
    <w:qFormat/>
    <w:uiPriority w:val="0"/>
    <w:pPr>
      <w:spacing w:line="360" w:lineRule="auto"/>
      <w:ind w:firstLine="560" w:firstLineChars="200"/>
    </w:pPr>
    <w:rPr>
      <w:sz w:val="28"/>
    </w:rPr>
  </w:style>
  <w:style w:type="paragraph" w:styleId="19">
    <w:name w:val="Body Text 2"/>
    <w:basedOn w:val="1"/>
    <w:qFormat/>
    <w:uiPriority w:val="0"/>
    <w:rPr>
      <w:color w:val="000000"/>
      <w:sz w:val="24"/>
    </w:rPr>
  </w:style>
  <w:style w:type="paragraph" w:styleId="20">
    <w:name w:val="Normal (Web)"/>
    <w:basedOn w:val="1"/>
    <w:qFormat/>
    <w:uiPriority w:val="99"/>
    <w:pPr>
      <w:widowControl/>
      <w:spacing w:before="100" w:after="100"/>
      <w:jc w:val="left"/>
    </w:pPr>
    <w:rPr>
      <w:rFonts w:ascii="宋体" w:hAnsi="宋体"/>
      <w:color w:val="000000"/>
      <w:kern w:val="0"/>
      <w:sz w:val="24"/>
    </w:rPr>
  </w:style>
  <w:style w:type="paragraph" w:styleId="21">
    <w:name w:val="annotation subject"/>
    <w:basedOn w:val="8"/>
    <w:next w:val="8"/>
    <w:link w:val="63"/>
    <w:qFormat/>
    <w:uiPriority w:val="0"/>
    <w:rPr>
      <w:b/>
      <w:bCs/>
    </w:rPr>
  </w:style>
  <w:style w:type="paragraph" w:styleId="22">
    <w:name w:val="Body Text First Indent"/>
    <w:basedOn w:val="9"/>
    <w:unhideWhenUsed/>
    <w:qFormat/>
    <w:uiPriority w:val="99"/>
    <w:pPr>
      <w:spacing w:line="360" w:lineRule="auto"/>
      <w:ind w:firstLine="420"/>
    </w:p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qFormat/>
    <w:uiPriority w:val="0"/>
    <w:rPr>
      <w:b/>
      <w:bCs/>
    </w:rPr>
  </w:style>
  <w:style w:type="character" w:styleId="27">
    <w:name w:val="page number"/>
    <w:basedOn w:val="25"/>
    <w:qFormat/>
    <w:uiPriority w:val="0"/>
  </w:style>
  <w:style w:type="character" w:styleId="28">
    <w:name w:val="FollowedHyperlink"/>
    <w:unhideWhenUsed/>
    <w:qFormat/>
    <w:uiPriority w:val="99"/>
    <w:rPr>
      <w:color w:val="005BB9"/>
      <w:u w:val="none"/>
    </w:rPr>
  </w:style>
  <w:style w:type="character" w:styleId="29">
    <w:name w:val="Emphasis"/>
    <w:qFormat/>
    <w:uiPriority w:val="0"/>
  </w:style>
  <w:style w:type="character" w:styleId="30">
    <w:name w:val="HTML Definition"/>
    <w:qFormat/>
    <w:uiPriority w:val="0"/>
  </w:style>
  <w:style w:type="character" w:styleId="31">
    <w:name w:val="HTML Variable"/>
    <w:qFormat/>
    <w:uiPriority w:val="0"/>
  </w:style>
  <w:style w:type="character" w:styleId="32">
    <w:name w:val="Hyperlink"/>
    <w:qFormat/>
    <w:uiPriority w:val="0"/>
    <w:rPr>
      <w:rFonts w:ascii="Arial" w:hAnsi="Arial" w:eastAsia="Times New Roman" w:cs="Verdana"/>
      <w:b/>
      <w:color w:val="0000FF"/>
      <w:kern w:val="0"/>
      <w:sz w:val="24"/>
      <w:szCs w:val="24"/>
      <w:u w:val="single"/>
      <w:lang w:eastAsia="en-US"/>
    </w:rPr>
  </w:style>
  <w:style w:type="character" w:styleId="33">
    <w:name w:val="HTML Code"/>
    <w:qFormat/>
    <w:uiPriority w:val="0"/>
    <w:rPr>
      <w:rFonts w:ascii="Courier New" w:hAnsi="Courier New" w:eastAsia="Courier New" w:cs="Courier New"/>
      <w:sz w:val="20"/>
    </w:rPr>
  </w:style>
  <w:style w:type="character" w:styleId="34">
    <w:name w:val="annotation reference"/>
    <w:qFormat/>
    <w:uiPriority w:val="0"/>
    <w:rPr>
      <w:rFonts w:ascii="Arial" w:hAnsi="Arial" w:eastAsia="Times New Roman" w:cs="Verdana"/>
      <w:b/>
      <w:kern w:val="0"/>
      <w:sz w:val="21"/>
      <w:szCs w:val="21"/>
      <w:lang w:eastAsia="en-US"/>
    </w:rPr>
  </w:style>
  <w:style w:type="character" w:styleId="35">
    <w:name w:val="HTML Cite"/>
    <w:qFormat/>
    <w:uiPriority w:val="0"/>
  </w:style>
  <w:style w:type="character" w:styleId="36">
    <w:name w:val="HTML Keyboard"/>
    <w:qFormat/>
    <w:uiPriority w:val="0"/>
    <w:rPr>
      <w:rFonts w:ascii="Courier New" w:hAnsi="Courier New" w:eastAsia="Courier New" w:cs="Courier New"/>
      <w:sz w:val="20"/>
    </w:rPr>
  </w:style>
  <w:style w:type="character" w:styleId="37">
    <w:name w:val="HTML Sample"/>
    <w:qFormat/>
    <w:uiPriority w:val="0"/>
    <w:rPr>
      <w:rFonts w:ascii="Courier New" w:hAnsi="Courier New" w:eastAsia="Courier New" w:cs="Courier New"/>
    </w:rPr>
  </w:style>
  <w:style w:type="paragraph" w:customStyle="1" w:styleId="38">
    <w:name w:val="0正文"/>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39">
    <w:name w:val="正文内容"/>
    <w:basedOn w:val="1"/>
    <w:qFormat/>
    <w:uiPriority w:val="0"/>
    <w:pPr>
      <w:spacing w:line="360" w:lineRule="auto"/>
      <w:ind w:firstLine="200" w:firstLineChars="200"/>
      <w:jc w:val="left"/>
    </w:pPr>
    <w:rPr>
      <w:rFonts w:ascii="宋体" w:hAnsi="宋体"/>
      <w:sz w:val="24"/>
    </w:rPr>
  </w:style>
  <w:style w:type="character" w:customStyle="1" w:styleId="40">
    <w:name w:val="sidecatalog-index2"/>
    <w:qFormat/>
    <w:uiPriority w:val="0"/>
    <w:rPr>
      <w:rFonts w:ascii="Arail" w:hAnsi="Arail" w:eastAsia="Arail" w:cs="Arail"/>
      <w:color w:val="999999"/>
      <w:sz w:val="21"/>
      <w:szCs w:val="21"/>
    </w:rPr>
  </w:style>
  <w:style w:type="character" w:customStyle="1" w:styleId="41">
    <w:name w:val="sidecatalog-dot4"/>
    <w:basedOn w:val="25"/>
    <w:qFormat/>
    <w:uiPriority w:val="0"/>
  </w:style>
  <w:style w:type="character" w:customStyle="1" w:styleId="42">
    <w:name w:val="bds_more9"/>
    <w:basedOn w:val="25"/>
    <w:qFormat/>
    <w:uiPriority w:val="0"/>
  </w:style>
  <w:style w:type="character" w:customStyle="1" w:styleId="43">
    <w:name w:val="bds_more3"/>
    <w:basedOn w:val="25"/>
    <w:qFormat/>
    <w:uiPriority w:val="0"/>
  </w:style>
  <w:style w:type="character" w:customStyle="1" w:styleId="44">
    <w:name w:val="morelink-item"/>
    <w:qFormat/>
    <w:uiPriority w:val="0"/>
  </w:style>
  <w:style w:type="character" w:customStyle="1" w:styleId="45">
    <w:name w:val="legend"/>
    <w:qFormat/>
    <w:uiPriority w:val="0"/>
    <w:rPr>
      <w:color w:val="73B304"/>
      <w:shd w:val="clear" w:color="auto" w:fill="FFFFFF"/>
    </w:rPr>
  </w:style>
  <w:style w:type="character" w:customStyle="1" w:styleId="46">
    <w:name w:val="bds_nopic1"/>
    <w:basedOn w:val="25"/>
    <w:qFormat/>
    <w:uiPriority w:val="0"/>
  </w:style>
  <w:style w:type="character" w:customStyle="1" w:styleId="47">
    <w:name w:val="ht1"/>
    <w:qFormat/>
    <w:uiPriority w:val="0"/>
    <w:rPr>
      <w:rFonts w:ascii="黑体" w:eastAsia="黑体"/>
      <w:b/>
    </w:rPr>
  </w:style>
  <w:style w:type="character" w:customStyle="1" w:styleId="48">
    <w:name w:val="bds_more7"/>
    <w:qFormat/>
    <w:uiPriority w:val="0"/>
    <w:rPr>
      <w:rFonts w:hint="eastAsia" w:ascii="宋体" w:hAnsi="宋体" w:eastAsia="宋体" w:cs="宋体"/>
    </w:rPr>
  </w:style>
  <w:style w:type="character" w:customStyle="1" w:styleId="49">
    <w:name w:val="bds_more8"/>
    <w:basedOn w:val="25"/>
    <w:qFormat/>
    <w:uiPriority w:val="0"/>
  </w:style>
  <w:style w:type="character" w:customStyle="1" w:styleId="50">
    <w:name w:val="desc"/>
    <w:qFormat/>
    <w:uiPriority w:val="0"/>
    <w:rPr>
      <w:color w:val="000000"/>
      <w:sz w:val="18"/>
      <w:szCs w:val="18"/>
    </w:rPr>
  </w:style>
  <w:style w:type="character" w:customStyle="1" w:styleId="51">
    <w:name w:val="apple-converted-space"/>
    <w:basedOn w:val="25"/>
    <w:qFormat/>
    <w:uiPriority w:val="0"/>
  </w:style>
  <w:style w:type="character" w:customStyle="1" w:styleId="52">
    <w:name w:val="lemmatitleh12"/>
    <w:basedOn w:val="25"/>
    <w:qFormat/>
    <w:uiPriority w:val="0"/>
  </w:style>
  <w:style w:type="character" w:customStyle="1" w:styleId="53">
    <w:name w:val="sort1"/>
    <w:qFormat/>
    <w:uiPriority w:val="0"/>
    <w:rPr>
      <w:color w:val="FFFFFF"/>
      <w:bdr w:val="single" w:color="auto" w:sz="24" w:space="0"/>
    </w:rPr>
  </w:style>
  <w:style w:type="character" w:customStyle="1" w:styleId="54">
    <w:name w:val="font01"/>
    <w:basedOn w:val="25"/>
    <w:qFormat/>
    <w:uiPriority w:val="0"/>
    <w:rPr>
      <w:rFonts w:ascii="font-weight : 400" w:hAnsi="font-weight : 400" w:eastAsia="font-weight : 400" w:cs="font-weight : 400"/>
      <w:color w:val="000000"/>
      <w:sz w:val="22"/>
      <w:szCs w:val="22"/>
      <w:u w:val="none"/>
    </w:rPr>
  </w:style>
  <w:style w:type="character" w:customStyle="1" w:styleId="55">
    <w:name w:val="polysemyexp"/>
    <w:qFormat/>
    <w:uiPriority w:val="0"/>
    <w:rPr>
      <w:color w:val="AAAAAA"/>
      <w:sz w:val="18"/>
      <w:szCs w:val="18"/>
    </w:rPr>
  </w:style>
  <w:style w:type="character" w:customStyle="1" w:styleId="56">
    <w:name w:val="sidecatalog-index1"/>
    <w:qFormat/>
    <w:uiPriority w:val="0"/>
    <w:rPr>
      <w:rFonts w:ascii="Arial" w:hAnsi="Arial" w:cs="Arial"/>
      <w:b/>
      <w:color w:val="999999"/>
      <w:sz w:val="21"/>
      <w:szCs w:val="21"/>
    </w:rPr>
  </w:style>
  <w:style w:type="character" w:customStyle="1" w:styleId="57">
    <w:name w:val="bds_more"/>
    <w:qFormat/>
    <w:uiPriority w:val="0"/>
    <w:rPr>
      <w:rFonts w:hint="eastAsia" w:ascii="宋体" w:hAnsi="宋体" w:eastAsia="宋体" w:cs="宋体"/>
    </w:rPr>
  </w:style>
  <w:style w:type="character" w:customStyle="1" w:styleId="58">
    <w:name w:val="polysemyred"/>
    <w:qFormat/>
    <w:uiPriority w:val="0"/>
    <w:rPr>
      <w:color w:val="FF6666"/>
      <w:sz w:val="18"/>
      <w:szCs w:val="18"/>
    </w:rPr>
  </w:style>
  <w:style w:type="character" w:customStyle="1" w:styleId="59">
    <w:name w:val="sidecatalog-dot"/>
    <w:basedOn w:val="25"/>
    <w:qFormat/>
    <w:uiPriority w:val="0"/>
  </w:style>
  <w:style w:type="character" w:customStyle="1" w:styleId="60">
    <w:name w:val="bds_nopic2"/>
    <w:basedOn w:val="25"/>
    <w:qFormat/>
    <w:uiPriority w:val="0"/>
  </w:style>
  <w:style w:type="character" w:customStyle="1" w:styleId="61">
    <w:name w:val="bds_more2"/>
    <w:basedOn w:val="25"/>
    <w:qFormat/>
    <w:uiPriority w:val="0"/>
  </w:style>
  <w:style w:type="character" w:customStyle="1" w:styleId="62">
    <w:name w:val="bds_nopic"/>
    <w:basedOn w:val="25"/>
    <w:qFormat/>
    <w:uiPriority w:val="0"/>
  </w:style>
  <w:style w:type="character" w:customStyle="1" w:styleId="63">
    <w:name w:val="批注主题 Char"/>
    <w:link w:val="21"/>
    <w:qFormat/>
    <w:uiPriority w:val="0"/>
    <w:rPr>
      <w:rFonts w:ascii="Arial" w:hAnsi="Arial" w:eastAsia="Times New Roman" w:cs="Verdana"/>
      <w:b/>
      <w:bCs/>
      <w:kern w:val="2"/>
      <w:sz w:val="21"/>
      <w:szCs w:val="24"/>
      <w:lang w:eastAsia="en-US"/>
    </w:rPr>
  </w:style>
  <w:style w:type="character" w:customStyle="1" w:styleId="64">
    <w:name w:val="批注文字 Char"/>
    <w:link w:val="8"/>
    <w:qFormat/>
    <w:uiPriority w:val="0"/>
    <w:rPr>
      <w:rFonts w:ascii="Arial" w:hAnsi="Arial" w:eastAsia="Times New Roman" w:cs="Verdana"/>
      <w:kern w:val="2"/>
      <w:sz w:val="21"/>
      <w:szCs w:val="24"/>
      <w:lang w:eastAsia="en-US"/>
    </w:rPr>
  </w:style>
  <w:style w:type="character" w:customStyle="1" w:styleId="65">
    <w:name w:val="plus"/>
    <w:qFormat/>
    <w:uiPriority w:val="0"/>
    <w:rPr>
      <w:b/>
      <w:vanish/>
      <w:color w:val="1F8DEF"/>
      <w:sz w:val="24"/>
      <w:szCs w:val="24"/>
    </w:rPr>
  </w:style>
  <w:style w:type="character" w:customStyle="1" w:styleId="66">
    <w:name w:val="desc12"/>
    <w:qFormat/>
    <w:uiPriority w:val="0"/>
    <w:rPr>
      <w:color w:val="000000"/>
      <w:sz w:val="18"/>
      <w:szCs w:val="18"/>
    </w:rPr>
  </w:style>
  <w:style w:type="character" w:customStyle="1" w:styleId="67">
    <w:name w:val="sidecatalog-dot5"/>
    <w:basedOn w:val="25"/>
    <w:qFormat/>
    <w:uiPriority w:val="0"/>
  </w:style>
  <w:style w:type="character" w:customStyle="1" w:styleId="68">
    <w:name w:val="bds_more4"/>
    <w:basedOn w:val="25"/>
    <w:qFormat/>
    <w:uiPriority w:val="0"/>
  </w:style>
  <w:style w:type="character" w:customStyle="1" w:styleId="69">
    <w:name w:val="sort"/>
    <w:basedOn w:val="25"/>
    <w:qFormat/>
    <w:uiPriority w:val="0"/>
  </w:style>
  <w:style w:type="character" w:customStyle="1" w:styleId="70">
    <w:name w:val="bds_more1"/>
    <w:basedOn w:val="25"/>
    <w:qFormat/>
    <w:uiPriority w:val="0"/>
  </w:style>
  <w:style w:type="character" w:customStyle="1" w:styleId="71">
    <w:name w:val="lemmatitleh1"/>
    <w:basedOn w:val="25"/>
    <w:qFormat/>
    <w:uiPriority w:val="0"/>
  </w:style>
  <w:style w:type="character" w:customStyle="1" w:styleId="72">
    <w:name w:val="bds_more6"/>
    <w:basedOn w:val="25"/>
    <w:qFormat/>
    <w:uiPriority w:val="0"/>
  </w:style>
  <w:style w:type="character" w:customStyle="1" w:styleId="73">
    <w:name w:val="正文文本 Char"/>
    <w:link w:val="9"/>
    <w:qFormat/>
    <w:uiPriority w:val="0"/>
    <w:rPr>
      <w:b/>
      <w:bCs/>
      <w:sz w:val="24"/>
    </w:rPr>
  </w:style>
  <w:style w:type="character" w:customStyle="1" w:styleId="74">
    <w:name w:val="sidecatalog-dot1"/>
    <w:basedOn w:val="25"/>
    <w:qFormat/>
    <w:uiPriority w:val="0"/>
  </w:style>
  <w:style w:type="character" w:customStyle="1" w:styleId="75">
    <w:name w:val="标题 3 Char"/>
    <w:link w:val="4"/>
    <w:qFormat/>
    <w:uiPriority w:val="0"/>
    <w:rPr>
      <w:rFonts w:ascii="Arial" w:hAnsi="Arial" w:eastAsia="Times New Roman" w:cs="Verdana"/>
      <w:b/>
      <w:bCs/>
      <w:kern w:val="2"/>
      <w:sz w:val="32"/>
      <w:szCs w:val="32"/>
      <w:lang w:eastAsia="en-US"/>
    </w:rPr>
  </w:style>
  <w:style w:type="character" w:customStyle="1" w:styleId="76">
    <w:name w:val="批注框文本 Char"/>
    <w:link w:val="15"/>
    <w:qFormat/>
    <w:uiPriority w:val="0"/>
    <w:rPr>
      <w:rFonts w:ascii="Arial" w:hAnsi="Arial" w:eastAsia="Times New Roman" w:cs="Verdana"/>
      <w:kern w:val="2"/>
      <w:sz w:val="18"/>
      <w:szCs w:val="18"/>
      <w:lang w:eastAsia="en-US"/>
    </w:rPr>
  </w:style>
  <w:style w:type="character" w:customStyle="1" w:styleId="77">
    <w:name w:val="num"/>
    <w:qFormat/>
    <w:uiPriority w:val="0"/>
    <w:rPr>
      <w:b/>
      <w:color w:val="FF7800"/>
    </w:rPr>
  </w:style>
  <w:style w:type="character" w:customStyle="1" w:styleId="78">
    <w:name w:val="bds_more10"/>
    <w:basedOn w:val="25"/>
    <w:qFormat/>
    <w:uiPriority w:val="0"/>
  </w:style>
  <w:style w:type="paragraph" w:customStyle="1" w:styleId="79">
    <w:name w:val="Char"/>
    <w:basedOn w:val="1"/>
    <w:qFormat/>
    <w:uiPriority w:val="0"/>
    <w:pPr>
      <w:snapToGrid w:val="0"/>
      <w:spacing w:line="440" w:lineRule="atLeast"/>
      <w:ind w:firstLine="200" w:firstLineChars="200"/>
    </w:pPr>
  </w:style>
  <w:style w:type="paragraph" w:customStyle="1" w:styleId="80">
    <w:name w:val="中文报告书样式"/>
    <w:basedOn w:val="1"/>
    <w:qFormat/>
    <w:uiPriority w:val="0"/>
    <w:pPr>
      <w:adjustRightInd w:val="0"/>
      <w:spacing w:line="480" w:lineRule="atLeast"/>
      <w:ind w:firstLine="482"/>
    </w:pPr>
    <w:rPr>
      <w:kern w:val="24"/>
      <w:sz w:val="24"/>
      <w:szCs w:val="20"/>
    </w:rPr>
  </w:style>
  <w:style w:type="paragraph" w:customStyle="1" w:styleId="81">
    <w:name w:val="默认段落字体 Para Char Char Char Char"/>
    <w:basedOn w:val="1"/>
    <w:qFormat/>
    <w:uiPriority w:val="0"/>
    <w:rPr>
      <w:rFonts w:eastAsia="楷体_GB2312"/>
      <w:sz w:val="24"/>
    </w:rPr>
  </w:style>
  <w:style w:type="paragraph" w:customStyle="1" w:styleId="82">
    <w:name w:val="表头"/>
    <w:basedOn w:val="1"/>
    <w:qFormat/>
    <w:uiPriority w:val="0"/>
    <w:pPr>
      <w:spacing w:before="200" w:line="500" w:lineRule="exact"/>
    </w:pPr>
    <w:rPr>
      <w:rFonts w:ascii="黑体" w:eastAsia="黑体"/>
      <w:spacing w:val="20"/>
      <w:sz w:val="24"/>
    </w:rPr>
  </w:style>
  <w:style w:type="paragraph" w:customStyle="1" w:styleId="83">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84">
    <w:name w:val="z-窗体顶端1"/>
    <w:basedOn w:val="1"/>
    <w:next w:val="1"/>
    <w:qFormat/>
    <w:uiPriority w:val="0"/>
    <w:pPr>
      <w:pBdr>
        <w:bottom w:val="single" w:color="auto" w:sz="6" w:space="1"/>
      </w:pBdr>
      <w:jc w:val="center"/>
    </w:pPr>
    <w:rPr>
      <w:rFonts w:ascii="Arial"/>
      <w:vanish/>
      <w:sz w:val="16"/>
    </w:rPr>
  </w:style>
  <w:style w:type="paragraph" w:customStyle="1" w:styleId="85">
    <w:name w:val="正文缩进1"/>
    <w:basedOn w:val="1"/>
    <w:qFormat/>
    <w:uiPriority w:val="99"/>
    <w:rPr>
      <w:sz w:val="28"/>
    </w:rPr>
  </w:style>
  <w:style w:type="paragraph" w:customStyle="1" w:styleId="86">
    <w:name w:val="Default"/>
    <w:unhideWhenUsed/>
    <w:qFormat/>
    <w:uiPriority w:val="99"/>
    <w:pPr>
      <w:widowControl w:val="0"/>
      <w:autoSpaceDE w:val="0"/>
      <w:autoSpaceDN w:val="0"/>
      <w:adjustRightInd w:val="0"/>
    </w:pPr>
    <w:rPr>
      <w:rFonts w:hint="eastAsia" w:ascii="Times New Roman" w:hAnsi="Times New Roman" w:eastAsia="Times New Roman" w:cs="Times New Roman"/>
      <w:color w:val="000000"/>
      <w:sz w:val="24"/>
      <w:lang w:val="en-US" w:eastAsia="zh-CN" w:bidi="ar-SA"/>
    </w:rPr>
  </w:style>
  <w:style w:type="paragraph" w:customStyle="1" w:styleId="87">
    <w:name w:val="列出段落1"/>
    <w:basedOn w:val="1"/>
    <w:qFormat/>
    <w:uiPriority w:val="34"/>
    <w:pPr>
      <w:ind w:firstLine="420" w:firstLineChars="200"/>
    </w:pPr>
  </w:style>
  <w:style w:type="paragraph" w:customStyle="1" w:styleId="88">
    <w:name w:val="表内文字"/>
    <w:basedOn w:val="1"/>
    <w:qFormat/>
    <w:uiPriority w:val="0"/>
    <w:pPr>
      <w:widowControl/>
      <w:snapToGrid w:val="0"/>
      <w:spacing w:line="400" w:lineRule="exact"/>
      <w:jc w:val="center"/>
    </w:pPr>
    <w:rPr>
      <w:rFonts w:eastAsia="仿宋_GB2312"/>
      <w:kern w:val="0"/>
      <w:sz w:val="24"/>
    </w:rPr>
  </w:style>
  <w:style w:type="paragraph" w:customStyle="1" w:styleId="89">
    <w:name w:val="表格标题"/>
    <w:basedOn w:val="1"/>
    <w:qFormat/>
    <w:uiPriority w:val="0"/>
    <w:pPr>
      <w:spacing w:before="120"/>
      <w:jc w:val="center"/>
    </w:pPr>
    <w:rPr>
      <w:rFonts w:eastAsia="仿宋_GB2312"/>
      <w:sz w:val="24"/>
      <w:szCs w:val="20"/>
    </w:rPr>
  </w:style>
  <w:style w:type="paragraph" w:customStyle="1" w:styleId="90">
    <w:name w:val="注居中"/>
    <w:basedOn w:val="1"/>
    <w:qFormat/>
    <w:uiPriority w:val="0"/>
    <w:pPr>
      <w:ind w:left="-107" w:leftChars="-51" w:right="-122" w:rightChars="-58"/>
      <w:jc w:val="center"/>
    </w:pPr>
    <w:rPr>
      <w:rFonts w:ascii="宋体" w:hAnsi="宋体"/>
      <w:color w:val="000000"/>
    </w:rPr>
  </w:style>
  <w:style w:type="paragraph" w:customStyle="1" w:styleId="91">
    <w:name w:val="样式 宋体 首行缩进:  2 字符 段前: 自动 段后: 自动"/>
    <w:basedOn w:val="1"/>
    <w:qFormat/>
    <w:uiPriority w:val="0"/>
    <w:pPr>
      <w:spacing w:line="360" w:lineRule="auto"/>
      <w:ind w:firstLine="480" w:firstLineChars="200"/>
    </w:pPr>
    <w:rPr>
      <w:rFonts w:ascii="宋体" w:hAnsi="宋体" w:cs="宋体"/>
    </w:rPr>
  </w:style>
  <w:style w:type="paragraph" w:customStyle="1" w:styleId="92">
    <w:name w:val="Table Paragraph"/>
    <w:basedOn w:val="1"/>
    <w:qFormat/>
    <w:uiPriority w:val="1"/>
    <w:pPr>
      <w:jc w:val="left"/>
    </w:pPr>
    <w:rPr>
      <w:rFonts w:ascii="Calibri" w:hAnsi="Calibri"/>
      <w:kern w:val="0"/>
      <w:sz w:val="22"/>
      <w:szCs w:val="22"/>
      <w:lang w:eastAsia="en-US"/>
    </w:rPr>
  </w:style>
  <w:style w:type="paragraph" w:customStyle="1" w:styleId="93">
    <w:name w:val="_Style 14"/>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94">
    <w:name w:val="z-窗体底端1"/>
    <w:basedOn w:val="1"/>
    <w:next w:val="1"/>
    <w:qFormat/>
    <w:uiPriority w:val="0"/>
    <w:pPr>
      <w:pBdr>
        <w:top w:val="single" w:color="auto" w:sz="6" w:space="1"/>
      </w:pBdr>
      <w:jc w:val="center"/>
    </w:pPr>
    <w:rPr>
      <w:rFonts w:ascii="Arial"/>
      <w:vanish/>
      <w:sz w:val="16"/>
    </w:rPr>
  </w:style>
  <w:style w:type="paragraph" w:customStyle="1" w:styleId="95">
    <w:name w:val="段落"/>
    <w:basedOn w:val="12"/>
    <w:qFormat/>
    <w:uiPriority w:val="0"/>
    <w:pPr>
      <w:spacing w:line="500" w:lineRule="exact"/>
      <w:ind w:firstLine="578"/>
    </w:pPr>
    <w:rPr>
      <w:rFonts w:hAnsi="宋体"/>
      <w:sz w:val="28"/>
      <w:szCs w:val="28"/>
    </w:rPr>
  </w:style>
  <w:style w:type="paragraph" w:customStyle="1" w:styleId="96">
    <w:name w:val="p0"/>
    <w:basedOn w:val="1"/>
    <w:qFormat/>
    <w:uiPriority w:val="0"/>
    <w:pPr>
      <w:widowControl/>
    </w:pPr>
    <w:rPr>
      <w:kern w:val="0"/>
      <w:szCs w:val="21"/>
    </w:rPr>
  </w:style>
  <w:style w:type="paragraph" w:customStyle="1" w:styleId="97">
    <w:name w:val="正文缩进2"/>
    <w:basedOn w:val="1"/>
    <w:qFormat/>
    <w:uiPriority w:val="0"/>
    <w:pPr>
      <w:spacing w:line="520" w:lineRule="exact"/>
      <w:ind w:firstLine="624"/>
    </w:pPr>
    <w:rPr>
      <w:sz w:val="28"/>
      <w:szCs w:val="20"/>
    </w:rPr>
  </w:style>
  <w:style w:type="paragraph" w:customStyle="1" w:styleId="98">
    <w:name w:val="五号表格"/>
    <w:basedOn w:val="1"/>
    <w:qFormat/>
    <w:uiPriority w:val="0"/>
    <w:pPr>
      <w:jc w:val="center"/>
    </w:pPr>
  </w:style>
  <w:style w:type="paragraph" w:customStyle="1" w:styleId="99">
    <w:name w:val="列出段落2"/>
    <w:basedOn w:val="1"/>
    <w:qFormat/>
    <w:uiPriority w:val="0"/>
    <w:pPr>
      <w:ind w:firstLine="420" w:firstLineChars="200"/>
    </w:pPr>
    <w:rPr>
      <w:rFonts w:ascii="Calibri" w:hAnsi="Calibri"/>
      <w:szCs w:val="22"/>
    </w:rPr>
  </w:style>
  <w:style w:type="paragraph" w:customStyle="1" w:styleId="100">
    <w:name w:val="样式 小四 加粗 行距: 固定值 25 磅"/>
    <w:basedOn w:val="1"/>
    <w:qFormat/>
    <w:uiPriority w:val="0"/>
    <w:pPr>
      <w:spacing w:line="500" w:lineRule="exact"/>
    </w:pPr>
    <w:rPr>
      <w:rFonts w:cs="宋体"/>
      <w:b/>
      <w:bCs/>
      <w:sz w:val="24"/>
      <w:szCs w:val="20"/>
    </w:rPr>
  </w:style>
  <w:style w:type="paragraph" w:customStyle="1" w:styleId="101">
    <w:name w:val="样式1"/>
    <w:basedOn w:val="7"/>
    <w:qFormat/>
    <w:uiPriority w:val="0"/>
    <w:pPr>
      <w:adjustRightInd w:val="0"/>
      <w:snapToGrid w:val="0"/>
      <w:spacing w:line="520" w:lineRule="exact"/>
      <w:jc w:val="center"/>
    </w:pPr>
    <w:rPr>
      <w:sz w:val="24"/>
    </w:rPr>
  </w:style>
  <w:style w:type="paragraph" w:customStyle="1" w:styleId="102">
    <w:name w:val="格式正文"/>
    <w:basedOn w:val="1"/>
    <w:qFormat/>
    <w:uiPriority w:val="0"/>
    <w:pPr>
      <w:spacing w:line="500" w:lineRule="exact"/>
      <w:ind w:firstLine="200" w:firstLineChars="200"/>
    </w:pPr>
    <w:rPr>
      <w:sz w:val="24"/>
      <w:szCs w:val="22"/>
    </w:rPr>
  </w:style>
  <w:style w:type="paragraph" w:customStyle="1" w:styleId="103">
    <w:name w:val="段落 Char Char"/>
    <w:basedOn w:val="1"/>
    <w:qFormat/>
    <w:uiPriority w:val="0"/>
    <w:pPr>
      <w:spacing w:line="500" w:lineRule="exact"/>
      <w:ind w:firstLine="601"/>
    </w:pPr>
    <w:rPr>
      <w:rFonts w:ascii="宋体"/>
      <w:sz w:val="28"/>
      <w:szCs w:val="28"/>
    </w:rPr>
  </w:style>
  <w:style w:type="paragraph" w:customStyle="1" w:styleId="104">
    <w:name w:val="小四缩进2"/>
    <w:basedOn w:val="1"/>
    <w:qFormat/>
    <w:uiPriority w:val="0"/>
    <w:pPr>
      <w:spacing w:line="360" w:lineRule="auto"/>
      <w:ind w:firstLine="480" w:firstLineChars="200"/>
    </w:pPr>
    <w:rPr>
      <w:rFonts w:hAnsi="宋体"/>
      <w:sz w:val="24"/>
    </w:rPr>
  </w:style>
  <w:style w:type="paragraph" w:customStyle="1" w:styleId="105">
    <w:name w:val="正文一"/>
    <w:basedOn w:val="99"/>
    <w:qFormat/>
    <w:uiPriority w:val="0"/>
    <w:pPr>
      <w:spacing w:line="600" w:lineRule="exact"/>
      <w:ind w:firstLine="200"/>
    </w:pPr>
    <w:rPr>
      <w:rFonts w:ascii="Times New Roman" w:hAnsi="Times New Roman"/>
      <w:sz w:val="28"/>
      <w:szCs w:val="28"/>
    </w:rPr>
  </w:style>
  <w:style w:type="paragraph" w:customStyle="1" w:styleId="106">
    <w:name w:val="新正文样式"/>
    <w:basedOn w:val="1"/>
    <w:qFormat/>
    <w:uiPriority w:val="0"/>
    <w:pPr>
      <w:tabs>
        <w:tab w:val="left" w:pos="567"/>
      </w:tabs>
      <w:spacing w:line="360" w:lineRule="auto"/>
      <w:ind w:firstLine="567"/>
    </w:pPr>
    <w:rPr>
      <w:spacing w:val="20"/>
      <w:sz w:val="24"/>
    </w:rPr>
  </w:style>
  <w:style w:type="paragraph" w:customStyle="1" w:styleId="107">
    <w:name w:val="表格文字"/>
    <w:basedOn w:val="1"/>
    <w:qFormat/>
    <w:uiPriority w:val="0"/>
    <w:pPr>
      <w:jc w:val="center"/>
    </w:pPr>
    <w:rPr>
      <w:rFonts w:ascii="仿宋_GB2312" w:hAnsi="Arial Black" w:eastAsia="仿宋_GB2312"/>
      <w:kern w:val="44"/>
    </w:rPr>
  </w:style>
  <w:style w:type="paragraph" w:customStyle="1" w:styleId="108">
    <w:name w:val="正文首行缩进1"/>
    <w:basedOn w:val="9"/>
    <w:qFormat/>
    <w:uiPriority w:val="0"/>
    <w:pPr>
      <w:ind w:firstLine="420" w:firstLineChars="100"/>
    </w:pPr>
  </w:style>
  <w:style w:type="paragraph" w:customStyle="1" w:styleId="109">
    <w:name w:val="样式5"/>
    <w:basedOn w:val="1"/>
    <w:qFormat/>
    <w:uiPriority w:val="0"/>
    <w:pPr>
      <w:snapToGrid w:val="0"/>
      <w:spacing w:line="360" w:lineRule="auto"/>
      <w:ind w:firstLine="510"/>
    </w:pPr>
    <w:rPr>
      <w:sz w:val="24"/>
    </w:rPr>
  </w:style>
  <w:style w:type="paragraph" w:customStyle="1" w:styleId="110">
    <w:name w:val="fu正文"/>
    <w:basedOn w:val="1"/>
    <w:qFormat/>
    <w:uiPriority w:val="0"/>
    <w:pPr>
      <w:spacing w:line="360" w:lineRule="auto"/>
      <w:ind w:firstLine="200" w:firstLineChars="200"/>
    </w:pPr>
    <w:rPr>
      <w:rFonts w:ascii="宋体" w:hAnsi="宋体"/>
      <w:color w:val="000000"/>
      <w:sz w:val="24"/>
    </w:rPr>
  </w:style>
  <w:style w:type="paragraph" w:customStyle="1" w:styleId="111">
    <w:name w:val="表格字体"/>
    <w:basedOn w:val="1"/>
    <w:qFormat/>
    <w:uiPriority w:val="0"/>
    <w:pPr>
      <w:adjustRightInd w:val="0"/>
      <w:spacing w:line="300" w:lineRule="exact"/>
      <w:jc w:val="center"/>
    </w:pPr>
    <w:rPr>
      <w:color w:val="000000"/>
      <w:sz w:val="18"/>
    </w:rPr>
  </w:style>
  <w:style w:type="paragraph" w:customStyle="1" w:styleId="112">
    <w:name w:val="报告表表格文字"/>
    <w:basedOn w:val="1"/>
    <w:qFormat/>
    <w:uiPriority w:val="0"/>
    <w:pPr>
      <w:autoSpaceDE w:val="0"/>
      <w:autoSpaceDN w:val="0"/>
      <w:adjustRightInd w:val="0"/>
      <w:snapToGrid w:val="0"/>
      <w:jc w:val="center"/>
    </w:pPr>
    <w:rPr>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oleObject" Target="embeddings/oleObject1.bin"/><Relationship Id="rId6" Type="http://schemas.openxmlformats.org/officeDocument/2006/relationships/image" Target="media/image2.w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48</Pages>
  <Words>4820</Words>
  <Characters>27476</Characters>
  <Lines>228</Lines>
  <Paragraphs>64</Paragraphs>
  <TotalTime>3</TotalTime>
  <ScaleCrop>false</ScaleCrop>
  <LinksUpToDate>false</LinksUpToDate>
  <CharactersWithSpaces>32232</CharactersWithSpaces>
  <Application>WPS Office_11.1.0.9198_F1E327BC-269C-435d-A152-05C5408002CA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2014-07-14T13:46:00Z</dcterms:created>
  <dc:creator>5</dc:creator>
  <cp:lastModifiedBy>Administrator</cp:lastModifiedBy>
  <cp:lastPrinted>2018-12-18T08:23:00Z</cp:lastPrinted>
  <dcterms:modified xsi:type="dcterms:W3CDTF">2019-12-17T00:31:56Z</dcterms:modified>
  <dc:title>《环境影响评价》</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