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72"/>
          <w:szCs w:val="72"/>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72"/>
          <w:szCs w:val="72"/>
        </w:rPr>
      </w:pPr>
      <w:r>
        <w:rPr>
          <w:rFonts w:hint="default" w:ascii="Times New Roman" w:hAnsi="Times New Roman" w:eastAsia="宋体" w:cs="Times New Roman"/>
          <w:b/>
          <w:bCs w:val="0"/>
          <w:sz w:val="72"/>
          <w:szCs w:val="72"/>
        </w:rPr>
        <w:t>建设项目环境影响报告表</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lang w:eastAsia="zh-CN"/>
        </w:rPr>
      </w:pPr>
      <w:r>
        <w:rPr>
          <w:rFonts w:hint="default" w:ascii="Times New Roman" w:hAnsi="Times New Roman" w:eastAsia="宋体" w:cs="Times New Roman"/>
          <w:b/>
          <w:bCs w:val="0"/>
          <w:sz w:val="32"/>
          <w:szCs w:val="32"/>
          <w:lang w:eastAsia="zh-CN"/>
        </w:rPr>
        <w:t>（</w:t>
      </w:r>
      <w:r>
        <w:rPr>
          <w:rFonts w:hint="eastAsia" w:ascii="Times New Roman" w:hAnsi="Times New Roman" w:eastAsia="宋体" w:cs="Times New Roman"/>
          <w:b/>
          <w:bCs w:val="0"/>
          <w:sz w:val="32"/>
          <w:szCs w:val="32"/>
          <w:lang w:eastAsia="zh-CN"/>
        </w:rPr>
        <w:t>报批</w:t>
      </w:r>
      <w:r>
        <w:rPr>
          <w:rFonts w:hint="default" w:ascii="Times New Roman" w:hAnsi="Times New Roman" w:eastAsia="宋体" w:cs="Times New Roman"/>
          <w:b/>
          <w:bCs w:val="0"/>
          <w:sz w:val="32"/>
          <w:szCs w:val="32"/>
          <w:lang w:eastAsia="zh-CN"/>
        </w:rPr>
        <w:t>版）</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0"/>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0"/>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28"/>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rPr>
      </w:pPr>
    </w:p>
    <w:p>
      <w:pPr>
        <w:keepNext w:val="0"/>
        <w:keepLines w:val="0"/>
        <w:pageBreakBefore w:val="0"/>
        <w:widowControl w:val="0"/>
        <w:kinsoku/>
        <w:wordWrap/>
        <w:overflowPunct/>
        <w:topLinePunct w:val="0"/>
        <w:autoSpaceDE/>
        <w:autoSpaceDN/>
        <w:bidi w:val="0"/>
        <w:adjustRightInd w:val="0"/>
        <w:snapToGrid w:val="0"/>
        <w:spacing w:line="360" w:lineRule="auto"/>
        <w:ind w:left="1606" w:leftChars="0" w:hanging="1606" w:hangingChars="500"/>
        <w:jc w:val="both"/>
        <w:textAlignment w:val="auto"/>
        <w:rPr>
          <w:rFonts w:hint="default" w:ascii="Times New Roman" w:hAnsi="Times New Roman" w:eastAsia="宋体" w:cs="Times New Roman"/>
          <w:b/>
          <w:bCs w:val="0"/>
          <w:sz w:val="32"/>
          <w:szCs w:val="32"/>
          <w:u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1606" w:leftChars="0" w:hanging="1606" w:hangingChars="500"/>
        <w:jc w:val="both"/>
        <w:textAlignment w:val="auto"/>
        <w:rPr>
          <w:rFonts w:hint="default" w:ascii="Times New Roman" w:hAnsi="Times New Roman" w:eastAsia="宋体" w:cs="Times New Roman"/>
          <w:b/>
          <w:bCs w:val="0"/>
          <w:sz w:val="32"/>
          <w:szCs w:val="32"/>
          <w:u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1606" w:leftChars="0" w:hanging="1606" w:hangingChars="500"/>
        <w:jc w:val="both"/>
        <w:textAlignment w:val="auto"/>
        <w:rPr>
          <w:rFonts w:hint="default" w:ascii="Times New Roman" w:hAnsi="Times New Roman" w:eastAsia="宋体" w:cs="Times New Roman"/>
          <w:b/>
          <w:bCs w:val="0"/>
          <w:sz w:val="32"/>
          <w:szCs w:val="32"/>
          <w:u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1606" w:leftChars="0" w:hanging="1606" w:hangingChars="500"/>
        <w:jc w:val="both"/>
        <w:textAlignment w:val="auto"/>
        <w:rPr>
          <w:rFonts w:hint="default" w:ascii="宋体" w:hAnsi="宋体" w:eastAsia="宋体" w:cs="宋体"/>
          <w:b/>
          <w:bCs w:val="0"/>
          <w:sz w:val="32"/>
          <w:szCs w:val="32"/>
          <w:u w:val="thick"/>
          <w:lang w:val="en-US" w:eastAsia="zh-CN"/>
        </w:rPr>
      </w:pPr>
      <w:r>
        <w:rPr>
          <w:rFonts w:hint="default" w:ascii="Times New Roman" w:hAnsi="Times New Roman" w:eastAsia="宋体" w:cs="Times New Roman"/>
          <w:b/>
          <w:bCs w:val="0"/>
          <w:sz w:val="32"/>
          <w:szCs w:val="32"/>
          <w:u w:val="none"/>
        </w:rPr>
        <w:t>项目名称：</w:t>
      </w:r>
      <w:r>
        <w:rPr>
          <w:rFonts w:hint="default" w:ascii="Times New Roman" w:hAnsi="Times New Roman" w:eastAsia="宋体" w:cs="Times New Roman"/>
          <w:b/>
          <w:bCs w:val="0"/>
          <w:sz w:val="32"/>
          <w:szCs w:val="32"/>
          <w:u w:val="single"/>
          <w:lang w:val="en-US" w:eastAsia="zh-CN"/>
        </w:rPr>
        <w:t>新乡市泰达机械制造有限公司年产10万件机械</w:t>
      </w:r>
      <w:r>
        <w:rPr>
          <w:rFonts w:hint="eastAsia" w:ascii="宋体" w:hAnsi="宋体" w:eastAsia="宋体" w:cs="宋体"/>
          <w:b/>
          <w:bCs w:val="0"/>
          <w:sz w:val="32"/>
          <w:szCs w:val="32"/>
          <w:u w:val="thick"/>
          <w:lang w:val="en-US" w:eastAsia="zh-CN"/>
        </w:rPr>
        <w:t xml:space="preserve">配件加工项目                               </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default" w:ascii="Times New Roman" w:hAnsi="Times New Roman" w:eastAsia="宋体" w:cs="Times New Roman"/>
          <w:b/>
          <w:bCs w:val="0"/>
          <w:sz w:val="32"/>
          <w:szCs w:val="32"/>
          <w:u w:val="thick"/>
          <w:lang w:val="en-US"/>
        </w:rPr>
      </w:pPr>
      <w:r>
        <w:rPr>
          <w:rFonts w:hint="default" w:ascii="Times New Roman" w:hAnsi="Times New Roman" w:eastAsia="宋体" w:cs="Times New Roman"/>
          <w:b/>
          <w:bCs w:val="0"/>
          <w:sz w:val="32"/>
          <w:szCs w:val="32"/>
          <w:u w:val="none"/>
        </w:rPr>
        <w:t>建设单位：</w:t>
      </w:r>
      <w:r>
        <w:rPr>
          <w:rFonts w:hint="eastAsia" w:ascii="宋体" w:hAnsi="宋体" w:eastAsia="宋体" w:cs="宋体"/>
          <w:b/>
          <w:bCs w:val="0"/>
          <w:sz w:val="32"/>
          <w:szCs w:val="32"/>
          <w:u w:val="thick"/>
          <w:lang w:val="en-US" w:eastAsia="zh-CN"/>
        </w:rPr>
        <w:t xml:space="preserve">        </w:t>
      </w:r>
      <w:r>
        <w:rPr>
          <w:rFonts w:hint="default" w:ascii="Times New Roman" w:hAnsi="Times New Roman" w:eastAsia="宋体" w:cs="Times New Roman"/>
          <w:b/>
          <w:bCs w:val="0"/>
          <w:sz w:val="32"/>
          <w:szCs w:val="32"/>
          <w:u w:val="thick"/>
          <w:lang w:val="en-US" w:eastAsia="zh-CN"/>
        </w:rPr>
        <w:t>新乡市泰达机械制造有限公司</w:t>
      </w:r>
      <w:r>
        <w:rPr>
          <w:rFonts w:hint="eastAsia" w:ascii="宋体" w:hAnsi="宋体" w:eastAsia="宋体" w:cs="宋体"/>
          <w:b/>
          <w:bCs w:val="0"/>
          <w:sz w:val="32"/>
          <w:szCs w:val="32"/>
          <w:u w:val="thick"/>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1606" w:leftChars="0" w:hanging="1606" w:hangingChars="500"/>
        <w:jc w:val="both"/>
        <w:textAlignment w:val="auto"/>
        <w:rPr>
          <w:rFonts w:hint="default" w:ascii="Times New Roman" w:hAnsi="Times New Roman" w:eastAsia="宋体" w:cs="Times New Roman"/>
          <w:b/>
          <w:bCs w:val="0"/>
          <w:sz w:val="32"/>
          <w:szCs w:val="32"/>
          <w:u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u w:val="none"/>
        </w:rPr>
      </w:pPr>
      <w:r>
        <w:rPr>
          <w:rFonts w:hint="default" w:ascii="Times New Roman" w:hAnsi="Times New Roman" w:eastAsia="宋体" w:cs="Times New Roman"/>
          <w:b/>
          <w:bCs w:val="0"/>
          <w:sz w:val="32"/>
          <w:szCs w:val="32"/>
          <w:u w:val="none"/>
        </w:rPr>
        <w:t>编制日期：二</w:t>
      </w:r>
      <w:r>
        <w:rPr>
          <w:rFonts w:hint="eastAsia" w:ascii="Times New Roman" w:hAnsi="Times New Roman" w:eastAsia="宋体" w:cs="Times New Roman"/>
          <w:b/>
          <w:bCs w:val="0"/>
          <w:sz w:val="32"/>
          <w:szCs w:val="32"/>
          <w:u w:val="none"/>
          <w:lang w:eastAsia="zh-CN"/>
        </w:rPr>
        <w:t>〇</w:t>
      </w:r>
      <w:r>
        <w:rPr>
          <w:rFonts w:hint="default" w:ascii="Times New Roman" w:hAnsi="Times New Roman" w:eastAsia="宋体" w:cs="Times New Roman"/>
          <w:b/>
          <w:bCs w:val="0"/>
          <w:sz w:val="32"/>
          <w:szCs w:val="32"/>
          <w:u w:val="none"/>
        </w:rPr>
        <w:t>一</w:t>
      </w:r>
      <w:r>
        <w:rPr>
          <w:rFonts w:hint="default" w:ascii="Times New Roman" w:hAnsi="Times New Roman" w:eastAsia="宋体" w:cs="Times New Roman"/>
          <w:b/>
          <w:bCs w:val="0"/>
          <w:sz w:val="32"/>
          <w:szCs w:val="32"/>
          <w:u w:val="none"/>
          <w:lang w:eastAsia="zh-CN"/>
        </w:rPr>
        <w:t>九</w:t>
      </w:r>
      <w:r>
        <w:rPr>
          <w:rFonts w:hint="default" w:ascii="Times New Roman" w:hAnsi="Times New Roman" w:eastAsia="宋体" w:cs="Times New Roman"/>
          <w:b/>
          <w:bCs w:val="0"/>
          <w:sz w:val="32"/>
          <w:szCs w:val="32"/>
          <w:u w:val="none"/>
        </w:rPr>
        <w:t>年</w:t>
      </w:r>
      <w:r>
        <w:rPr>
          <w:rFonts w:hint="default" w:ascii="Times New Roman" w:hAnsi="Times New Roman" w:eastAsia="宋体" w:cs="Times New Roman"/>
          <w:b/>
          <w:bCs w:val="0"/>
          <w:sz w:val="32"/>
          <w:szCs w:val="32"/>
          <w:u w:val="none"/>
          <w:lang w:eastAsia="zh-CN"/>
        </w:rPr>
        <w:t>五</w:t>
      </w:r>
      <w:r>
        <w:rPr>
          <w:rFonts w:hint="default" w:ascii="Times New Roman" w:hAnsi="Times New Roman" w:eastAsia="宋体" w:cs="Times New Roman"/>
          <w:b/>
          <w:bCs w:val="0"/>
          <w:sz w:val="32"/>
          <w:szCs w:val="32"/>
          <w:u w:val="none"/>
        </w:rPr>
        <w:t>月</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rPr>
      </w:pPr>
      <w:r>
        <w:rPr>
          <w:rFonts w:hint="default" w:ascii="Times New Roman" w:hAnsi="Times New Roman" w:eastAsia="宋体" w:cs="Times New Roman"/>
          <w:b/>
          <w:bCs w:val="0"/>
          <w:sz w:val="32"/>
          <w:szCs w:val="32"/>
          <w:u w:val="none"/>
        </w:rPr>
        <w:t>国家环境保护</w:t>
      </w:r>
      <w:r>
        <w:rPr>
          <w:rFonts w:hint="default" w:ascii="Times New Roman" w:hAnsi="Times New Roman" w:eastAsia="宋体" w:cs="Times New Roman"/>
          <w:b/>
          <w:bCs w:val="0"/>
          <w:sz w:val="32"/>
          <w:szCs w:val="32"/>
          <w:u w:val="none"/>
          <w:lang w:eastAsia="zh-CN"/>
        </w:rPr>
        <w:t>部</w:t>
      </w:r>
      <w:r>
        <w:rPr>
          <w:rFonts w:hint="default" w:ascii="Times New Roman" w:hAnsi="Times New Roman" w:eastAsia="宋体" w:cs="Times New Roman"/>
          <w:b/>
          <w:bCs w:val="0"/>
          <w:sz w:val="32"/>
          <w:szCs w:val="32"/>
          <w:u w:val="none"/>
        </w:rPr>
        <w:t>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val="0"/>
          <w:sz w:val="32"/>
          <w:szCs w:val="32"/>
          <w:u w:val="none"/>
        </w:rPr>
      </w:pPr>
    </w:p>
    <w:p/>
    <w:p/>
    <w:p/>
    <w:p/>
    <w:p/>
    <w:p>
      <w:r>
        <w:drawing>
          <wp:anchor distT="0" distB="0" distL="114300" distR="114300" simplePos="0" relativeHeight="251658240" behindDoc="0" locked="0" layoutInCell="1" allowOverlap="1">
            <wp:simplePos x="0" y="0"/>
            <wp:positionH relativeFrom="column">
              <wp:posOffset>-1038225</wp:posOffset>
            </wp:positionH>
            <wp:positionV relativeFrom="paragraph">
              <wp:posOffset>-765810</wp:posOffset>
            </wp:positionV>
            <wp:extent cx="7351395" cy="10394315"/>
            <wp:effectExtent l="0" t="0" r="9525" b="1460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7351395" cy="10394315"/>
                    </a:xfrm>
                    <a:prstGeom prst="rect">
                      <a:avLst/>
                    </a:prstGeom>
                    <a:noFill/>
                    <a:ln>
                      <a:noFill/>
                    </a:ln>
                  </pic:spPr>
                </pic:pic>
              </a:graphicData>
            </a:graphic>
          </wp:anchor>
        </w:drawing>
      </w:r>
    </w:p>
    <w:p>
      <w:r>
        <w:drawing>
          <wp:anchor distT="0" distB="0" distL="114300" distR="114300" simplePos="0" relativeHeight="251659264" behindDoc="0" locked="0" layoutInCell="1" allowOverlap="1">
            <wp:simplePos x="0" y="0"/>
            <wp:positionH relativeFrom="column">
              <wp:posOffset>-1036320</wp:posOffset>
            </wp:positionH>
            <wp:positionV relativeFrom="paragraph">
              <wp:posOffset>-845820</wp:posOffset>
            </wp:positionV>
            <wp:extent cx="7313930" cy="10341610"/>
            <wp:effectExtent l="0" t="0" r="1270" b="635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7313930" cy="10341610"/>
                    </a:xfrm>
                    <a:prstGeom prst="rect">
                      <a:avLst/>
                    </a:prstGeom>
                    <a:noFill/>
                    <a:ln>
                      <a:noFill/>
                    </a:ln>
                  </pic:spPr>
                </pic:pic>
              </a:graphicData>
            </a:graphic>
          </wp:anchor>
        </w:drawing>
      </w:r>
    </w:p>
    <w:p>
      <w:r>
        <w:drawing>
          <wp:anchor distT="0" distB="0" distL="114300" distR="114300" simplePos="0" relativeHeight="251660288" behindDoc="0" locked="0" layoutInCell="1" allowOverlap="1">
            <wp:simplePos x="0" y="0"/>
            <wp:positionH relativeFrom="column">
              <wp:posOffset>-1051560</wp:posOffset>
            </wp:positionH>
            <wp:positionV relativeFrom="paragraph">
              <wp:posOffset>-883920</wp:posOffset>
            </wp:positionV>
            <wp:extent cx="7362825" cy="10410190"/>
            <wp:effectExtent l="0" t="0" r="13335" b="1397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7362825" cy="1041019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color w:val="auto"/>
          <w:sz w:val="30"/>
        </w:rPr>
      </w:pPr>
      <w:r>
        <w:rPr>
          <w:rFonts w:hint="eastAsia" w:ascii="宋体" w:hAnsi="宋体" w:eastAsia="宋体" w:cs="宋体"/>
          <w:b/>
          <w:color w:val="auto"/>
          <w:sz w:val="30"/>
        </w:rPr>
        <w:t>建设项目基本情况</w:t>
      </w:r>
    </w:p>
    <w:tbl>
      <w:tblPr>
        <w:tblStyle w:val="15"/>
        <w:tblW w:w="8758" w:type="dxa"/>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96"/>
        <w:gridCol w:w="1570"/>
        <w:gridCol w:w="1790"/>
        <w:gridCol w:w="1215"/>
        <w:gridCol w:w="1872"/>
        <w:gridCol w:w="11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项目名称</w:t>
            </w:r>
          </w:p>
        </w:tc>
        <w:tc>
          <w:tcPr>
            <w:tcW w:w="7562"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bCs/>
                <w:color w:val="auto"/>
                <w:sz w:val="24"/>
                <w:szCs w:val="24"/>
                <w:lang w:eastAsia="zh-CN"/>
              </w:rPr>
              <w:t>新乡市泰达机械制造有限公司年产10万件机械配件加工项目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w:t>
            </w:r>
          </w:p>
        </w:tc>
        <w:tc>
          <w:tcPr>
            <w:tcW w:w="7562"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bCs/>
                <w:color w:val="auto"/>
                <w:sz w:val="24"/>
                <w:szCs w:val="24"/>
                <w:lang w:eastAsia="zh-CN"/>
              </w:rPr>
              <w:t>新乡市泰达机械制造有限公司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法人代表</w:t>
            </w:r>
          </w:p>
        </w:tc>
        <w:tc>
          <w:tcPr>
            <w:tcW w:w="33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赵廷叶</w:t>
            </w:r>
            <w:r>
              <w:rPr>
                <w:rFonts w:hint="eastAsia" w:cs="Times New Roman"/>
                <w:color w:val="auto"/>
                <w:sz w:val="24"/>
                <w:szCs w:val="24"/>
                <w:lang w:val="en-US" w:eastAsia="zh-CN"/>
              </w:rPr>
              <w:t>410721196404201022</w:t>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联系人</w:t>
            </w:r>
          </w:p>
        </w:tc>
        <w:tc>
          <w:tcPr>
            <w:tcW w:w="2987"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赵廷叶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通讯地址</w:t>
            </w:r>
          </w:p>
        </w:tc>
        <w:tc>
          <w:tcPr>
            <w:tcW w:w="7562"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新乡市新乡县合河乡新王线东北永康路口南100米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联系电话</w:t>
            </w:r>
          </w:p>
        </w:tc>
        <w:tc>
          <w:tcPr>
            <w:tcW w:w="15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13949636567</w:t>
            </w:r>
          </w:p>
        </w:tc>
        <w:tc>
          <w:tcPr>
            <w:tcW w:w="17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传真</w:t>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c>
          <w:tcPr>
            <w:tcW w:w="18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邮政编码</w:t>
            </w:r>
          </w:p>
        </w:tc>
        <w:tc>
          <w:tcPr>
            <w:tcW w:w="11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453</w:t>
            </w:r>
            <w:r>
              <w:rPr>
                <w:rFonts w:hint="eastAsia" w:cs="Times New Roman"/>
                <w:color w:val="auto"/>
                <w:sz w:val="24"/>
                <w:szCs w:val="24"/>
                <w:lang w:val="en-US" w:eastAsia="zh-CN"/>
              </w:rPr>
              <w:t>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7562"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eastAsia" w:cs="Times New Roman"/>
                <w:color w:val="auto"/>
                <w:sz w:val="24"/>
                <w:szCs w:val="24"/>
                <w:lang w:eastAsia="zh-CN"/>
              </w:rPr>
              <w:t>新乡市新乡县合河乡新王线东北永康路口南100米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备案部门</w:t>
            </w:r>
          </w:p>
        </w:tc>
        <w:tc>
          <w:tcPr>
            <w:tcW w:w="33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新乡县发展和改革委员会</w:t>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项目代码</w:t>
            </w:r>
          </w:p>
        </w:tc>
        <w:tc>
          <w:tcPr>
            <w:tcW w:w="2987"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2019-410721-34-03-019688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33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新建</w:t>
            </w:r>
            <w:r>
              <w:rPr>
                <w:rFonts w:hint="default" w:ascii="Times New Roman" w:hAnsi="Times New Roman" w:eastAsia="宋体" w:cs="Times New Roman"/>
                <w:b w:val="0"/>
                <w:bCs w:val="0"/>
                <w:color w:val="auto"/>
                <w:sz w:val="24"/>
                <w:szCs w:val="24"/>
              </w:rPr>
              <w:fldChar w:fldCharType="begin"/>
            </w:r>
            <w:r>
              <w:rPr>
                <w:rFonts w:hint="default" w:ascii="Times New Roman" w:hAnsi="Times New Roman" w:eastAsia="宋体" w:cs="Times New Roman"/>
                <w:b w:val="0"/>
                <w:bCs w:val="0"/>
                <w:color w:val="auto"/>
                <w:sz w:val="24"/>
                <w:szCs w:val="24"/>
              </w:rPr>
              <w:instrText xml:space="preserve"> eq \o\ac(</w:instrText>
            </w:r>
            <w:r>
              <w:rPr>
                <w:rFonts w:hint="default" w:ascii="Times New Roman" w:hAnsi="Times New Roman" w:eastAsia="宋体" w:cs="Times New Roman"/>
                <w:b w:val="0"/>
                <w:bCs w:val="0"/>
                <w:color w:val="auto"/>
                <w:position w:val="-4"/>
                <w:sz w:val="36"/>
                <w:szCs w:val="24"/>
              </w:rPr>
              <w:instrText xml:space="preserve">□</w:instrText>
            </w:r>
            <w:r>
              <w:rPr>
                <w:rFonts w:hint="eastAsia" w:ascii="Times New Roman" w:hAnsi="Times New Roman" w:cs="Times New Roman"/>
                <w:b w:val="0"/>
                <w:bCs w:val="0"/>
                <w:color w:val="auto"/>
                <w:position w:val="-4"/>
                <w:sz w:val="36"/>
                <w:szCs w:val="24"/>
                <w:lang w:eastAsia="zh-CN"/>
              </w:rPr>
              <w:instrText xml:space="preserve">,</w:instrText>
            </w:r>
            <w:r>
              <w:rPr>
                <w:rFonts w:hint="eastAsia" w:ascii="Times New Roman" w:hAnsi="Times New Roman" w:cs="Times New Roman"/>
                <w:b w:val="0"/>
                <w:bCs w:val="0"/>
                <w:color w:val="auto"/>
                <w:position w:val="0"/>
                <w:sz w:val="25"/>
                <w:szCs w:val="24"/>
                <w:lang w:eastAsia="zh-CN"/>
              </w:rPr>
              <w:instrText xml:space="preserve">√</w:instrText>
            </w:r>
            <w:r>
              <w:rPr>
                <w:rFonts w:hint="default" w:ascii="Times New Roman" w:hAnsi="Times New Roman" w:eastAsia="宋体" w:cs="Times New Roman"/>
                <w:b w:val="0"/>
                <w:bCs w:val="0"/>
                <w:color w:val="auto"/>
                <w:position w:val="0"/>
                <w:sz w:val="24"/>
                <w:szCs w:val="24"/>
              </w:rPr>
              <w:instrText xml:space="preserve">)</w:instrText>
            </w:r>
            <w:r>
              <w:rPr>
                <w:rFonts w:hint="default" w:ascii="Times New Roman" w:hAnsi="Times New Roman" w:eastAsia="宋体" w:cs="Times New Roman"/>
                <w:b w:val="0"/>
                <w:bCs w:val="0"/>
                <w:color w:val="auto"/>
                <w:sz w:val="24"/>
                <w:szCs w:val="24"/>
              </w:rPr>
              <w:fldChar w:fldCharType="end"/>
            </w:r>
            <w:r>
              <w:rPr>
                <w:rFonts w:hint="default" w:ascii="Times New Roman" w:hAnsi="Times New Roman" w:eastAsia="宋体" w:cs="Times New Roman"/>
                <w:color w:val="auto"/>
                <w:sz w:val="24"/>
                <w:szCs w:val="24"/>
              </w:rPr>
              <w:t>改扩建</w:t>
            </w:r>
            <w:r>
              <w:rPr>
                <w:rFonts w:hint="default" w:ascii="Times New Roman" w:hAnsi="Times New Roman" w:eastAsia="宋体" w:cs="Times New Roman"/>
                <w:b w:val="0"/>
                <w:bCs w:val="0"/>
                <w:color w:val="auto"/>
                <w:sz w:val="24"/>
                <w:szCs w:val="24"/>
              </w:rPr>
              <w:fldChar w:fldCharType="begin"/>
            </w:r>
            <w:r>
              <w:rPr>
                <w:rFonts w:hint="default" w:ascii="Times New Roman" w:hAnsi="Times New Roman" w:eastAsia="宋体" w:cs="Times New Roman"/>
                <w:b w:val="0"/>
                <w:bCs w:val="0"/>
                <w:color w:val="auto"/>
                <w:sz w:val="24"/>
                <w:szCs w:val="24"/>
              </w:rPr>
              <w:instrText xml:space="preserve"> eq \o\ac(</w:instrText>
            </w:r>
            <w:r>
              <w:rPr>
                <w:rFonts w:hint="default" w:ascii="Times New Roman" w:hAnsi="Times New Roman" w:eastAsia="宋体" w:cs="Times New Roman"/>
                <w:b w:val="0"/>
                <w:bCs w:val="0"/>
                <w:color w:val="auto"/>
                <w:position w:val="-4"/>
                <w:sz w:val="36"/>
                <w:szCs w:val="24"/>
              </w:rPr>
              <w:instrText xml:space="preserve">□</w:instrText>
            </w:r>
            <w:r>
              <w:rPr>
                <w:rFonts w:hint="default" w:ascii="Times New Roman" w:hAnsi="Times New Roman" w:eastAsia="宋体" w:cs="Times New Roman"/>
                <w:b w:val="0"/>
                <w:bCs w:val="0"/>
                <w:color w:val="auto"/>
                <w:position w:val="0"/>
                <w:sz w:val="24"/>
                <w:szCs w:val="24"/>
              </w:rPr>
              <w:instrText xml:space="preserve">)</w:instrText>
            </w:r>
            <w:r>
              <w:rPr>
                <w:rFonts w:hint="default" w:ascii="Times New Roman" w:hAnsi="Times New Roman" w:eastAsia="宋体" w:cs="Times New Roman"/>
                <w:b w:val="0"/>
                <w:bCs w:val="0"/>
                <w:color w:val="auto"/>
                <w:sz w:val="24"/>
                <w:szCs w:val="24"/>
              </w:rPr>
              <w:fldChar w:fldCharType="end"/>
            </w:r>
            <w:r>
              <w:rPr>
                <w:rFonts w:hint="default" w:ascii="Times New Roman" w:hAnsi="Times New Roman" w:eastAsia="宋体" w:cs="Times New Roman"/>
                <w:color w:val="auto"/>
                <w:sz w:val="24"/>
                <w:szCs w:val="24"/>
              </w:rPr>
              <w:t>技改</w:t>
            </w:r>
            <w:r>
              <w:rPr>
                <w:rFonts w:hint="default" w:ascii="Times New Roman" w:hAnsi="Times New Roman" w:eastAsia="宋体" w:cs="Times New Roman"/>
                <w:b w:val="0"/>
                <w:bCs w:val="0"/>
                <w:color w:val="auto"/>
                <w:sz w:val="24"/>
                <w:szCs w:val="24"/>
              </w:rPr>
              <w:fldChar w:fldCharType="begin"/>
            </w:r>
            <w:r>
              <w:rPr>
                <w:rFonts w:hint="default" w:ascii="Times New Roman" w:hAnsi="Times New Roman" w:eastAsia="宋体" w:cs="Times New Roman"/>
                <w:b w:val="0"/>
                <w:bCs w:val="0"/>
                <w:color w:val="auto"/>
                <w:sz w:val="24"/>
                <w:szCs w:val="24"/>
              </w:rPr>
              <w:instrText xml:space="preserve"> eq \o\ac(</w:instrText>
            </w:r>
            <w:r>
              <w:rPr>
                <w:rFonts w:hint="default" w:ascii="Times New Roman" w:hAnsi="Times New Roman" w:eastAsia="宋体" w:cs="Times New Roman"/>
                <w:b w:val="0"/>
                <w:bCs w:val="0"/>
                <w:color w:val="auto"/>
                <w:position w:val="-4"/>
                <w:sz w:val="36"/>
                <w:szCs w:val="24"/>
              </w:rPr>
              <w:instrText xml:space="preserve">□</w:instrText>
            </w:r>
            <w:r>
              <w:rPr>
                <w:rFonts w:hint="default" w:ascii="Times New Roman" w:hAnsi="Times New Roman" w:eastAsia="宋体" w:cs="Times New Roman"/>
                <w:b w:val="0"/>
                <w:bCs w:val="0"/>
                <w:color w:val="auto"/>
                <w:position w:val="0"/>
                <w:sz w:val="24"/>
                <w:szCs w:val="24"/>
              </w:rPr>
              <w:instrText xml:space="preserve">)</w:instrText>
            </w:r>
            <w:r>
              <w:rPr>
                <w:rFonts w:hint="default" w:ascii="Times New Roman" w:hAnsi="Times New Roman" w:eastAsia="宋体" w:cs="Times New Roman"/>
                <w:b w:val="0"/>
                <w:bCs w:val="0"/>
                <w:color w:val="auto"/>
                <w:sz w:val="24"/>
                <w:szCs w:val="24"/>
              </w:rPr>
              <w:fldChar w:fldCharType="end"/>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行业类别</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及代码</w:t>
            </w:r>
          </w:p>
        </w:tc>
        <w:tc>
          <w:tcPr>
            <w:tcW w:w="2987"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C3812电动机制造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占地面积</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(平方米)</w:t>
            </w:r>
          </w:p>
        </w:tc>
        <w:tc>
          <w:tcPr>
            <w:tcW w:w="3360"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2100</w:t>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绿化面积</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(平方米)</w:t>
            </w:r>
          </w:p>
        </w:tc>
        <w:tc>
          <w:tcPr>
            <w:tcW w:w="2987"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15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00</w:t>
            </w:r>
          </w:p>
        </w:tc>
        <w:tc>
          <w:tcPr>
            <w:tcW w:w="17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其中：环保投资</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12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8.55</w:t>
            </w:r>
          </w:p>
        </w:tc>
        <w:tc>
          <w:tcPr>
            <w:tcW w:w="18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环保投资占总投资比例</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eastAsia="zh-CN"/>
              </w:rPr>
              <w:t>）</w:t>
            </w:r>
          </w:p>
        </w:tc>
        <w:tc>
          <w:tcPr>
            <w:tcW w:w="11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8.55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6" w:hRule="atLeast"/>
        </w:trPr>
        <w:tc>
          <w:tcPr>
            <w:tcW w:w="11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评价经费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15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c>
          <w:tcPr>
            <w:tcW w:w="17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预期投产日期</w:t>
            </w:r>
          </w:p>
        </w:tc>
        <w:tc>
          <w:tcPr>
            <w:tcW w:w="4202"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2019年</w:t>
            </w:r>
            <w:r>
              <w:rPr>
                <w:rFonts w:hint="eastAsia" w:ascii="Times New Roman" w:hAnsi="Times New Roman"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504" w:hRule="atLeast"/>
        </w:trPr>
        <w:tc>
          <w:tcPr>
            <w:tcW w:w="8758" w:type="dxa"/>
            <w:gridSpan w:val="6"/>
            <w:noWrap w:val="0"/>
            <w:vAlign w:val="center"/>
          </w:tcPr>
          <w:p>
            <w:pPr>
              <w:keepNext w:val="0"/>
              <w:keepLines w:val="0"/>
              <w:pageBreakBefore w:val="0"/>
              <w:widowControl w:val="0"/>
              <w:kinsoku/>
              <w:wordWrap/>
              <w:overflowPunct/>
              <w:topLinePunct w:val="0"/>
              <w:bidi w:val="0"/>
              <w:adjustRightInd w:val="0"/>
              <w:snapToGrid w:val="0"/>
              <w:spacing w:line="360" w:lineRule="auto"/>
              <w:ind w:right="0" w:rightChars="0"/>
              <w:jc w:val="both"/>
              <w:textAlignment w:val="auto"/>
              <w:outlineLvl w:val="9"/>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工程内容及规模</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项目由来</w:t>
            </w:r>
          </w:p>
          <w:p>
            <w:pPr>
              <w:pStyle w:val="19"/>
              <w:keepNext w:val="0"/>
              <w:keepLines w:val="0"/>
              <w:pageBreakBefore w:val="0"/>
              <w:widowControl w:val="0"/>
              <w:tabs>
                <w:tab w:val="left" w:pos="2100"/>
              </w:tabs>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为满足市场需求，调整产业结构，延伸产品产业链，</w:t>
            </w:r>
            <w:r>
              <w:rPr>
                <w:rFonts w:hint="eastAsia" w:ascii="Times New Roman" w:eastAsia="宋体" w:cs="Times New Roman"/>
                <w:bCs/>
                <w:color w:val="auto"/>
                <w:kern w:val="2"/>
                <w:sz w:val="24"/>
                <w:szCs w:val="24"/>
                <w:lang w:eastAsia="zh-CN"/>
              </w:rPr>
              <w:t>新乡市泰达机械制造有限公司</w:t>
            </w:r>
            <w:r>
              <w:rPr>
                <w:rFonts w:hint="default" w:ascii="Times New Roman" w:hAnsi="Times New Roman" w:eastAsia="宋体" w:cs="Times New Roman"/>
                <w:bCs/>
                <w:color w:val="auto"/>
                <w:kern w:val="2"/>
                <w:sz w:val="24"/>
                <w:szCs w:val="24"/>
              </w:rPr>
              <w:t>投资</w:t>
            </w:r>
            <w:r>
              <w:rPr>
                <w:rFonts w:hint="eastAsia" w:ascii="Times New Roman" w:eastAsia="宋体" w:cs="Times New Roman"/>
                <w:bCs/>
                <w:color w:val="auto"/>
                <w:kern w:val="2"/>
                <w:sz w:val="24"/>
                <w:szCs w:val="24"/>
                <w:lang w:val="en-US" w:eastAsia="zh-CN"/>
              </w:rPr>
              <w:t>1</w:t>
            </w:r>
            <w:r>
              <w:rPr>
                <w:rFonts w:hint="eastAsia" w:ascii="Times New Roman" w:hAnsi="Times New Roman" w:eastAsia="宋体" w:cs="Times New Roman"/>
                <w:bCs/>
                <w:color w:val="auto"/>
                <w:kern w:val="2"/>
                <w:sz w:val="24"/>
                <w:szCs w:val="24"/>
                <w:lang w:val="en-US" w:eastAsia="zh-CN"/>
              </w:rPr>
              <w:t>00万元</w:t>
            </w:r>
            <w:r>
              <w:rPr>
                <w:rFonts w:hint="default" w:ascii="Times New Roman" w:hAnsi="Times New Roman" w:eastAsia="宋体" w:cs="Times New Roman"/>
                <w:bCs/>
                <w:color w:val="auto"/>
                <w:kern w:val="2"/>
                <w:sz w:val="24"/>
                <w:szCs w:val="24"/>
              </w:rPr>
              <w:t>建设</w:t>
            </w:r>
            <w:r>
              <w:rPr>
                <w:rFonts w:hint="eastAsia" w:ascii="Times New Roman" w:eastAsia="宋体" w:cs="Times New Roman"/>
                <w:bCs/>
                <w:color w:val="auto"/>
                <w:kern w:val="2"/>
                <w:sz w:val="24"/>
                <w:szCs w:val="24"/>
                <w:lang w:eastAsia="zh-CN"/>
              </w:rPr>
              <w:t>新乡市泰达机械制造有限公司年产10万件机械配件加工项目</w:t>
            </w:r>
            <w:r>
              <w:rPr>
                <w:rFonts w:hint="default" w:ascii="Times New Roman" w:hAnsi="Times New Roman" w:eastAsia="宋体" w:cs="Times New Roman"/>
                <w:bCs/>
                <w:color w:val="auto"/>
                <w:kern w:val="2"/>
                <w:sz w:val="24"/>
                <w:szCs w:val="24"/>
              </w:rPr>
              <w:t>。</w:t>
            </w:r>
            <w:r>
              <w:rPr>
                <w:rFonts w:hint="default" w:ascii="Times New Roman" w:hAnsi="Times New Roman" w:eastAsia="宋体" w:cs="Times New Roman"/>
                <w:bCs/>
                <w:color w:val="000000" w:themeColor="text1"/>
                <w:kern w:val="2"/>
                <w:sz w:val="24"/>
                <w:szCs w:val="24"/>
                <w14:textFill>
                  <w14:solidFill>
                    <w14:schemeClr w14:val="tx1"/>
                  </w14:solidFill>
                </w14:textFill>
              </w:rPr>
              <w:t>该项目不新征用地，租赁</w:t>
            </w:r>
            <w:r>
              <w:rPr>
                <w:rFonts w:hint="eastAsia" w:ascii="Times New Roman" w:eastAsia="宋体" w:cs="Times New Roman"/>
                <w:bCs/>
                <w:color w:val="000000" w:themeColor="text1"/>
                <w:kern w:val="2"/>
                <w:sz w:val="24"/>
                <w:szCs w:val="24"/>
                <w:lang w:eastAsia="zh-CN"/>
                <w14:textFill>
                  <w14:solidFill>
                    <w14:schemeClr w14:val="tx1"/>
                  </w14:solidFill>
                </w14:textFill>
              </w:rPr>
              <w:t>苏呈祥个人</w:t>
            </w:r>
            <w:r>
              <w:rPr>
                <w:rFonts w:hint="default" w:ascii="Times New Roman" w:hAnsi="Times New Roman" w:eastAsia="宋体" w:cs="Times New Roman"/>
                <w:bCs/>
                <w:color w:val="000000" w:themeColor="text1"/>
                <w:kern w:val="2"/>
                <w:sz w:val="24"/>
                <w:szCs w:val="24"/>
                <w:lang w:eastAsia="zh-CN"/>
                <w14:textFill>
                  <w14:solidFill>
                    <w14:schemeClr w14:val="tx1"/>
                  </w14:solidFill>
                </w14:textFill>
              </w:rPr>
              <w:t>现有闲置</w:t>
            </w:r>
            <w:r>
              <w:rPr>
                <w:rFonts w:hint="default" w:ascii="Times New Roman" w:hAnsi="Times New Roman" w:eastAsia="宋体" w:cs="Times New Roman"/>
                <w:bCs/>
                <w:color w:val="000000" w:themeColor="text1"/>
                <w:kern w:val="2"/>
                <w:sz w:val="24"/>
                <w:szCs w:val="24"/>
                <w:lang w:val="en-US" w:eastAsia="zh-CN"/>
                <w14:textFill>
                  <w14:solidFill>
                    <w14:schemeClr w14:val="tx1"/>
                  </w14:solidFill>
                </w14:textFill>
              </w:rPr>
              <w:t>厂房</w:t>
            </w:r>
            <w:r>
              <w:rPr>
                <w:rFonts w:hint="default" w:ascii="Times New Roman" w:hAnsi="Times New Roman" w:eastAsia="宋体" w:cs="Times New Roman"/>
                <w:bCs/>
                <w:color w:val="000000" w:themeColor="text1"/>
                <w:kern w:val="2"/>
                <w:sz w:val="24"/>
                <w:szCs w:val="24"/>
                <w14:textFill>
                  <w14:solidFill>
                    <w14:schemeClr w14:val="tx1"/>
                  </w14:solidFill>
                </w14:textFill>
              </w:rPr>
              <w:t>进行生产（</w:t>
            </w:r>
            <w:r>
              <w:rPr>
                <w:rFonts w:hint="default" w:ascii="Times New Roman" w:hAnsi="Times New Roman" w:eastAsia="宋体" w:cs="Times New Roman"/>
                <w:bCs/>
                <w:color w:val="000000" w:themeColor="text1"/>
                <w:kern w:val="2"/>
                <w:sz w:val="24"/>
                <w:szCs w:val="24"/>
                <w:lang w:eastAsia="zh-CN"/>
                <w14:textFill>
                  <w14:solidFill>
                    <w14:schemeClr w14:val="tx1"/>
                  </w14:solidFill>
                </w14:textFill>
              </w:rPr>
              <w:t>租赁</w:t>
            </w:r>
            <w:r>
              <w:rPr>
                <w:rFonts w:hint="eastAsia" w:ascii="Times New Roman" w:eastAsia="宋体" w:cs="Times New Roman"/>
                <w:bCs/>
                <w:color w:val="000000" w:themeColor="text1"/>
                <w:kern w:val="2"/>
                <w:sz w:val="24"/>
                <w:szCs w:val="24"/>
                <w:lang w:eastAsia="zh-CN"/>
                <w14:textFill>
                  <w14:solidFill>
                    <w14:schemeClr w14:val="tx1"/>
                  </w14:solidFill>
                </w14:textFill>
              </w:rPr>
              <w:t>协议</w:t>
            </w:r>
            <w:r>
              <w:rPr>
                <w:rFonts w:hint="default" w:ascii="Times New Roman" w:hAnsi="Times New Roman" w:eastAsia="宋体" w:cs="Times New Roman"/>
                <w:bCs/>
                <w:color w:val="000000" w:themeColor="text1"/>
                <w:kern w:val="2"/>
                <w:sz w:val="24"/>
                <w:szCs w:val="24"/>
                <w14:textFill>
                  <w14:solidFill>
                    <w14:schemeClr w14:val="tx1"/>
                  </w14:solidFill>
                </w14:textFill>
              </w:rPr>
              <w:t>见附件</w:t>
            </w:r>
            <w:r>
              <w:rPr>
                <w:rFonts w:hint="eastAsia" w:ascii="Times New Roman" w:eastAsia="宋体" w:cs="Times New Roman"/>
                <w:bCs/>
                <w:color w:val="000000" w:themeColor="text1"/>
                <w:kern w:val="2"/>
                <w:sz w:val="24"/>
                <w:szCs w:val="24"/>
                <w:lang w:eastAsia="zh-CN"/>
                <w14:textFill>
                  <w14:solidFill>
                    <w14:schemeClr w14:val="tx1"/>
                  </w14:solidFill>
                </w14:textFill>
              </w:rPr>
              <w:t>三</w:t>
            </w:r>
            <w:r>
              <w:rPr>
                <w:rFonts w:hint="default" w:ascii="Times New Roman" w:hAnsi="Times New Roman" w:eastAsia="宋体" w:cs="Times New Roman"/>
                <w:bCs/>
                <w:color w:val="000000" w:themeColor="text1"/>
                <w:kern w:val="2"/>
                <w:sz w:val="24"/>
                <w:szCs w:val="24"/>
                <w14:textFill>
                  <w14:solidFill>
                    <w14:schemeClr w14:val="tx1"/>
                  </w14:solidFill>
                </w14:textFill>
              </w:rPr>
              <w:t>）。</w:t>
            </w:r>
            <w:r>
              <w:rPr>
                <w:rFonts w:hint="default" w:ascii="Times New Roman" w:hAnsi="Times New Roman" w:eastAsia="宋体" w:cs="Times New Roman"/>
                <w:bCs/>
                <w:color w:val="auto"/>
                <w:kern w:val="2"/>
                <w:sz w:val="24"/>
                <w:szCs w:val="24"/>
              </w:rPr>
              <w:t>根据现场调查，该项目</w:t>
            </w:r>
            <w:r>
              <w:rPr>
                <w:rFonts w:hint="default" w:ascii="Times New Roman" w:hAnsi="Times New Roman" w:eastAsia="宋体" w:cs="Times New Roman"/>
                <w:bCs/>
                <w:color w:val="auto"/>
                <w:kern w:val="2"/>
                <w:sz w:val="24"/>
                <w:szCs w:val="24"/>
                <w:lang w:eastAsia="zh-CN"/>
              </w:rPr>
              <w:t>设备尚未安装，</w:t>
            </w:r>
            <w:r>
              <w:rPr>
                <w:rFonts w:hint="default" w:ascii="Times New Roman" w:hAnsi="Times New Roman" w:eastAsia="宋体" w:cs="Times New Roman"/>
                <w:bCs/>
                <w:color w:val="auto"/>
                <w:kern w:val="2"/>
                <w:sz w:val="24"/>
                <w:szCs w:val="24"/>
              </w:rPr>
              <w:t>不属于未批先建项目。</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val="en-US" w:eastAsia="zh-CN"/>
              </w:rPr>
              <w:t>经查阅</w:t>
            </w:r>
            <w:r>
              <w:rPr>
                <w:rFonts w:hint="default" w:ascii="Times New Roman" w:hAnsi="Times New Roman" w:eastAsia="宋体" w:cs="Times New Roman"/>
                <w:bCs/>
                <w:color w:val="auto"/>
                <w:kern w:val="2"/>
                <w:sz w:val="24"/>
                <w:szCs w:val="24"/>
              </w:rPr>
              <w:t>《产业结构调整指导目录（2011年本）（2013年修正）》</w:t>
            </w:r>
            <w:r>
              <w:rPr>
                <w:rFonts w:hint="default" w:ascii="Times New Roman" w:hAnsi="Times New Roman" w:eastAsia="宋体" w:cs="Times New Roman"/>
                <w:bCs/>
                <w:color w:val="auto"/>
                <w:kern w:val="2"/>
                <w:sz w:val="24"/>
                <w:szCs w:val="24"/>
                <w:lang w:eastAsia="zh-CN"/>
              </w:rPr>
              <w:t>，本项目</w:t>
            </w:r>
            <w:r>
              <w:rPr>
                <w:rFonts w:hint="eastAsia" w:cs="Times New Roman"/>
                <w:bCs/>
                <w:color w:val="auto"/>
                <w:kern w:val="2"/>
                <w:sz w:val="24"/>
                <w:szCs w:val="24"/>
                <w:lang w:eastAsia="zh-CN"/>
              </w:rPr>
              <w:t>不</w:t>
            </w:r>
            <w:r>
              <w:rPr>
                <w:rFonts w:hint="default" w:ascii="Times New Roman" w:hAnsi="Times New Roman" w:eastAsia="宋体" w:cs="Times New Roman"/>
                <w:bCs/>
                <w:color w:val="auto"/>
                <w:kern w:val="2"/>
                <w:sz w:val="24"/>
                <w:szCs w:val="24"/>
                <w:lang w:eastAsia="zh-CN"/>
              </w:rPr>
              <w:t>属于</w:t>
            </w:r>
            <w:r>
              <w:rPr>
                <w:rFonts w:hint="default" w:ascii="Times New Roman" w:hAnsi="Times New Roman" w:eastAsia="宋体" w:cs="Times New Roman"/>
                <w:bCs/>
                <w:color w:val="auto"/>
                <w:kern w:val="2"/>
                <w:sz w:val="24"/>
                <w:szCs w:val="24"/>
                <w:lang w:val="en-US" w:eastAsia="zh-CN"/>
              </w:rPr>
              <w:t>鼓励类、淘汰类、限制类项目，属于允许</w:t>
            </w:r>
            <w:r>
              <w:rPr>
                <w:rFonts w:hint="eastAsia" w:cs="Times New Roman"/>
                <w:bCs/>
                <w:color w:val="auto"/>
                <w:kern w:val="2"/>
                <w:sz w:val="24"/>
                <w:szCs w:val="24"/>
                <w:lang w:val="en-US" w:eastAsia="zh-CN"/>
              </w:rPr>
              <w:t>类</w:t>
            </w:r>
            <w:r>
              <w:rPr>
                <w:rFonts w:hint="default" w:ascii="Times New Roman" w:hAnsi="Times New Roman" w:eastAsia="宋体" w:cs="Times New Roman"/>
                <w:bCs/>
                <w:color w:val="auto"/>
                <w:kern w:val="2"/>
                <w:sz w:val="24"/>
                <w:szCs w:val="24"/>
                <w:lang w:val="en-US" w:eastAsia="zh-CN"/>
              </w:rPr>
              <w:t>建设项目</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rPr>
              <w:t>符合国家产业发展政策。该项目已于201</w:t>
            </w:r>
            <w:r>
              <w:rPr>
                <w:rFonts w:hint="eastAsia" w:cs="Times New Roman"/>
                <w:bCs/>
                <w:color w:val="auto"/>
                <w:kern w:val="2"/>
                <w:sz w:val="24"/>
                <w:szCs w:val="24"/>
                <w:lang w:val="en-US" w:eastAsia="zh-CN"/>
              </w:rPr>
              <w:t>9</w:t>
            </w:r>
            <w:r>
              <w:rPr>
                <w:rFonts w:hint="default" w:ascii="Times New Roman" w:hAnsi="Times New Roman" w:eastAsia="宋体" w:cs="Times New Roman"/>
                <w:bCs/>
                <w:color w:val="auto"/>
                <w:kern w:val="2"/>
                <w:sz w:val="24"/>
                <w:szCs w:val="24"/>
              </w:rPr>
              <w:t>年</w:t>
            </w:r>
            <w:r>
              <w:rPr>
                <w:rFonts w:hint="eastAsia" w:cs="Times New Roman"/>
                <w:bCs/>
                <w:color w:val="auto"/>
                <w:kern w:val="2"/>
                <w:sz w:val="24"/>
                <w:szCs w:val="24"/>
                <w:lang w:val="en-US" w:eastAsia="zh-CN"/>
              </w:rPr>
              <w:t>5</w:t>
            </w:r>
            <w:r>
              <w:rPr>
                <w:rFonts w:hint="default" w:ascii="Times New Roman" w:hAnsi="Times New Roman" w:eastAsia="宋体" w:cs="Times New Roman"/>
                <w:bCs/>
                <w:color w:val="auto"/>
                <w:kern w:val="2"/>
                <w:sz w:val="24"/>
                <w:szCs w:val="24"/>
              </w:rPr>
              <w:t>月通过</w:t>
            </w:r>
            <w:r>
              <w:rPr>
                <w:rFonts w:hint="eastAsia" w:cs="Times New Roman"/>
                <w:bCs/>
                <w:color w:val="auto"/>
                <w:kern w:val="2"/>
                <w:sz w:val="24"/>
                <w:szCs w:val="24"/>
                <w:lang w:eastAsia="zh-CN"/>
              </w:rPr>
              <w:t>新乡县发展和改革委员会</w:t>
            </w:r>
            <w:r>
              <w:rPr>
                <w:rFonts w:hint="default" w:ascii="Times New Roman" w:hAnsi="Times New Roman" w:eastAsia="宋体" w:cs="Times New Roman"/>
                <w:bCs/>
                <w:color w:val="auto"/>
                <w:kern w:val="2"/>
                <w:sz w:val="24"/>
                <w:szCs w:val="24"/>
              </w:rPr>
              <w:t>予以备案</w:t>
            </w:r>
            <w:r>
              <w:rPr>
                <w:rFonts w:hint="default" w:ascii="Times New Roman" w:hAnsi="Times New Roman" w:eastAsia="宋体" w:cs="Times New Roman"/>
                <w:bCs/>
                <w:color w:val="auto"/>
                <w:kern w:val="2"/>
                <w:sz w:val="24"/>
                <w:szCs w:val="24"/>
                <w:lang w:eastAsia="zh-CN"/>
              </w:rPr>
              <w:t>，项目代码为</w:t>
            </w:r>
            <w:r>
              <w:rPr>
                <w:rFonts w:hint="eastAsia" w:cs="Times New Roman"/>
                <w:color w:val="auto"/>
                <w:sz w:val="24"/>
                <w:szCs w:val="24"/>
                <w:lang w:val="en-US" w:eastAsia="zh-CN"/>
              </w:rPr>
              <w:t>2019-410721-34-03-019688</w:t>
            </w:r>
            <w:r>
              <w:rPr>
                <w:rFonts w:hint="default" w:ascii="Times New Roman" w:hAnsi="Times New Roman" w:eastAsia="宋体" w:cs="Times New Roman"/>
                <w:bCs/>
                <w:color w:val="auto"/>
                <w:kern w:val="2"/>
                <w:sz w:val="24"/>
                <w:szCs w:val="24"/>
              </w:rPr>
              <w:t>。</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根据《中华人民共和国环境保护法》、《中华人民共和国环境影响评价法》、《建设项目环境影响评价分类管理名录》</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中华人民共和国国务院令第</w:t>
            </w:r>
            <w:r>
              <w:rPr>
                <w:rFonts w:hint="default" w:ascii="Times New Roman" w:hAnsi="Times New Roman" w:eastAsia="宋体" w:cs="Times New Roman"/>
                <w:color w:val="auto"/>
                <w:sz w:val="24"/>
                <w:szCs w:val="24"/>
                <w:lang w:val="en-US" w:eastAsia="zh-CN"/>
              </w:rPr>
              <w:t>682</w:t>
            </w:r>
            <w:r>
              <w:rPr>
                <w:rFonts w:hint="default" w:ascii="Times New Roman" w:hAnsi="Times New Roman" w:eastAsia="宋体" w:cs="Times New Roman"/>
                <w:color w:val="auto"/>
                <w:sz w:val="24"/>
                <w:szCs w:val="24"/>
              </w:rPr>
              <w:t>号《建设项目环境保护管理条例》中的有关规定，建设项目必须执行环境影响评价制度。根据《建设项目环境影响评价分类管理名录》（</w:t>
            </w:r>
            <w:r>
              <w:rPr>
                <w:rFonts w:hint="default" w:ascii="Times New Roman" w:hAnsi="Times New Roman" w:eastAsia="宋体" w:cs="Times New Roman"/>
                <w:b w:val="0"/>
                <w:bCs w:val="0"/>
                <w:color w:val="auto"/>
                <w:sz w:val="24"/>
                <w:szCs w:val="24"/>
                <w:u w:val="none"/>
              </w:rPr>
              <w:t>环境保护部令第44号</w:t>
            </w:r>
            <w:r>
              <w:rPr>
                <w:rFonts w:hint="default" w:ascii="Times New Roman" w:hAnsi="Times New Roman" w:eastAsia="宋体" w:cs="Times New Roman"/>
                <w:color w:val="auto"/>
                <w:sz w:val="24"/>
                <w:szCs w:val="24"/>
              </w:rPr>
              <w:t>）及《关于修改（建设项目环境影响评价分类管理目录）部分内容的决定》（生态环境部令第1号），本项目类别为</w:t>
            </w:r>
            <w:r>
              <w:rPr>
                <w:rFonts w:hint="eastAsia" w:ascii="宋体" w:hAnsi="宋体" w:eastAsia="宋体" w:cs="宋体"/>
                <w:color w:val="auto"/>
                <w:sz w:val="24"/>
                <w:szCs w:val="24"/>
              </w:rPr>
              <w:t>“</w:t>
            </w:r>
            <w:r>
              <w:rPr>
                <w:rFonts w:hint="default" w:ascii="Times New Roman" w:hAnsi="Times New Roman" w:eastAsia="宋体" w:cs="Times New Roman"/>
                <w:color w:val="auto"/>
                <w:sz w:val="24"/>
                <w:szCs w:val="24"/>
                <w:lang w:val="en-US" w:eastAsia="zh-CN"/>
              </w:rPr>
              <w:t>二十</w:t>
            </w:r>
            <w:r>
              <w:rPr>
                <w:rFonts w:hint="eastAsia" w:cs="Times New Roman"/>
                <w:color w:val="auto"/>
                <w:sz w:val="24"/>
                <w:szCs w:val="24"/>
                <w:lang w:val="en-US" w:eastAsia="zh-CN"/>
              </w:rPr>
              <w:t>二</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金属制品</w:t>
            </w:r>
            <w:r>
              <w:rPr>
                <w:rFonts w:hint="default" w:ascii="Times New Roman" w:hAnsi="Times New Roman" w:eastAsia="宋体" w:cs="Times New Roman"/>
                <w:color w:val="auto"/>
                <w:sz w:val="24"/>
                <w:szCs w:val="24"/>
                <w:lang w:val="en-US" w:eastAsia="zh-CN"/>
              </w:rPr>
              <w:t>业</w:t>
            </w:r>
            <w:r>
              <w:rPr>
                <w:rFonts w:hint="default" w:ascii="Times New Roman" w:hAnsi="Times New Roman" w:eastAsia="宋体" w:cs="Times New Roman"/>
                <w:color w:val="auto"/>
                <w:sz w:val="24"/>
                <w:szCs w:val="24"/>
              </w:rPr>
              <w:t xml:space="preserve"> </w:t>
            </w:r>
            <w:r>
              <w:rPr>
                <w:rFonts w:hint="eastAsia" w:cs="Times New Roman"/>
                <w:color w:val="auto"/>
                <w:sz w:val="24"/>
                <w:szCs w:val="24"/>
                <w:lang w:val="en-US" w:eastAsia="zh-CN"/>
              </w:rPr>
              <w:t>67</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金属制品加工</w:t>
            </w:r>
            <w:r>
              <w:rPr>
                <w:rFonts w:hint="default" w:ascii="Times New Roman" w:hAnsi="Times New Roman" w:eastAsia="宋体" w:cs="Times New Roman"/>
                <w:color w:val="auto"/>
                <w:sz w:val="24"/>
                <w:szCs w:val="24"/>
                <w:lang w:val="en-US" w:eastAsia="zh-CN"/>
              </w:rPr>
              <w:t>制造</w:t>
            </w:r>
            <w:r>
              <w:rPr>
                <w:rFonts w:hint="eastAsia" w:cs="Times New Roman"/>
                <w:color w:val="auto"/>
                <w:sz w:val="24"/>
                <w:szCs w:val="24"/>
                <w:lang w:eastAsia="zh-CN"/>
              </w:rPr>
              <w:t>”</w:t>
            </w:r>
            <w:r>
              <w:rPr>
                <w:rFonts w:hint="eastAsia" w:ascii="宋体" w:hAnsi="宋体" w:eastAsia="宋体" w:cs="宋体"/>
                <w:color w:val="auto"/>
                <w:sz w:val="24"/>
                <w:szCs w:val="24"/>
              </w:rPr>
              <w:t>中“</w:t>
            </w:r>
            <w:r>
              <w:rPr>
                <w:rFonts w:hint="eastAsia" w:ascii="宋体" w:hAnsi="宋体" w:eastAsia="宋体" w:cs="宋体"/>
                <w:color w:val="auto"/>
                <w:sz w:val="24"/>
                <w:szCs w:val="24"/>
                <w:lang w:eastAsia="zh-CN"/>
              </w:rPr>
              <w:t>有</w:t>
            </w:r>
            <w:r>
              <w:rPr>
                <w:rFonts w:hint="default" w:ascii="Times New Roman" w:hAnsi="Times New Roman" w:eastAsia="宋体" w:cs="Times New Roman"/>
                <w:color w:val="auto"/>
                <w:sz w:val="24"/>
                <w:szCs w:val="24"/>
                <w:lang w:eastAsia="zh-CN"/>
              </w:rPr>
              <w:t>电镀或喷漆工艺且年用油性漆量（含稀释剂）10吨及以上的</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编制报告书</w:t>
            </w:r>
            <w:r>
              <w:rPr>
                <w:rFonts w:hint="eastAsia" w:ascii="宋体" w:hAnsi="宋体" w:eastAsia="宋体" w:cs="宋体"/>
                <w:color w:val="auto"/>
                <w:sz w:val="24"/>
                <w:szCs w:val="24"/>
              </w:rPr>
              <w:t>，“其他（仅</w:t>
            </w:r>
            <w:r>
              <w:rPr>
                <w:rFonts w:hint="eastAsia" w:ascii="宋体" w:hAnsi="宋体" w:cs="宋体"/>
                <w:color w:val="auto"/>
                <w:sz w:val="24"/>
                <w:szCs w:val="24"/>
                <w:lang w:eastAsia="zh-CN"/>
              </w:rPr>
              <w:t>切割</w:t>
            </w:r>
            <w:r>
              <w:rPr>
                <w:rFonts w:hint="eastAsia" w:ascii="宋体" w:hAnsi="宋体" w:eastAsia="宋体" w:cs="宋体"/>
                <w:color w:val="auto"/>
                <w:sz w:val="24"/>
                <w:szCs w:val="24"/>
              </w:rPr>
              <w:t>组装除外）”编制报告表，“仅</w:t>
            </w:r>
            <w:r>
              <w:rPr>
                <w:rFonts w:hint="eastAsia" w:ascii="宋体" w:hAnsi="宋体" w:cs="宋体"/>
                <w:color w:val="auto"/>
                <w:sz w:val="24"/>
                <w:szCs w:val="24"/>
                <w:lang w:eastAsia="zh-CN"/>
              </w:rPr>
              <w:t>切割</w:t>
            </w:r>
            <w:r>
              <w:rPr>
                <w:rFonts w:hint="eastAsia" w:ascii="宋体" w:hAnsi="宋体" w:eastAsia="宋体" w:cs="宋体"/>
                <w:color w:val="auto"/>
                <w:sz w:val="24"/>
                <w:szCs w:val="24"/>
              </w:rPr>
              <w:t>组装的”</w:t>
            </w:r>
            <w:r>
              <w:rPr>
                <w:rFonts w:hint="eastAsia" w:ascii="宋体" w:hAnsi="宋体" w:eastAsia="宋体" w:cs="宋体"/>
                <w:color w:val="auto"/>
                <w:sz w:val="24"/>
                <w:szCs w:val="24"/>
                <w:lang w:eastAsia="zh-CN"/>
              </w:rPr>
              <w:t>填报登记</w:t>
            </w:r>
            <w:r>
              <w:rPr>
                <w:rFonts w:hint="eastAsia" w:ascii="宋体" w:hAnsi="宋体" w:eastAsia="宋体" w:cs="宋体"/>
                <w:color w:val="auto"/>
                <w:sz w:val="24"/>
                <w:szCs w:val="24"/>
              </w:rPr>
              <w:t>表</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本项目</w:t>
            </w:r>
            <w:r>
              <w:rPr>
                <w:rFonts w:hint="eastAsia" w:ascii="宋体" w:hAnsi="宋体" w:eastAsia="宋体" w:cs="宋体"/>
                <w:color w:val="auto"/>
                <w:sz w:val="24"/>
                <w:szCs w:val="24"/>
                <w:lang w:eastAsia="zh-CN"/>
              </w:rPr>
              <w:t>为</w:t>
            </w:r>
            <w:r>
              <w:rPr>
                <w:rFonts w:hint="eastAsia" w:cs="Times New Roman"/>
                <w:bCs/>
                <w:color w:val="auto"/>
                <w:sz w:val="24"/>
                <w:szCs w:val="24"/>
                <w:lang w:eastAsia="zh-CN"/>
              </w:rPr>
              <w:t>机壳和端盖</w:t>
            </w:r>
            <w:r>
              <w:rPr>
                <w:rFonts w:hint="eastAsia" w:ascii="Times New Roman" w:hAnsi="Times New Roman" w:cs="Times New Roman"/>
                <w:bCs/>
                <w:color w:val="auto"/>
                <w:sz w:val="24"/>
                <w:szCs w:val="24"/>
                <w:lang w:eastAsia="zh-CN"/>
              </w:rPr>
              <w:t>生产项目，</w:t>
            </w:r>
            <w:r>
              <w:rPr>
                <w:rFonts w:hint="eastAsia" w:ascii="宋体" w:hAnsi="宋体" w:eastAsia="宋体" w:cs="宋体"/>
                <w:color w:val="auto"/>
                <w:sz w:val="24"/>
                <w:szCs w:val="24"/>
              </w:rPr>
              <w:t>不涉及</w:t>
            </w:r>
            <w:r>
              <w:rPr>
                <w:rFonts w:hint="eastAsia" w:ascii="Times New Roman" w:hAnsi="Times New Roman" w:cs="Times New Roman"/>
                <w:color w:val="auto"/>
                <w:sz w:val="24"/>
                <w:szCs w:val="24"/>
                <w:lang w:eastAsia="zh-CN"/>
              </w:rPr>
              <w:t>电镀</w:t>
            </w:r>
            <w:r>
              <w:rPr>
                <w:rFonts w:hint="default" w:ascii="Times New Roman" w:hAnsi="Times New Roman" w:eastAsia="宋体" w:cs="Times New Roman"/>
                <w:color w:val="auto"/>
                <w:sz w:val="24"/>
                <w:szCs w:val="24"/>
                <w:lang w:eastAsia="zh-CN"/>
              </w:rPr>
              <w:t>和</w:t>
            </w:r>
            <w:r>
              <w:rPr>
                <w:rFonts w:hint="eastAsia" w:ascii="Times New Roman" w:hAnsi="Times New Roman" w:cs="Times New Roman"/>
                <w:color w:val="auto"/>
                <w:sz w:val="24"/>
                <w:szCs w:val="24"/>
                <w:lang w:eastAsia="zh-CN"/>
              </w:rPr>
              <w:t>喷漆</w:t>
            </w:r>
            <w:r>
              <w:rPr>
                <w:rFonts w:hint="default" w:ascii="Times New Roman" w:hAnsi="Times New Roman" w:eastAsia="宋体" w:cs="Times New Roman"/>
                <w:color w:val="auto"/>
                <w:sz w:val="24"/>
                <w:szCs w:val="24"/>
              </w:rPr>
              <w:t>工艺，应编制环境影响报告表。</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受</w:t>
            </w:r>
            <w:r>
              <w:rPr>
                <w:rFonts w:hint="eastAsia" w:cs="Times New Roman"/>
                <w:bCs/>
                <w:color w:val="auto"/>
                <w:sz w:val="24"/>
                <w:szCs w:val="24"/>
                <w:lang w:eastAsia="zh-CN"/>
              </w:rPr>
              <w:t>新乡市泰达机械制造有限公司</w:t>
            </w:r>
            <w:r>
              <w:rPr>
                <w:rFonts w:hint="default" w:ascii="Times New Roman" w:hAnsi="Times New Roman" w:eastAsia="宋体" w:cs="Times New Roman"/>
                <w:color w:val="auto"/>
                <w:sz w:val="24"/>
                <w:szCs w:val="24"/>
              </w:rPr>
              <w:t>委托（见附件一），我公司承担了</w:t>
            </w:r>
            <w:r>
              <w:rPr>
                <w:rFonts w:hint="eastAsia" w:ascii="宋体" w:hAnsi="宋体" w:eastAsia="宋体" w:cs="宋体"/>
                <w:color w:val="auto"/>
                <w:sz w:val="24"/>
                <w:szCs w:val="24"/>
              </w:rPr>
              <w:t>“</w:t>
            </w:r>
            <w:r>
              <w:rPr>
                <w:rFonts w:hint="eastAsia" w:cs="Times New Roman"/>
                <w:bCs/>
                <w:color w:val="auto"/>
                <w:sz w:val="24"/>
                <w:szCs w:val="24"/>
                <w:lang w:eastAsia="zh-CN"/>
              </w:rPr>
              <w:t>新乡市泰达机械制造有限公司年产10万件机械配件加工项目</w:t>
            </w:r>
            <w:r>
              <w:rPr>
                <w:rFonts w:hint="eastAsia" w:ascii="宋体" w:hAnsi="宋体" w:eastAsia="宋体" w:cs="宋体"/>
                <w:color w:val="auto"/>
                <w:sz w:val="24"/>
                <w:szCs w:val="24"/>
              </w:rPr>
              <w:t>”的</w:t>
            </w:r>
            <w:r>
              <w:rPr>
                <w:rFonts w:hint="default" w:ascii="Times New Roman" w:hAnsi="Times New Roman" w:eastAsia="宋体" w:cs="Times New Roman"/>
                <w:color w:val="auto"/>
                <w:sz w:val="24"/>
                <w:szCs w:val="24"/>
              </w:rPr>
              <w:t>环境影响评价工作。接受委托后，我单位组织有关技术人员，在现场调查和收集有关资料的基础上，本着</w:t>
            </w:r>
            <w:r>
              <w:rPr>
                <w:rFonts w:hint="eastAsia" w:ascii="宋体" w:hAnsi="宋体" w:eastAsia="宋体" w:cs="宋体"/>
                <w:color w:val="auto"/>
                <w:sz w:val="24"/>
                <w:szCs w:val="24"/>
              </w:rPr>
              <w:t>“</w:t>
            </w:r>
            <w:r>
              <w:rPr>
                <w:rFonts w:hint="default" w:ascii="Times New Roman" w:hAnsi="Times New Roman" w:eastAsia="宋体" w:cs="Times New Roman"/>
                <w:color w:val="auto"/>
                <w:sz w:val="24"/>
                <w:szCs w:val="24"/>
              </w:rPr>
              <w:t>公开、公正、客观</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的态度，编制了本项目的环境影响报告表。</w:t>
            </w:r>
          </w:p>
          <w:p>
            <w:pPr>
              <w:pStyle w:val="2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rPr>
              <w:t>、项目地理位置及项目周围情况</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auto"/>
                <w:sz w:val="24"/>
                <w:szCs w:val="24"/>
              </w:rPr>
              <w:t>本项目位于</w:t>
            </w:r>
            <w:r>
              <w:rPr>
                <w:rFonts w:hint="eastAsia" w:cs="Times New Roman"/>
                <w:color w:val="auto"/>
                <w:sz w:val="24"/>
                <w:szCs w:val="24"/>
                <w:lang w:eastAsia="zh-CN"/>
              </w:rPr>
              <w:t>新乡市新乡县合河乡新王线东北永康路口南100米</w:t>
            </w:r>
            <w:r>
              <w:rPr>
                <w:rFonts w:hint="default" w:ascii="Times New Roman" w:hAnsi="Times New Roman" w:eastAsia="宋体" w:cs="Times New Roman"/>
                <w:color w:val="auto"/>
                <w:sz w:val="24"/>
                <w:szCs w:val="24"/>
              </w:rPr>
              <w:t>，项目中心坐标：经度113.728076°，纬度35.321437°（项目地理位置示意图见附图一），项目所在地四周环境为：</w:t>
            </w:r>
            <w:r>
              <w:rPr>
                <w:rFonts w:hint="default" w:ascii="Times New Roman" w:hAnsi="Times New Roman" w:eastAsia="宋体" w:cs="Times New Roman"/>
                <w:color w:val="000000" w:themeColor="text1"/>
                <w:sz w:val="24"/>
                <w:szCs w:val="24"/>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北侧</w:t>
            </w:r>
            <w:r>
              <w:rPr>
                <w:rFonts w:hint="eastAsia" w:cs="Times New Roman"/>
                <w:color w:val="000000" w:themeColor="text1"/>
                <w:sz w:val="24"/>
                <w:szCs w:val="24"/>
                <w:lang w:val="en-US" w:eastAsia="zh-CN"/>
                <w14:textFill>
                  <w14:solidFill>
                    <w14:schemeClr w14:val="tx1"/>
                  </w14:solidFill>
                </w14:textFill>
              </w:rPr>
              <w:t>紧邻制钉厂，约57m处为喜上喜有限公司，约388m处为东北永康村；东北侧约159m处为东北永康新型社区，约284m处为基督教堂，约815m处为石村；东侧约11m处为</w:t>
            </w:r>
            <w:bookmarkStart w:id="0" w:name="OLE_LINK11"/>
            <w:r>
              <w:rPr>
                <w:rFonts w:hint="eastAsia" w:cs="Times New Roman"/>
                <w:color w:val="000000" w:themeColor="text1"/>
                <w:sz w:val="24"/>
                <w:szCs w:val="24"/>
                <w:lang w:val="en-US" w:eastAsia="zh-CN"/>
                <w14:textFill>
                  <w14:solidFill>
                    <w14:schemeClr w14:val="tx1"/>
                  </w14:solidFill>
                </w14:textFill>
              </w:rPr>
              <w:t>新振机械有限公司</w:t>
            </w:r>
            <w:bookmarkEnd w:id="0"/>
            <w:r>
              <w:rPr>
                <w:rFonts w:hint="eastAsia" w:cs="Times New Roman"/>
                <w:color w:val="000000" w:themeColor="text1"/>
                <w:sz w:val="24"/>
                <w:szCs w:val="24"/>
                <w:lang w:val="en-US" w:eastAsia="zh-CN"/>
                <w14:textFill>
                  <w14:solidFill>
                    <w14:schemeClr w14:val="tx1"/>
                  </w14:solidFill>
                </w14:textFill>
              </w:rPr>
              <w:t>，约12m处为新乡县海晨机械有限公司，约491m处为合河三中；南侧紧邻新乡县玉强振动机械有限公司；</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西</w:t>
            </w:r>
            <w:r>
              <w:rPr>
                <w:rFonts w:hint="eastAsia" w:cs="Times New Roman"/>
                <w:color w:val="000000" w:themeColor="text1"/>
                <w:sz w:val="24"/>
                <w:szCs w:val="24"/>
                <w:lang w:val="en-US" w:eastAsia="zh-CN"/>
                <w14:textFill>
                  <w14:solidFill>
                    <w14:schemeClr w14:val="tx1"/>
                  </w14:solidFill>
                </w14:textFill>
              </w:rPr>
              <w:t>南</w:t>
            </w:r>
            <w:r>
              <w:rPr>
                <w:rFonts w:hint="default" w:ascii="Times New Roman" w:hAnsi="Times New Roman" w:eastAsia="宋体" w:cs="Times New Roman"/>
                <w:color w:val="000000" w:themeColor="text1"/>
                <w:sz w:val="24"/>
                <w:szCs w:val="24"/>
                <w14:textFill>
                  <w14:solidFill>
                    <w14:schemeClr w14:val="tx1"/>
                  </w14:solidFill>
                </w14:textFill>
              </w:rPr>
              <w:t>侧</w:t>
            </w:r>
            <w:r>
              <w:rPr>
                <w:rFonts w:hint="eastAsia" w:cs="Times New Roman"/>
                <w:color w:val="000000" w:themeColor="text1"/>
                <w:sz w:val="24"/>
                <w:szCs w:val="24"/>
                <w:lang w:eastAsia="zh-CN"/>
                <w14:textFill>
                  <w14:solidFill>
                    <w14:schemeClr w14:val="tx1"/>
                  </w14:solidFill>
                </w14:textFill>
              </w:rPr>
              <w:t>约</w:t>
            </w:r>
            <w:r>
              <w:rPr>
                <w:rFonts w:hint="eastAsia" w:cs="Times New Roman"/>
                <w:color w:val="000000" w:themeColor="text1"/>
                <w:sz w:val="24"/>
                <w:szCs w:val="24"/>
                <w:lang w:val="en-US" w:eastAsia="zh-CN"/>
                <w14:textFill>
                  <w14:solidFill>
                    <w14:schemeClr w14:val="tx1"/>
                  </w14:solidFill>
                </w14:textFill>
              </w:rPr>
              <w:t>525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m处为</w:t>
            </w:r>
            <w:r>
              <w:rPr>
                <w:rFonts w:hint="eastAsia" w:cs="Times New Roman"/>
                <w:color w:val="000000" w:themeColor="text1"/>
                <w:sz w:val="24"/>
                <w:szCs w:val="24"/>
                <w:lang w:val="en-US" w:eastAsia="zh-CN"/>
                <w14:textFill>
                  <w14:solidFill>
                    <w14:schemeClr w14:val="tx1"/>
                  </w14:solidFill>
                </w14:textFill>
              </w:rPr>
              <w:t>南永康村；西侧紧邻空厂房，</w:t>
            </w:r>
            <w:r>
              <w:rPr>
                <w:rFonts w:hint="eastAsia" w:cs="Times New Roman"/>
                <w:color w:val="000000" w:themeColor="text1"/>
                <w:sz w:val="24"/>
                <w:szCs w:val="24"/>
                <w:lang w:eastAsia="zh-CN"/>
                <w14:textFill>
                  <w14:solidFill>
                    <w14:schemeClr w14:val="tx1"/>
                  </w14:solidFill>
                </w14:textFill>
              </w:rPr>
              <w:t>约</w:t>
            </w:r>
            <w:r>
              <w:rPr>
                <w:rFonts w:hint="eastAsia" w:cs="Times New Roman"/>
                <w:color w:val="000000" w:themeColor="text1"/>
                <w:sz w:val="24"/>
                <w:szCs w:val="24"/>
                <w:lang w:val="en-US" w:eastAsia="zh-CN"/>
                <w14:textFill>
                  <w14:solidFill>
                    <w14:schemeClr w14:val="tx1"/>
                  </w14:solidFill>
                </w14:textFill>
              </w:rPr>
              <w:t>678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m处为</w:t>
            </w:r>
            <w:r>
              <w:rPr>
                <w:rFonts w:hint="eastAsia" w:cs="Times New Roman"/>
                <w:color w:val="000000" w:themeColor="text1"/>
                <w:sz w:val="24"/>
                <w:szCs w:val="24"/>
                <w:lang w:val="en-US" w:eastAsia="zh-CN"/>
                <w14:textFill>
                  <w14:solidFill>
                    <w14:schemeClr w14:val="tx1"/>
                  </w14:solidFill>
                </w14:textFill>
              </w:rPr>
              <w:t>西永康村</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周围主要环境敏感点为</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侧</w:t>
            </w:r>
            <w:r>
              <w:rPr>
                <w:rFonts w:hint="eastAsia" w:cs="Times New Roman"/>
                <w:color w:val="000000" w:themeColor="text1"/>
                <w:sz w:val="24"/>
                <w:szCs w:val="24"/>
                <w:highlight w:val="none"/>
                <w:lang w:val="en-US" w:eastAsia="zh-CN"/>
                <w14:textFill>
                  <w14:solidFill>
                    <w14:schemeClr w14:val="tx1"/>
                  </w14:solidFill>
                </w14:textFill>
              </w:rPr>
              <w:t>约388m处的东北永康村</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东北侧约159m处的东北永康新型社区</w:t>
            </w:r>
            <w:r>
              <w:rPr>
                <w:rFonts w:hint="eastAsia" w:cs="Times New Roman"/>
                <w:color w:val="000000" w:themeColor="text1"/>
                <w:sz w:val="24"/>
                <w:szCs w:val="24"/>
                <w:lang w:val="en-US" w:eastAsia="zh-CN"/>
                <w14:textFill>
                  <w14:solidFill>
                    <w14:schemeClr w14:val="tx1"/>
                  </w14:solidFill>
                </w14:textFill>
              </w:rPr>
              <w:t>，约284m处的基督教堂，约815m处的石村</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东侧约491m处的合河三中；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西</w:t>
            </w:r>
            <w:r>
              <w:rPr>
                <w:rFonts w:hint="eastAsia" w:cs="Times New Roman"/>
                <w:color w:val="000000" w:themeColor="text1"/>
                <w:sz w:val="24"/>
                <w:szCs w:val="24"/>
                <w:lang w:val="en-US" w:eastAsia="zh-CN"/>
                <w14:textFill>
                  <w14:solidFill>
                    <w14:schemeClr w14:val="tx1"/>
                  </w14:solidFill>
                </w14:textFill>
              </w:rPr>
              <w:t>南</w:t>
            </w:r>
            <w:r>
              <w:rPr>
                <w:rFonts w:hint="default" w:ascii="Times New Roman" w:hAnsi="Times New Roman" w:eastAsia="宋体" w:cs="Times New Roman"/>
                <w:color w:val="000000" w:themeColor="text1"/>
                <w:sz w:val="24"/>
                <w:szCs w:val="24"/>
                <w14:textFill>
                  <w14:solidFill>
                    <w14:schemeClr w14:val="tx1"/>
                  </w14:solidFill>
                </w14:textFill>
              </w:rPr>
              <w:t>侧</w:t>
            </w:r>
            <w:r>
              <w:rPr>
                <w:rFonts w:hint="eastAsia" w:cs="Times New Roman"/>
                <w:color w:val="000000" w:themeColor="text1"/>
                <w:sz w:val="24"/>
                <w:szCs w:val="24"/>
                <w:lang w:eastAsia="zh-CN"/>
                <w14:textFill>
                  <w14:solidFill>
                    <w14:schemeClr w14:val="tx1"/>
                  </w14:solidFill>
                </w14:textFill>
              </w:rPr>
              <w:t>约</w:t>
            </w:r>
            <w:r>
              <w:rPr>
                <w:rFonts w:hint="eastAsia" w:cs="Times New Roman"/>
                <w:color w:val="000000" w:themeColor="text1"/>
                <w:sz w:val="24"/>
                <w:szCs w:val="24"/>
                <w:lang w:val="en-US" w:eastAsia="zh-CN"/>
                <w14:textFill>
                  <w14:solidFill>
                    <w14:schemeClr w14:val="tx1"/>
                  </w14:solidFill>
                </w14:textFill>
              </w:rPr>
              <w:t>525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m处</w:t>
            </w:r>
            <w:r>
              <w:rPr>
                <w:rFonts w:hint="eastAsia" w:cs="Times New Roman"/>
                <w:color w:val="000000" w:themeColor="text1"/>
                <w:sz w:val="24"/>
                <w:szCs w:val="24"/>
                <w:lang w:val="en-US" w:eastAsia="zh-CN"/>
                <w14:textFill>
                  <w14:solidFill>
                    <w14:schemeClr w14:val="tx1"/>
                  </w14:solidFill>
                </w14:textFill>
              </w:rPr>
              <w:t>的南永康村；西侧</w:t>
            </w:r>
            <w:r>
              <w:rPr>
                <w:rFonts w:hint="eastAsia" w:cs="Times New Roman"/>
                <w:color w:val="000000" w:themeColor="text1"/>
                <w:sz w:val="24"/>
                <w:szCs w:val="24"/>
                <w:lang w:eastAsia="zh-CN"/>
                <w14:textFill>
                  <w14:solidFill>
                    <w14:schemeClr w14:val="tx1"/>
                  </w14:solidFill>
                </w14:textFill>
              </w:rPr>
              <w:t>约</w:t>
            </w:r>
            <w:r>
              <w:rPr>
                <w:rFonts w:hint="eastAsia" w:cs="Times New Roman"/>
                <w:color w:val="000000" w:themeColor="text1"/>
                <w:sz w:val="24"/>
                <w:szCs w:val="24"/>
                <w:lang w:val="en-US" w:eastAsia="zh-CN"/>
                <w14:textFill>
                  <w14:solidFill>
                    <w14:schemeClr w14:val="tx1"/>
                  </w14:solidFill>
                </w14:textFill>
              </w:rPr>
              <w:t>678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m处</w:t>
            </w:r>
            <w:r>
              <w:rPr>
                <w:rFonts w:hint="eastAsia" w:cs="Times New Roman"/>
                <w:color w:val="000000" w:themeColor="text1"/>
                <w:sz w:val="24"/>
                <w:szCs w:val="24"/>
                <w:lang w:val="en-US" w:eastAsia="zh-CN"/>
                <w14:textFill>
                  <w14:solidFill>
                    <w14:schemeClr w14:val="tx1"/>
                  </w14:solidFill>
                </w14:textFill>
              </w:rPr>
              <w:t>的西永康村</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离本项目最近的地表水为西侧约1</w:t>
            </w:r>
            <w:r>
              <w:rPr>
                <w:rFonts w:hint="eastAsia" w:cs="Times New Roman"/>
                <w:color w:val="000000" w:themeColor="text1"/>
                <w:sz w:val="24"/>
                <w:szCs w:val="24"/>
                <w:lang w:val="en-US" w:eastAsia="zh-CN"/>
                <w14:textFill>
                  <w14:solidFill>
                    <w14:schemeClr w14:val="tx1"/>
                  </w14:solidFill>
                </w14:textFill>
              </w:rPr>
              <w:t>46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0m的共产主义渠。</w:t>
            </w:r>
            <w:r>
              <w:rPr>
                <w:rFonts w:hint="default" w:ascii="Times New Roman" w:hAnsi="Times New Roman" w:eastAsia="宋体" w:cs="Times New Roman"/>
                <w:color w:val="000000" w:themeColor="text1"/>
                <w:sz w:val="24"/>
                <w:szCs w:val="24"/>
                <w:lang w:eastAsia="zh-CN"/>
                <w14:textFill>
                  <w14:solidFill>
                    <w14:schemeClr w14:val="tx1"/>
                  </w14:solidFill>
                </w14:textFill>
              </w:rPr>
              <w:t>项目周围环境概况见图1。</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cs="Times New Roman"/>
                <w:color w:val="auto"/>
                <w:sz w:val="24"/>
                <w:szCs w:val="24"/>
                <w:lang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anchor distT="0" distB="0" distL="114300" distR="114300" simplePos="0" relativeHeight="251751424" behindDoc="0" locked="0" layoutInCell="1" allowOverlap="1">
                  <wp:simplePos x="0" y="0"/>
                  <wp:positionH relativeFrom="column">
                    <wp:posOffset>0</wp:posOffset>
                  </wp:positionH>
                  <wp:positionV relativeFrom="paragraph">
                    <wp:posOffset>0</wp:posOffset>
                  </wp:positionV>
                  <wp:extent cx="5421630" cy="3533140"/>
                  <wp:effectExtent l="0" t="0" r="3810" b="2540"/>
                  <wp:wrapSquare wrapText="bothSides"/>
                  <wp:docPr id="6" name="图片 6" descr="16ca9a3a5e0e29b3ca690d0419d9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6ca9a3a5e0e29b3ca690d0419d9f0e"/>
                          <pic:cNvPicPr>
                            <a:picLocks noChangeAspect="1"/>
                          </pic:cNvPicPr>
                        </pic:nvPicPr>
                        <pic:blipFill>
                          <a:blip r:embed="rId9"/>
                          <a:stretch>
                            <a:fillRect/>
                          </a:stretch>
                        </pic:blipFill>
                        <pic:spPr>
                          <a:xfrm>
                            <a:off x="0" y="0"/>
                            <a:ext cx="5421630" cy="3533140"/>
                          </a:xfrm>
                          <a:prstGeom prst="rect">
                            <a:avLst/>
                          </a:prstGeom>
                        </pic:spPr>
                      </pic:pic>
                    </a:graphicData>
                  </a:graphic>
                </wp:anchor>
              </w:drawing>
            </w:r>
            <w:r>
              <w:rPr>
                <w:rFonts w:hint="default" w:ascii="Times New Roman" w:hAnsi="Times New Roman" w:eastAsia="宋体" w:cs="Times New Roman"/>
                <w:color w:val="auto"/>
                <w:sz w:val="24"/>
                <w:szCs w:val="24"/>
              </w:rPr>
              <w:drawing>
                <wp:anchor distT="0" distB="0" distL="114300" distR="114300" simplePos="0" relativeHeight="251666432" behindDoc="0" locked="0" layoutInCell="1" allowOverlap="1">
                  <wp:simplePos x="0" y="0"/>
                  <wp:positionH relativeFrom="column">
                    <wp:posOffset>8248650</wp:posOffset>
                  </wp:positionH>
                  <wp:positionV relativeFrom="paragraph">
                    <wp:posOffset>259080</wp:posOffset>
                  </wp:positionV>
                  <wp:extent cx="609600" cy="850900"/>
                  <wp:effectExtent l="0" t="0" r="0" b="2540"/>
                  <wp:wrapNone/>
                  <wp:docPr id="8" name="图片 29"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9" descr="C:\Users\Administrator\AppData\Roaming\Tencent\Users\7900486\QQ\WinTemp\RichOle\)UHAB[W@LS3TO`R]$1WJC(G.png"/>
                          <pic:cNvPicPr>
                            <a:picLocks noChangeAspect="1"/>
                          </pic:cNvPicPr>
                        </pic:nvPicPr>
                        <pic:blipFill>
                          <a:blip r:embed="rId10"/>
                          <a:stretch>
                            <a:fillRect/>
                          </a:stretch>
                        </pic:blipFill>
                        <pic:spPr>
                          <a:xfrm>
                            <a:off x="0" y="0"/>
                            <a:ext cx="609600" cy="850900"/>
                          </a:xfrm>
                          <a:prstGeom prst="rect">
                            <a:avLst/>
                          </a:prstGeom>
                          <a:noFill/>
                          <a:ln>
                            <a:noFill/>
                          </a:ln>
                        </pic:spPr>
                      </pic:pic>
                    </a:graphicData>
                  </a:graphic>
                </wp:anchor>
              </w:drawing>
            </w:r>
            <w:r>
              <w:rPr>
                <w:rFonts w:hint="default" w:ascii="Times New Roman" w:hAnsi="Times New Roman" w:eastAsia="宋体" w:cs="Times New Roman"/>
                <w:color w:val="auto"/>
                <w:sz w:val="24"/>
                <w:szCs w:val="24"/>
              </w:rPr>
              <w:drawing>
                <wp:anchor distT="0" distB="0" distL="114300" distR="114300" simplePos="0" relativeHeight="251667456" behindDoc="0" locked="0" layoutInCell="1" allowOverlap="1">
                  <wp:simplePos x="0" y="0"/>
                  <wp:positionH relativeFrom="column">
                    <wp:posOffset>8248650</wp:posOffset>
                  </wp:positionH>
                  <wp:positionV relativeFrom="paragraph">
                    <wp:posOffset>259080</wp:posOffset>
                  </wp:positionV>
                  <wp:extent cx="609600" cy="850900"/>
                  <wp:effectExtent l="0" t="0" r="0" b="2540"/>
                  <wp:wrapNone/>
                  <wp:docPr id="9" name="图片 4"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C:\Users\Administrator\AppData\Roaming\Tencent\Users\7900486\QQ\WinTemp\RichOle\)UHAB[W@LS3TO`R]$1WJC(G.png"/>
                          <pic:cNvPicPr>
                            <a:picLocks noChangeAspect="1"/>
                          </pic:cNvPicPr>
                        </pic:nvPicPr>
                        <pic:blipFill>
                          <a:blip r:embed="rId10"/>
                          <a:stretch>
                            <a:fillRect/>
                          </a:stretch>
                        </pic:blipFill>
                        <pic:spPr>
                          <a:xfrm>
                            <a:off x="0" y="0"/>
                            <a:ext cx="609600" cy="850900"/>
                          </a:xfrm>
                          <a:prstGeom prst="rect">
                            <a:avLst/>
                          </a:prstGeom>
                          <a:noFill/>
                          <a:ln>
                            <a:noFill/>
                          </a:ln>
                        </pic:spPr>
                      </pic:pic>
                    </a:graphicData>
                  </a:graphic>
                </wp:anchor>
              </w:drawing>
            </w:r>
            <w:r>
              <w:rPr>
                <w:rFonts w:hint="default" w:ascii="Times New Roman" w:hAnsi="Times New Roman" w:eastAsia="宋体" w:cs="Times New Roman"/>
                <w:color w:val="auto"/>
                <w:sz w:val="24"/>
                <w:szCs w:val="24"/>
              </w:rPr>
              <w:drawing>
                <wp:anchor distT="0" distB="0" distL="114300" distR="114300" simplePos="0" relativeHeight="251668480" behindDoc="0" locked="0" layoutInCell="1" allowOverlap="1">
                  <wp:simplePos x="0" y="0"/>
                  <wp:positionH relativeFrom="column">
                    <wp:posOffset>8401050</wp:posOffset>
                  </wp:positionH>
                  <wp:positionV relativeFrom="paragraph">
                    <wp:posOffset>411480</wp:posOffset>
                  </wp:positionV>
                  <wp:extent cx="609600" cy="850900"/>
                  <wp:effectExtent l="0" t="0" r="0" b="2540"/>
                  <wp:wrapNone/>
                  <wp:docPr id="4" name="图片 5"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C:\Users\Administrator\AppData\Roaming\Tencent\Users\7900486\QQ\WinTemp\RichOle\)UHAB[W@LS3TO`R]$1WJC(G.png"/>
                          <pic:cNvPicPr>
                            <a:picLocks noChangeAspect="1"/>
                          </pic:cNvPicPr>
                        </pic:nvPicPr>
                        <pic:blipFill>
                          <a:blip r:embed="rId10"/>
                          <a:stretch>
                            <a:fillRect/>
                          </a:stretch>
                        </pic:blipFill>
                        <pic:spPr>
                          <a:xfrm>
                            <a:off x="0" y="0"/>
                            <a:ext cx="609600" cy="850900"/>
                          </a:xfrm>
                          <a:prstGeom prst="rect">
                            <a:avLst/>
                          </a:prstGeom>
                          <a:noFill/>
                          <a:ln>
                            <a:noFill/>
                          </a:ln>
                        </pic:spPr>
                      </pic:pic>
                    </a:graphicData>
                  </a:graphic>
                </wp:anchor>
              </w:drawing>
            </w:r>
            <w:r>
              <w:rPr>
                <w:rFonts w:hint="default" w:ascii="Times New Roman" w:hAnsi="Times New Roman" w:eastAsia="宋体" w:cs="Times New Roman"/>
                <w:color w:val="auto"/>
                <w:sz w:val="24"/>
                <w:szCs w:val="24"/>
              </w:rPr>
              <w:drawing>
                <wp:anchor distT="0" distB="0" distL="114300" distR="114300" simplePos="0" relativeHeight="251669504" behindDoc="0" locked="0" layoutInCell="1" allowOverlap="1">
                  <wp:simplePos x="0" y="0"/>
                  <wp:positionH relativeFrom="column">
                    <wp:posOffset>8553450</wp:posOffset>
                  </wp:positionH>
                  <wp:positionV relativeFrom="paragraph">
                    <wp:posOffset>563880</wp:posOffset>
                  </wp:positionV>
                  <wp:extent cx="609600" cy="850900"/>
                  <wp:effectExtent l="0" t="0" r="0" b="2540"/>
                  <wp:wrapNone/>
                  <wp:docPr id="5" name="图片 6"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C:\Users\Administrator\AppData\Roaming\Tencent\Users\7900486\QQ\WinTemp\RichOle\)UHAB[W@LS3TO`R]$1WJC(G.png"/>
                          <pic:cNvPicPr>
                            <a:picLocks noChangeAspect="1"/>
                          </pic:cNvPicPr>
                        </pic:nvPicPr>
                        <pic:blipFill>
                          <a:blip r:embed="rId10"/>
                          <a:stretch>
                            <a:fillRect/>
                          </a:stretch>
                        </pic:blipFill>
                        <pic:spPr>
                          <a:xfrm>
                            <a:off x="0" y="0"/>
                            <a:ext cx="609600" cy="850900"/>
                          </a:xfrm>
                          <a:prstGeom prst="rect">
                            <a:avLst/>
                          </a:prstGeom>
                          <a:noFill/>
                          <a:ln>
                            <a:noFill/>
                          </a:ln>
                        </pic:spPr>
                      </pic:pic>
                    </a:graphicData>
                  </a:graphic>
                </wp:anchor>
              </w:drawing>
            </w:r>
            <w:r>
              <w:rPr>
                <w:rFonts w:hint="default" w:ascii="Times New Roman" w:hAnsi="Times New Roman" w:eastAsia="宋体" w:cs="Times New Roman"/>
                <w:color w:val="auto"/>
                <w:sz w:val="24"/>
                <w:szCs w:val="24"/>
              </w:rPr>
              <w:t xml:space="preserve">图1   </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项目周围环境图</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3</w:t>
            </w:r>
            <w:r>
              <w:rPr>
                <w:rFonts w:hint="default" w:ascii="Times New Roman" w:hAnsi="Times New Roman" w:eastAsia="宋体" w:cs="Times New Roman"/>
                <w:b/>
                <w:color w:val="auto"/>
                <w:sz w:val="24"/>
                <w:szCs w:val="24"/>
              </w:rPr>
              <w:t>、建设规模及内容</w:t>
            </w:r>
          </w:p>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auto"/>
                <w:sz w:val="24"/>
                <w:szCs w:val="24"/>
              </w:rPr>
              <w:t>本项目总投资</w:t>
            </w:r>
            <w:r>
              <w:rPr>
                <w:rFonts w:hint="eastAsia" w:cs="Times New Roman"/>
                <w:bCs/>
                <w:color w:val="auto"/>
                <w:sz w:val="24"/>
                <w:szCs w:val="24"/>
                <w:lang w:val="en-US" w:eastAsia="zh-CN"/>
              </w:rPr>
              <w:t>1</w:t>
            </w:r>
            <w:r>
              <w:rPr>
                <w:rFonts w:hint="eastAsia" w:ascii="Times New Roman" w:hAnsi="Times New Roman" w:cs="Times New Roman"/>
                <w:bCs/>
                <w:color w:val="auto"/>
                <w:sz w:val="24"/>
                <w:szCs w:val="24"/>
                <w:lang w:val="en-US" w:eastAsia="zh-CN"/>
              </w:rPr>
              <w:t>00万元</w:t>
            </w:r>
            <w:r>
              <w:rPr>
                <w:rFonts w:hint="default" w:ascii="Times New Roman" w:hAnsi="Times New Roman" w:eastAsia="宋体" w:cs="Times New Roman"/>
                <w:bCs/>
                <w:color w:val="auto"/>
                <w:sz w:val="24"/>
                <w:szCs w:val="24"/>
                <w:lang w:eastAsia="zh-CN"/>
              </w:rPr>
              <w:t>，总占地</w:t>
            </w:r>
            <w:r>
              <w:rPr>
                <w:rFonts w:hint="default" w:ascii="Times New Roman" w:hAnsi="Times New Roman" w:eastAsia="宋体" w:cs="Times New Roman"/>
                <w:bCs/>
                <w:color w:val="auto"/>
                <w:sz w:val="24"/>
                <w:szCs w:val="24"/>
              </w:rPr>
              <w:t>面积</w:t>
            </w:r>
            <w:r>
              <w:rPr>
                <w:rFonts w:hint="eastAsia" w:cs="Times New Roman"/>
                <w:bCs/>
                <w:color w:val="auto"/>
                <w:sz w:val="24"/>
                <w:szCs w:val="24"/>
                <w:lang w:val="en-US" w:eastAsia="zh-CN"/>
              </w:rPr>
              <w:t>2100</w:t>
            </w:r>
            <w:r>
              <w:rPr>
                <w:rFonts w:hint="default" w:ascii="Times New Roman" w:hAnsi="Times New Roman" w:eastAsia="宋体" w:cs="Times New Roman"/>
                <w:bCs/>
                <w:color w:val="auto"/>
                <w:sz w:val="24"/>
                <w:szCs w:val="24"/>
              </w:rPr>
              <w:t>m</w:t>
            </w:r>
            <w:r>
              <w:rPr>
                <w:rFonts w:hint="default" w:ascii="Times New Roman" w:hAnsi="Times New Roman" w:eastAsia="宋体" w:cs="Times New Roman"/>
                <w:bCs/>
                <w:color w:val="auto"/>
                <w:sz w:val="24"/>
                <w:szCs w:val="24"/>
                <w:vertAlign w:val="superscript"/>
              </w:rPr>
              <w:t>2</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000000" w:themeColor="text1"/>
                <w:sz w:val="24"/>
                <w:szCs w:val="24"/>
                <w14:textFill>
                  <w14:solidFill>
                    <w14:schemeClr w14:val="tx1"/>
                  </w14:solidFill>
                </w14:textFill>
              </w:rPr>
              <w:t>利用</w:t>
            </w:r>
            <w:r>
              <w:rPr>
                <w:rFonts w:hint="eastAsia" w:cs="Times New Roman"/>
                <w:bCs/>
                <w:color w:val="000000" w:themeColor="text1"/>
                <w:sz w:val="24"/>
                <w:szCs w:val="24"/>
                <w:lang w:eastAsia="zh-CN"/>
                <w14:textFill>
                  <w14:solidFill>
                    <w14:schemeClr w14:val="tx1"/>
                  </w14:solidFill>
                </w14:textFill>
              </w:rPr>
              <w:t>租赁的闲置</w:t>
            </w:r>
            <w:r>
              <w:rPr>
                <w:rFonts w:hint="default" w:ascii="Times New Roman" w:hAnsi="Times New Roman" w:eastAsia="宋体" w:cs="Times New Roman"/>
                <w:bCs/>
                <w:color w:val="000000" w:themeColor="text1"/>
                <w:sz w:val="24"/>
                <w:szCs w:val="24"/>
                <w14:textFill>
                  <w14:solidFill>
                    <w14:schemeClr w14:val="tx1"/>
                  </w14:solidFill>
                </w14:textFill>
              </w:rPr>
              <w:t>厂房进行生产建设</w:t>
            </w:r>
            <w:r>
              <w:rPr>
                <w:rFonts w:hint="eastAsia" w:cs="Times New Roman"/>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lang w:eastAsia="zh-CN"/>
                <w14:textFill>
                  <w14:solidFill>
                    <w14:schemeClr w14:val="tx1"/>
                  </w14:solidFill>
                </w14:textFill>
              </w:rPr>
              <w:t>厂房主要</w:t>
            </w:r>
            <w:r>
              <w:rPr>
                <w:rFonts w:hint="eastAsia" w:cs="Times New Roman"/>
                <w:bCs/>
                <w:color w:val="000000" w:themeColor="text1"/>
                <w:sz w:val="24"/>
                <w:szCs w:val="24"/>
                <w:lang w:eastAsia="zh-CN"/>
                <w14:textFill>
                  <w14:solidFill>
                    <w14:schemeClr w14:val="tx1"/>
                  </w14:solidFill>
                </w14:textFill>
              </w:rPr>
              <w:t>包括生产</w:t>
            </w:r>
            <w:r>
              <w:rPr>
                <w:rFonts w:hint="default" w:ascii="Times New Roman" w:hAnsi="Times New Roman" w:eastAsia="宋体" w:cs="Times New Roman"/>
                <w:bCs/>
                <w:color w:val="000000" w:themeColor="text1"/>
                <w:sz w:val="24"/>
                <w:szCs w:val="24"/>
                <w:lang w:eastAsia="zh-CN"/>
                <w14:textFill>
                  <w14:solidFill>
                    <w14:schemeClr w14:val="tx1"/>
                  </w14:solidFill>
                </w14:textFill>
              </w:rPr>
              <w:t>车间</w:t>
            </w:r>
            <w:r>
              <w:rPr>
                <w:rFonts w:hint="eastAsia" w:cs="Times New Roman"/>
                <w:bCs/>
                <w:color w:val="000000" w:themeColor="text1"/>
                <w:sz w:val="24"/>
                <w:szCs w:val="24"/>
                <w:lang w:eastAsia="zh-CN"/>
                <w14:textFill>
                  <w14:solidFill>
                    <w14:schemeClr w14:val="tx1"/>
                  </w14:solidFill>
                </w14:textFill>
              </w:rPr>
              <w:t>、仓库</w:t>
            </w:r>
            <w:r>
              <w:rPr>
                <w:rFonts w:hint="default" w:ascii="Times New Roman" w:hAnsi="Times New Roman" w:eastAsia="宋体" w:cs="Times New Roman"/>
                <w:bCs/>
                <w:color w:val="000000" w:themeColor="text1"/>
                <w:sz w:val="24"/>
                <w:szCs w:val="24"/>
                <w:lang w:eastAsia="zh-CN"/>
                <w14:textFill>
                  <w14:solidFill>
                    <w14:schemeClr w14:val="tx1"/>
                  </w14:solidFill>
                </w14:textFill>
              </w:rPr>
              <w:t>和</w:t>
            </w:r>
            <w:r>
              <w:rPr>
                <w:rFonts w:hint="eastAsia" w:cs="Times New Roman"/>
                <w:bCs/>
                <w:color w:val="000000" w:themeColor="text1"/>
                <w:sz w:val="24"/>
                <w:szCs w:val="24"/>
                <w:lang w:eastAsia="zh-CN"/>
                <w14:textFill>
                  <w14:solidFill>
                    <w14:schemeClr w14:val="tx1"/>
                  </w14:solidFill>
                </w14:textFill>
              </w:rPr>
              <w:t>办公室（</w:t>
            </w:r>
            <w:r>
              <w:rPr>
                <w:rFonts w:hint="default" w:ascii="Times New Roman" w:hAnsi="Times New Roman" w:eastAsia="宋体" w:cs="Times New Roman"/>
                <w:bCs/>
                <w:color w:val="000000" w:themeColor="text1"/>
                <w:sz w:val="24"/>
                <w:szCs w:val="24"/>
                <w14:textFill>
                  <w14:solidFill>
                    <w14:schemeClr w14:val="tx1"/>
                  </w14:solidFill>
                </w14:textFill>
              </w:rPr>
              <w:t>项目所在厂区平面布置图见附图</w:t>
            </w:r>
            <w:r>
              <w:rPr>
                <w:rFonts w:hint="eastAsia" w:cs="Times New Roman"/>
                <w:bCs/>
                <w:color w:val="000000" w:themeColor="text1"/>
                <w:sz w:val="24"/>
                <w:szCs w:val="24"/>
                <w:lang w:eastAsia="zh-CN"/>
                <w14:textFill>
                  <w14:solidFill>
                    <w14:schemeClr w14:val="tx1"/>
                  </w14:solidFill>
                </w14:textFill>
              </w:rPr>
              <w:t>三）</w:t>
            </w:r>
            <w:r>
              <w:rPr>
                <w:rFonts w:hint="default" w:ascii="Times New Roman" w:hAnsi="Times New Roman" w:eastAsia="宋体" w:cs="Times New Roman"/>
                <w:bCs/>
                <w:color w:val="000000" w:themeColor="text1"/>
                <w:sz w:val="24"/>
                <w:szCs w:val="24"/>
                <w14:textFill>
                  <w14:solidFill>
                    <w14:schemeClr w14:val="tx1"/>
                  </w14:solidFill>
                </w14:textFill>
              </w:rPr>
              <w:t>。建筑内容见表1。</w:t>
            </w:r>
          </w:p>
          <w:p>
            <w:pPr>
              <w:pStyle w:val="20"/>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 xml:space="preserve">表1   </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z w:val="24"/>
                <w:szCs w:val="24"/>
                <w14:textFill>
                  <w14:solidFill>
                    <w14:schemeClr w14:val="tx1"/>
                  </w14:solidFill>
                </w14:textFill>
              </w:rPr>
              <w:t xml:space="preserve">  建筑内容一览表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355"/>
              <w:gridCol w:w="1366"/>
              <w:gridCol w:w="246"/>
              <w:gridCol w:w="44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类别</w:t>
                  </w: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建筑物名称</w:t>
                  </w:r>
                </w:p>
              </w:tc>
              <w:tc>
                <w:tcPr>
                  <w:tcW w:w="1612" w:type="dxa"/>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面积（m</w:t>
                  </w:r>
                  <w:r>
                    <w:rPr>
                      <w:rFonts w:hint="default" w:ascii="Times New Roman" w:hAnsi="Times New Roman" w:eastAsia="宋体" w:cs="Times New Roman"/>
                      <w:bCs/>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bCs/>
                      <w:color w:val="000000" w:themeColor="text1"/>
                      <w:sz w:val="21"/>
                      <w:szCs w:val="21"/>
                      <w14:textFill>
                        <w14:solidFill>
                          <w14:schemeClr w14:val="tx1"/>
                        </w14:solidFill>
                      </w14:textFill>
                    </w:rPr>
                    <w:t>）</w:t>
                  </w:r>
                </w:p>
              </w:tc>
              <w:tc>
                <w:tcPr>
                  <w:tcW w:w="442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主体工程</w:t>
                  </w: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生产车间</w:t>
                  </w:r>
                </w:p>
              </w:tc>
              <w:tc>
                <w:tcPr>
                  <w:tcW w:w="1612" w:type="dxa"/>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1100</w:t>
                  </w:r>
                </w:p>
              </w:tc>
              <w:tc>
                <w:tcPr>
                  <w:tcW w:w="4426" w:type="dxa"/>
                  <w:tcBorders>
                    <w:tl2br w:val="nil"/>
                    <w:tr2bl w:val="nil"/>
                  </w:tcBorders>
                  <w:noWrap w:val="0"/>
                  <w:vAlign w:val="center"/>
                </w:tcPr>
                <w:p>
                  <w:pPr>
                    <w:pStyle w:val="20"/>
                    <w:keepNext w:val="0"/>
                    <w:keepLines w:val="0"/>
                    <w:pageBreakBefore w:val="0"/>
                    <w:widowControl w:val="0"/>
                    <w:tabs>
                      <w:tab w:val="left" w:pos="2030"/>
                      <w:tab w:val="center" w:pos="2745"/>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租赁现有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000000" w:themeColor="text1"/>
                      <w:sz w:val="21"/>
                      <w:szCs w:val="21"/>
                      <w:lang w:eastAsia="zh-CN"/>
                      <w14:textFill>
                        <w14:solidFill>
                          <w14:schemeClr w14:val="tx1"/>
                        </w14:solidFill>
                      </w14:textFill>
                    </w:rPr>
                  </w:pPr>
                  <w:r>
                    <w:rPr>
                      <w:rFonts w:hint="eastAsia" w:cs="Times New Roman"/>
                      <w:bCs/>
                      <w:color w:val="000000" w:themeColor="text1"/>
                      <w:sz w:val="21"/>
                      <w:szCs w:val="21"/>
                      <w:lang w:eastAsia="zh-CN"/>
                      <w14:textFill>
                        <w14:solidFill>
                          <w14:schemeClr w14:val="tx1"/>
                        </w14:solidFill>
                      </w14:textFill>
                    </w:rPr>
                    <w:t>仓库</w:t>
                  </w:r>
                </w:p>
              </w:tc>
              <w:tc>
                <w:tcPr>
                  <w:tcW w:w="1612" w:type="dxa"/>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48</w:t>
                  </w:r>
                </w:p>
              </w:tc>
              <w:tc>
                <w:tcPr>
                  <w:tcW w:w="442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000000" w:themeColor="text1"/>
                      <w:sz w:val="21"/>
                      <w:szCs w:val="21"/>
                      <w:lang w:eastAsia="zh-CN"/>
                      <w14:textFill>
                        <w14:solidFill>
                          <w14:schemeClr w14:val="tx1"/>
                        </w14:solidFill>
                      </w14:textFill>
                    </w:rPr>
                  </w:pPr>
                  <w:r>
                    <w:rPr>
                      <w:rFonts w:hint="eastAsia" w:cs="Times New Roman"/>
                      <w:bCs/>
                      <w:color w:val="000000" w:themeColor="text1"/>
                      <w:sz w:val="21"/>
                      <w:szCs w:val="21"/>
                      <w:lang w:eastAsia="zh-CN"/>
                      <w14:textFill>
                        <w14:solidFill>
                          <w14:schemeClr w14:val="tx1"/>
                        </w14:solidFill>
                      </w14:textFill>
                    </w:rPr>
                    <w:t>存放原料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辅助工程</w:t>
                  </w: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办公</w:t>
                  </w:r>
                  <w:r>
                    <w:rPr>
                      <w:rFonts w:hint="eastAsia" w:cs="Times New Roman"/>
                      <w:bCs/>
                      <w:color w:val="000000" w:themeColor="text1"/>
                      <w:sz w:val="21"/>
                      <w:szCs w:val="21"/>
                      <w:lang w:eastAsia="zh-CN"/>
                      <w14:textFill>
                        <w14:solidFill>
                          <w14:schemeClr w14:val="tx1"/>
                        </w14:solidFill>
                      </w14:textFill>
                    </w:rPr>
                    <w:t>室</w:t>
                  </w:r>
                </w:p>
              </w:tc>
              <w:tc>
                <w:tcPr>
                  <w:tcW w:w="1612" w:type="dxa"/>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bCs/>
                      <w:color w:val="auto"/>
                      <w:sz w:val="21"/>
                      <w:szCs w:val="21"/>
                      <w:lang w:val="en-US" w:eastAsia="zh-CN"/>
                    </w:rPr>
                  </w:pPr>
                  <w:r>
                    <w:rPr>
                      <w:rFonts w:hint="eastAsia" w:cs="Times New Roman"/>
                      <w:bCs/>
                      <w:color w:val="auto"/>
                      <w:sz w:val="21"/>
                      <w:szCs w:val="21"/>
                      <w:lang w:val="en-US" w:eastAsia="zh-CN"/>
                    </w:rPr>
                    <w:t>24</w:t>
                  </w:r>
                </w:p>
              </w:tc>
              <w:tc>
                <w:tcPr>
                  <w:tcW w:w="442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主要为办公场所</w:t>
                  </w:r>
                  <w:r>
                    <w:rPr>
                      <w:rFonts w:hint="default" w:ascii="Times New Roman" w:hAnsi="Times New Roman" w:eastAsia="宋体" w:cs="Times New Roman"/>
                      <w:bCs/>
                      <w:color w:val="000000" w:themeColor="text1"/>
                      <w:sz w:val="21"/>
                      <w:szCs w:val="21"/>
                      <w:lang w:eastAsia="zh-CN"/>
                      <w14:textFill>
                        <w14:solidFill>
                          <w14:schemeClr w14:val="tx1"/>
                        </w14:solidFill>
                      </w14:textFill>
                    </w:rPr>
                    <w:t>及职工休息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公用工程</w:t>
                  </w: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供水</w:t>
                  </w:r>
                </w:p>
              </w:tc>
              <w:tc>
                <w:tcPr>
                  <w:tcW w:w="6038" w:type="dxa"/>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FF0000"/>
                      <w:sz w:val="21"/>
                      <w:szCs w:val="21"/>
                      <w:highlight w:val="none"/>
                      <w:lang w:eastAsia="zh-CN"/>
                    </w:rPr>
                  </w:pPr>
                  <w:r>
                    <w:rPr>
                      <w:rFonts w:hint="eastAsia" w:cs="Times New Roman"/>
                      <w:bCs/>
                      <w:color w:val="auto"/>
                      <w:sz w:val="21"/>
                      <w:szCs w:val="21"/>
                      <w:highlight w:val="none"/>
                      <w:lang w:eastAsia="zh-CN"/>
                    </w:rPr>
                    <w:t>南永康村自来水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供电</w:t>
                  </w:r>
                </w:p>
              </w:tc>
              <w:tc>
                <w:tcPr>
                  <w:tcW w:w="6038" w:type="dxa"/>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Cs/>
                      <w:color w:val="FF0000"/>
                      <w:sz w:val="21"/>
                      <w:szCs w:val="21"/>
                      <w:highlight w:val="none"/>
                      <w:lang w:eastAsia="zh-CN"/>
                    </w:rPr>
                  </w:pPr>
                  <w:r>
                    <w:rPr>
                      <w:rFonts w:hint="eastAsia" w:cs="Times New Roman"/>
                      <w:bCs/>
                      <w:color w:val="auto"/>
                      <w:sz w:val="21"/>
                      <w:szCs w:val="21"/>
                      <w:highlight w:val="none"/>
                      <w:lang w:eastAsia="zh-CN"/>
                    </w:rPr>
                    <w:t>新乡县</w:t>
                  </w:r>
                  <w:r>
                    <w:rPr>
                      <w:rFonts w:hint="default" w:ascii="Times New Roman" w:hAnsi="Times New Roman" w:eastAsia="宋体" w:cs="Times New Roman"/>
                      <w:bCs/>
                      <w:color w:val="auto"/>
                      <w:sz w:val="21"/>
                      <w:szCs w:val="21"/>
                      <w:highlight w:val="none"/>
                    </w:rPr>
                    <w:t>供电</w:t>
                  </w:r>
                  <w:r>
                    <w:rPr>
                      <w:rFonts w:hint="eastAsia" w:cs="Times New Roman"/>
                      <w:bCs/>
                      <w:color w:val="auto"/>
                      <w:sz w:val="21"/>
                      <w:szCs w:val="21"/>
                      <w:highlight w:val="none"/>
                      <w:lang w:eastAsia="zh-CN"/>
                    </w:rPr>
                    <w:t>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排水</w:t>
                  </w:r>
                </w:p>
              </w:tc>
              <w:tc>
                <w:tcPr>
                  <w:tcW w:w="6038" w:type="dxa"/>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rPr>
                  </w:pPr>
                  <w:r>
                    <w:rPr>
                      <w:rFonts w:hint="eastAsia" w:cs="Times New Roman"/>
                      <w:bCs/>
                      <w:color w:val="auto"/>
                      <w:sz w:val="21"/>
                      <w:szCs w:val="21"/>
                      <w:lang w:eastAsia="zh-CN"/>
                    </w:rPr>
                    <w:t>雨污分流，</w:t>
                  </w:r>
                  <w:r>
                    <w:rPr>
                      <w:rFonts w:hint="default" w:ascii="Times New Roman" w:hAnsi="Times New Roman" w:eastAsia="宋体" w:cs="Times New Roman"/>
                      <w:bCs/>
                      <w:color w:val="auto"/>
                      <w:sz w:val="21"/>
                      <w:szCs w:val="21"/>
                    </w:rPr>
                    <w:t>职工</w:t>
                  </w:r>
                  <w:r>
                    <w:rPr>
                      <w:rFonts w:hint="default" w:ascii="Times New Roman" w:hAnsi="Times New Roman" w:eastAsia="宋体" w:cs="Times New Roman"/>
                      <w:bCs/>
                      <w:color w:val="auto"/>
                      <w:sz w:val="21"/>
                      <w:szCs w:val="21"/>
                      <w:lang w:eastAsia="zh-CN"/>
                    </w:rPr>
                    <w:t>生活污水</w:t>
                  </w:r>
                  <w:r>
                    <w:rPr>
                      <w:rFonts w:hint="default" w:ascii="Times New Roman" w:hAnsi="Times New Roman" w:eastAsia="宋体" w:cs="Times New Roman"/>
                      <w:bCs/>
                      <w:color w:val="auto"/>
                      <w:sz w:val="21"/>
                      <w:szCs w:val="21"/>
                    </w:rPr>
                    <w:t>经化粪池（容积不小于</w:t>
                  </w: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）处理后</w:t>
                  </w:r>
                  <w:r>
                    <w:rPr>
                      <w:rFonts w:hint="default" w:ascii="Times New Roman" w:hAnsi="Times New Roman" w:eastAsia="宋体" w:cs="Times New Roman"/>
                      <w:bCs/>
                      <w:color w:val="auto"/>
                      <w:sz w:val="21"/>
                      <w:szCs w:val="21"/>
                      <w:lang w:eastAsia="zh-CN"/>
                    </w:rPr>
                    <w:t>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废水</w:t>
                  </w:r>
                </w:p>
              </w:tc>
              <w:tc>
                <w:tcPr>
                  <w:tcW w:w="6038" w:type="dxa"/>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eastAsia" w:cs="Times New Roman"/>
                      <w:bCs/>
                      <w:color w:val="auto"/>
                      <w:sz w:val="21"/>
                      <w:szCs w:val="21"/>
                      <w:lang w:eastAsia="zh-CN"/>
                    </w:rPr>
                    <w:t>本项目无生产废水产生，</w:t>
                  </w:r>
                  <w:r>
                    <w:rPr>
                      <w:rFonts w:hint="default" w:ascii="Times New Roman" w:hAnsi="Times New Roman" w:eastAsia="宋体" w:cs="Times New Roman"/>
                      <w:bCs/>
                      <w:color w:val="auto"/>
                      <w:sz w:val="21"/>
                      <w:szCs w:val="21"/>
                    </w:rPr>
                    <w:t>职工</w:t>
                  </w:r>
                  <w:r>
                    <w:rPr>
                      <w:rFonts w:hint="default" w:ascii="Times New Roman" w:hAnsi="Times New Roman" w:eastAsia="宋体" w:cs="Times New Roman"/>
                      <w:bCs/>
                      <w:color w:val="auto"/>
                      <w:sz w:val="21"/>
                      <w:szCs w:val="21"/>
                      <w:lang w:eastAsia="zh-CN"/>
                    </w:rPr>
                    <w:t>生活污水</w:t>
                  </w:r>
                  <w:r>
                    <w:rPr>
                      <w:rFonts w:hint="default" w:ascii="Times New Roman" w:hAnsi="Times New Roman" w:eastAsia="宋体" w:cs="Times New Roman"/>
                      <w:bCs/>
                      <w:color w:val="auto"/>
                      <w:sz w:val="21"/>
                      <w:szCs w:val="21"/>
                    </w:rPr>
                    <w:t>经化粪池（容积不小于</w:t>
                  </w: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）处理后</w:t>
                  </w:r>
                  <w:r>
                    <w:rPr>
                      <w:rFonts w:hint="default" w:ascii="Times New Roman" w:hAnsi="Times New Roman" w:eastAsia="宋体" w:cs="Times New Roman"/>
                      <w:bCs/>
                      <w:color w:val="auto"/>
                      <w:sz w:val="21"/>
                      <w:szCs w:val="21"/>
                      <w:lang w:eastAsia="zh-CN"/>
                    </w:rPr>
                    <w:t>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355"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eastAsia="zh-CN"/>
                      <w14:textFill>
                        <w14:solidFill>
                          <w14:schemeClr w14:val="tx1"/>
                        </w14:solidFill>
                      </w14:textFill>
                    </w:rPr>
                    <w:t>噪声</w:t>
                  </w:r>
                </w:p>
              </w:tc>
              <w:tc>
                <w:tcPr>
                  <w:tcW w:w="6038" w:type="dxa"/>
                  <w:gridSpan w:val="3"/>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采取基础减震、厂房隔声等降噪措施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FF0000"/>
                      <w:sz w:val="21"/>
                      <w:szCs w:val="21"/>
                      <w:lang w:eastAsia="zh-CN"/>
                    </w:rPr>
                  </w:pPr>
                </w:p>
              </w:tc>
              <w:tc>
                <w:tcPr>
                  <w:tcW w:w="1355" w:type="dxa"/>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FF0000"/>
                      <w:sz w:val="21"/>
                      <w:szCs w:val="21"/>
                      <w:lang w:eastAsia="zh-CN"/>
                    </w:rPr>
                  </w:pPr>
                  <w:r>
                    <w:rPr>
                      <w:rFonts w:hint="eastAsia" w:cs="Times New Roman"/>
                      <w:b w:val="0"/>
                      <w:bCs/>
                      <w:color w:val="auto"/>
                      <w:sz w:val="21"/>
                      <w:szCs w:val="21"/>
                      <w:lang w:eastAsia="zh-CN"/>
                    </w:rPr>
                    <w:t>固废</w:t>
                  </w:r>
                </w:p>
              </w:tc>
              <w:tc>
                <w:tcPr>
                  <w:tcW w:w="136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生活垃圾</w:t>
                  </w:r>
                </w:p>
              </w:tc>
              <w:tc>
                <w:tcPr>
                  <w:tcW w:w="4672" w:type="dxa"/>
                  <w:gridSpan w:val="2"/>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设置垃圾桶，定期送到垃圾中转站处理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FF0000"/>
                      <w:sz w:val="21"/>
                      <w:szCs w:val="21"/>
                      <w:lang w:eastAsia="zh-CN"/>
                    </w:rPr>
                  </w:pPr>
                </w:p>
              </w:tc>
              <w:tc>
                <w:tcPr>
                  <w:tcW w:w="1355"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FF0000"/>
                      <w:sz w:val="21"/>
                      <w:szCs w:val="21"/>
                      <w:lang w:eastAsia="zh-CN"/>
                    </w:rPr>
                  </w:pPr>
                </w:p>
              </w:tc>
              <w:tc>
                <w:tcPr>
                  <w:tcW w:w="136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废</w:t>
                  </w:r>
                  <w:r>
                    <w:rPr>
                      <w:rFonts w:hint="eastAsia" w:cs="Times New Roman"/>
                      <w:bCs/>
                      <w:color w:val="auto"/>
                      <w:sz w:val="21"/>
                      <w:szCs w:val="21"/>
                      <w:lang w:eastAsia="zh-CN"/>
                    </w:rPr>
                    <w:t>润滑油</w:t>
                  </w:r>
                </w:p>
              </w:tc>
              <w:tc>
                <w:tcPr>
                  <w:tcW w:w="4672" w:type="dxa"/>
                  <w:gridSpan w:val="2"/>
                  <w:vMerge w:val="restart"/>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含油废抹布已列入危险废物豁免管理清单，按一般固废处置方式处置；危险废物废</w:t>
                  </w:r>
                  <w:r>
                    <w:rPr>
                      <w:rFonts w:hint="eastAsia" w:cs="Times New Roman"/>
                      <w:bCs/>
                      <w:color w:val="auto"/>
                      <w:sz w:val="21"/>
                      <w:szCs w:val="21"/>
                      <w:lang w:eastAsia="zh-CN"/>
                    </w:rPr>
                    <w:t>润滑油</w:t>
                  </w:r>
                  <w:r>
                    <w:rPr>
                      <w:rFonts w:hint="default" w:ascii="Times New Roman" w:hAnsi="Times New Roman" w:eastAsia="宋体" w:cs="Times New Roman"/>
                      <w:bCs/>
                      <w:color w:val="auto"/>
                      <w:sz w:val="21"/>
                      <w:szCs w:val="21"/>
                      <w:lang w:eastAsia="zh-CN"/>
                    </w:rPr>
                    <w:t>设置危废暂存间（</w:t>
                  </w:r>
                  <w:r>
                    <w:rPr>
                      <w:rFonts w:hint="default" w:ascii="Times New Roman" w:hAnsi="Times New Roman" w:eastAsia="宋体" w:cs="Times New Roman"/>
                      <w:bCs/>
                      <w:color w:val="auto"/>
                      <w:sz w:val="21"/>
                      <w:szCs w:val="21"/>
                      <w:lang w:val="en-US" w:eastAsia="zh-CN"/>
                    </w:rPr>
                    <w:t>5</w:t>
                  </w:r>
                  <w:r>
                    <w:rPr>
                      <w:rFonts w:hint="default" w:ascii="Times New Roman" w:hAnsi="Times New Roman" w:eastAsia="宋体" w:cs="Times New Roman"/>
                      <w:bCs/>
                      <w:color w:val="auto"/>
                      <w:sz w:val="21"/>
                      <w:szCs w:val="21"/>
                      <w:lang w:eastAsia="zh-CN"/>
                    </w:rPr>
                    <w:t>m</w:t>
                  </w:r>
                  <w:r>
                    <w:rPr>
                      <w:rFonts w:hint="default" w:ascii="Times New Roman" w:hAnsi="Times New Roman" w:eastAsia="宋体" w:cs="Times New Roman"/>
                      <w:bCs/>
                      <w:color w:val="auto"/>
                      <w:sz w:val="21"/>
                      <w:szCs w:val="21"/>
                      <w:vertAlign w:val="superscript"/>
                      <w:lang w:eastAsia="zh-CN"/>
                    </w:rPr>
                    <w:t>2</w:t>
                  </w:r>
                  <w:r>
                    <w:rPr>
                      <w:rFonts w:hint="default" w:ascii="Times New Roman" w:hAnsi="Times New Roman" w:eastAsia="宋体" w:cs="Times New Roman"/>
                      <w:bCs/>
                      <w:color w:val="auto"/>
                      <w:sz w:val="21"/>
                      <w:szCs w:val="21"/>
                      <w:lang w:eastAsia="zh-CN"/>
                    </w:rPr>
                    <w:t>）由具有资质的单位统一收集处理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19"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FF0000"/>
                      <w:sz w:val="21"/>
                      <w:szCs w:val="21"/>
                      <w:lang w:eastAsia="zh-CN"/>
                    </w:rPr>
                  </w:pPr>
                </w:p>
              </w:tc>
              <w:tc>
                <w:tcPr>
                  <w:tcW w:w="1355" w:type="dxa"/>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FF0000"/>
                      <w:sz w:val="21"/>
                      <w:szCs w:val="21"/>
                      <w:lang w:eastAsia="zh-CN"/>
                    </w:rPr>
                  </w:pPr>
                </w:p>
              </w:tc>
              <w:tc>
                <w:tcPr>
                  <w:tcW w:w="1366" w:type="dxa"/>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lang w:eastAsia="zh-CN"/>
                    </w:rPr>
                  </w:pPr>
                  <w:r>
                    <w:rPr>
                      <w:rFonts w:hint="eastAsia" w:cs="Times New Roman"/>
                      <w:bCs/>
                      <w:color w:val="auto"/>
                      <w:sz w:val="21"/>
                      <w:szCs w:val="21"/>
                      <w:lang w:eastAsia="zh-CN"/>
                    </w:rPr>
                    <w:t>含油废抹布</w:t>
                  </w:r>
                </w:p>
              </w:tc>
              <w:tc>
                <w:tcPr>
                  <w:tcW w:w="4672" w:type="dxa"/>
                  <w:gridSpan w:val="2"/>
                  <w:vMerge w:val="continue"/>
                  <w:tcBorders>
                    <w:tl2br w:val="nil"/>
                    <w:tr2bl w:val="nil"/>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FF0000"/>
                      <w:sz w:val="21"/>
                      <w:szCs w:val="21"/>
                      <w:lang w:eastAsia="zh-CN"/>
                    </w:rPr>
                  </w:pPr>
                </w:p>
              </w:tc>
            </w:tr>
          </w:tbl>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、产品种类及用途</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本项目主要产品</w:t>
            </w:r>
            <w:r>
              <w:rPr>
                <w:rFonts w:hint="default" w:ascii="Times New Roman" w:hAnsi="Times New Roman" w:eastAsia="宋体" w:cs="Times New Roman"/>
                <w:color w:val="000000" w:themeColor="text1"/>
                <w:sz w:val="24"/>
                <w:szCs w:val="24"/>
                <w14:textFill>
                  <w14:solidFill>
                    <w14:schemeClr w14:val="tx1"/>
                  </w14:solidFill>
                </w14:textFill>
              </w:rPr>
              <w:t>为</w:t>
            </w:r>
            <w:r>
              <w:rPr>
                <w:rFonts w:hint="eastAsia" w:cs="Times New Roman"/>
                <w:color w:val="000000" w:themeColor="text1"/>
                <w:sz w:val="24"/>
                <w:szCs w:val="24"/>
                <w:lang w:val="en-US" w:eastAsia="zh-CN"/>
                <w14:textFill>
                  <w14:solidFill>
                    <w14:schemeClr w14:val="tx1"/>
                  </w14:solidFill>
                </w14:textFill>
              </w:rPr>
              <w:t>电机机壳和端盖</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产</w:t>
            </w:r>
            <w:r>
              <w:rPr>
                <w:rFonts w:hint="default" w:ascii="Times New Roman" w:hAnsi="Times New Roman" w:eastAsia="宋体" w:cs="Times New Roman"/>
                <w:color w:val="auto"/>
                <w:sz w:val="24"/>
                <w:szCs w:val="24"/>
                <w:lang w:val="en-US" w:eastAsia="zh-CN"/>
              </w:rPr>
              <w:t>品方案见表2</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表</w:t>
            </w:r>
            <w:r>
              <w:rPr>
                <w:rFonts w:hint="default" w:ascii="Times New Roman" w:hAnsi="Times New Roman" w:eastAsia="宋体" w:cs="Times New Roman"/>
                <w:color w:val="auto"/>
                <w:sz w:val="24"/>
                <w:szCs w:val="24"/>
                <w:lang w:val="en-US" w:eastAsia="zh-CN"/>
              </w:rPr>
              <w:t>2        项目产品方案及规模</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2128"/>
              <w:gridCol w:w="2128"/>
              <w:gridCol w:w="2128"/>
              <w:gridCol w:w="2128"/>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产品名称</w:t>
                  </w:r>
                </w:p>
              </w:tc>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年产量</w:t>
                  </w:r>
                </w:p>
              </w:tc>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28" w:type="dxa"/>
                  <w:noWrap w:val="0"/>
                  <w:vAlign w:val="center"/>
                </w:tcPr>
                <w:p>
                  <w:pPr>
                    <w:widowControl/>
                    <w:spacing w:line="240" w:lineRule="auto"/>
                    <w:jc w:val="center"/>
                    <w:rPr>
                      <w:rFonts w:hint="default" w:ascii="Times New Roman" w:hAnsi="Times New Roman" w:eastAsia="宋体" w:cs="Times New Roman"/>
                      <w:color w:val="auto"/>
                      <w:sz w:val="21"/>
                      <w:szCs w:val="21"/>
                    </w:rPr>
                  </w:pPr>
                  <w:r>
                    <w:rPr>
                      <w:rFonts w:hint="eastAsia" w:cs="Times New Roman"/>
                      <w:sz w:val="21"/>
                      <w:szCs w:val="21"/>
                      <w:lang w:eastAsia="zh-CN"/>
                    </w:rPr>
                    <w:t>机壳</w:t>
                  </w:r>
                </w:p>
              </w:tc>
              <w:tc>
                <w:tcPr>
                  <w:tcW w:w="2128" w:type="dxa"/>
                  <w:noWrap w:val="0"/>
                  <w:vAlign w:val="center"/>
                </w:tcPr>
                <w:p>
                  <w:pPr>
                    <w:widowControl/>
                    <w:spacing w:line="240" w:lineRule="auto"/>
                    <w:jc w:val="center"/>
                    <w:rPr>
                      <w:rFonts w:hint="default" w:ascii="Times New Roman" w:hAnsi="Times New Roman" w:eastAsia="宋体" w:cs="Times New Roman"/>
                      <w:color w:val="auto"/>
                      <w:sz w:val="21"/>
                      <w:szCs w:val="21"/>
                    </w:rPr>
                  </w:pPr>
                  <w:r>
                    <w:rPr>
                      <w:rFonts w:hint="eastAsia" w:cs="Times New Roman"/>
                      <w:bCs/>
                      <w:kern w:val="0"/>
                      <w:sz w:val="21"/>
                      <w:szCs w:val="21"/>
                      <w:lang w:val="en-US" w:eastAsia="zh-CN"/>
                    </w:rPr>
                    <w:t>3万件</w:t>
                  </w:r>
                </w:p>
              </w:tc>
              <w:tc>
                <w:tcPr>
                  <w:tcW w:w="2128" w:type="dxa"/>
                  <w:noWrap w:val="0"/>
                  <w:vAlign w:val="center"/>
                </w:tcPr>
                <w:p>
                  <w:pPr>
                    <w:widowControl/>
                    <w:spacing w:line="240" w:lineRule="auto"/>
                    <w:jc w:val="center"/>
                    <w:rPr>
                      <w:rFonts w:hint="eastAsia" w:cs="Times New Roman"/>
                      <w:color w:val="auto"/>
                      <w:sz w:val="21"/>
                      <w:szCs w:val="21"/>
                      <w:lang w:val="en-US" w:eastAsia="zh-CN"/>
                    </w:rPr>
                  </w:pPr>
                  <w:r>
                    <w:rPr>
                      <w:rFonts w:hint="eastAsia" w:cs="Times New Roman"/>
                      <w:b w:val="0"/>
                      <w:bCs/>
                      <w:kern w:val="0"/>
                      <w:sz w:val="21"/>
                      <w:szCs w:val="21"/>
                      <w:u w:val="none"/>
                      <w:lang w:eastAsia="zh-CN"/>
                    </w:rPr>
                    <w:t>用于振动电机</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12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2128" w:type="dxa"/>
                  <w:noWrap w:val="0"/>
                  <w:vAlign w:val="center"/>
                </w:tcPr>
                <w:p>
                  <w:pPr>
                    <w:widowControl/>
                    <w:spacing w:line="240" w:lineRule="auto"/>
                    <w:jc w:val="center"/>
                    <w:rPr>
                      <w:rFonts w:hint="default" w:ascii="Times New Roman" w:hAnsi="Times New Roman" w:eastAsia="宋体" w:cs="Times New Roman"/>
                      <w:bCs/>
                      <w:color w:val="auto"/>
                      <w:sz w:val="21"/>
                      <w:szCs w:val="21"/>
                      <w:lang w:val="en-US" w:eastAsia="zh-CN"/>
                    </w:rPr>
                  </w:pPr>
                  <w:r>
                    <w:rPr>
                      <w:rFonts w:hint="eastAsia" w:cs="Times New Roman"/>
                      <w:sz w:val="21"/>
                      <w:szCs w:val="21"/>
                      <w:lang w:eastAsia="zh-CN"/>
                    </w:rPr>
                    <w:t>端盖</w:t>
                  </w:r>
                </w:p>
              </w:tc>
              <w:tc>
                <w:tcPr>
                  <w:tcW w:w="2128" w:type="dxa"/>
                  <w:noWrap w:val="0"/>
                  <w:vAlign w:val="center"/>
                </w:tcPr>
                <w:p>
                  <w:pPr>
                    <w:widowControl/>
                    <w:spacing w:line="240" w:lineRule="auto"/>
                    <w:jc w:val="center"/>
                    <w:rPr>
                      <w:rFonts w:hint="eastAsia" w:cs="Times New Roman"/>
                      <w:color w:val="auto"/>
                      <w:sz w:val="21"/>
                      <w:szCs w:val="21"/>
                      <w:lang w:val="en-US" w:eastAsia="zh-CN"/>
                    </w:rPr>
                  </w:pPr>
                  <w:r>
                    <w:rPr>
                      <w:rFonts w:hint="eastAsia" w:cs="Times New Roman"/>
                      <w:bCs/>
                      <w:kern w:val="0"/>
                      <w:sz w:val="21"/>
                      <w:szCs w:val="21"/>
                      <w:lang w:val="en-US" w:eastAsia="zh-CN"/>
                    </w:rPr>
                    <w:t>7万件</w:t>
                  </w:r>
                </w:p>
              </w:tc>
              <w:tc>
                <w:tcPr>
                  <w:tcW w:w="2128" w:type="dxa"/>
                  <w:noWrap w:val="0"/>
                  <w:vAlign w:val="center"/>
                </w:tcPr>
                <w:p>
                  <w:pPr>
                    <w:widowControl/>
                    <w:spacing w:line="240" w:lineRule="auto"/>
                    <w:jc w:val="center"/>
                    <w:rPr>
                      <w:rFonts w:hint="eastAsia" w:cs="Times New Roman"/>
                      <w:color w:val="auto"/>
                      <w:sz w:val="21"/>
                      <w:szCs w:val="21"/>
                      <w:lang w:val="en-US" w:eastAsia="zh-CN"/>
                    </w:rPr>
                  </w:pPr>
                  <w:r>
                    <w:rPr>
                      <w:rFonts w:hint="eastAsia" w:cs="Times New Roman"/>
                      <w:b w:val="0"/>
                      <w:bCs/>
                      <w:kern w:val="0"/>
                      <w:sz w:val="21"/>
                      <w:szCs w:val="21"/>
                      <w:u w:val="none"/>
                      <w:lang w:eastAsia="zh-CN"/>
                    </w:rPr>
                    <w:t>用于振动电机</w:t>
                  </w:r>
                </w:p>
              </w:tc>
            </w:tr>
          </w:tbl>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color w:val="auto"/>
                <w:sz w:val="24"/>
                <w:szCs w:val="24"/>
                <w:lang w:val="en-US" w:eastAsia="zh-CN"/>
              </w:rPr>
              <w:t>5</w:t>
            </w: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z w:val="24"/>
                <w:szCs w:val="24"/>
                <w:lang w:eastAsia="zh-CN"/>
              </w:rPr>
              <w:t>原辅</w:t>
            </w:r>
            <w:r>
              <w:rPr>
                <w:rFonts w:hint="default" w:ascii="Times New Roman" w:hAnsi="Times New Roman" w:eastAsia="宋体" w:cs="Times New Roman"/>
                <w:b/>
                <w:bCs w:val="0"/>
                <w:color w:val="auto"/>
                <w:sz w:val="24"/>
                <w:szCs w:val="24"/>
              </w:rPr>
              <w:t>材料用量</w:t>
            </w:r>
            <w:r>
              <w:rPr>
                <w:rFonts w:hint="default" w:ascii="Times New Roman" w:hAnsi="Times New Roman" w:eastAsia="宋体" w:cs="Times New Roman"/>
                <w:b/>
                <w:bCs w:val="0"/>
                <w:color w:val="auto"/>
                <w:sz w:val="24"/>
                <w:szCs w:val="24"/>
                <w:lang w:eastAsia="zh-CN"/>
              </w:rPr>
              <w:t>和能耗量</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本项目主要原</w:t>
            </w:r>
            <w:r>
              <w:rPr>
                <w:rFonts w:hint="default" w:ascii="Times New Roman" w:hAnsi="Times New Roman" w:eastAsia="宋体" w:cs="Times New Roman"/>
                <w:color w:val="auto"/>
                <w:sz w:val="24"/>
                <w:szCs w:val="24"/>
                <w:lang w:eastAsia="zh-CN"/>
              </w:rPr>
              <w:t>辅</w:t>
            </w:r>
            <w:r>
              <w:rPr>
                <w:rFonts w:hint="default" w:ascii="Times New Roman" w:hAnsi="Times New Roman" w:eastAsia="宋体" w:cs="Times New Roman"/>
                <w:color w:val="auto"/>
                <w:sz w:val="24"/>
                <w:szCs w:val="24"/>
              </w:rPr>
              <w:t>料</w:t>
            </w:r>
            <w:r>
              <w:rPr>
                <w:rFonts w:hint="default" w:ascii="Times New Roman" w:hAnsi="Times New Roman" w:eastAsia="宋体" w:cs="Times New Roman"/>
                <w:color w:val="auto"/>
                <w:sz w:val="24"/>
                <w:szCs w:val="24"/>
                <w:lang w:eastAsia="zh-CN"/>
              </w:rPr>
              <w:t>与能耗</w:t>
            </w:r>
            <w:r>
              <w:rPr>
                <w:rFonts w:hint="default" w:ascii="Times New Roman" w:hAnsi="Times New Roman" w:eastAsia="宋体" w:cs="Times New Roman"/>
                <w:color w:val="auto"/>
                <w:sz w:val="24"/>
                <w:szCs w:val="24"/>
              </w:rPr>
              <w:t>及用量见表</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表</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 xml:space="preserve">        原</w:t>
            </w:r>
            <w:r>
              <w:rPr>
                <w:rFonts w:hint="default" w:ascii="Times New Roman" w:hAnsi="Times New Roman" w:eastAsia="宋体" w:cs="Times New Roman"/>
                <w:bCs/>
                <w:color w:val="000000" w:themeColor="text1"/>
                <w:sz w:val="24"/>
                <w:szCs w:val="24"/>
                <w:lang w:eastAsia="zh-CN"/>
                <w14:textFill>
                  <w14:solidFill>
                    <w14:schemeClr w14:val="tx1"/>
                  </w14:solidFill>
                </w14:textFill>
              </w:rPr>
              <w:t>辅</w:t>
            </w:r>
            <w:r>
              <w:rPr>
                <w:rFonts w:hint="default" w:ascii="Times New Roman" w:hAnsi="Times New Roman" w:eastAsia="宋体" w:cs="Times New Roman"/>
                <w:bCs/>
                <w:color w:val="000000" w:themeColor="text1"/>
                <w:sz w:val="24"/>
                <w:szCs w:val="24"/>
                <w14:textFill>
                  <w14:solidFill>
                    <w14:schemeClr w14:val="tx1"/>
                  </w14:solidFill>
                </w14:textFill>
              </w:rPr>
              <w:t>材料用量</w:t>
            </w:r>
            <w:r>
              <w:rPr>
                <w:rFonts w:hint="default" w:ascii="Times New Roman" w:hAnsi="Times New Roman" w:eastAsia="宋体" w:cs="Times New Roman"/>
                <w:bCs/>
                <w:color w:val="000000" w:themeColor="text1"/>
                <w:sz w:val="24"/>
                <w:szCs w:val="24"/>
                <w:lang w:eastAsia="zh-CN"/>
                <w14:textFill>
                  <w14:solidFill>
                    <w14:schemeClr w14:val="tx1"/>
                  </w14:solidFill>
                </w14:textFill>
              </w:rPr>
              <w:t>和能耗量</w:t>
            </w:r>
            <w:r>
              <w:rPr>
                <w:rFonts w:hint="default" w:ascii="Times New Roman" w:hAnsi="Times New Roman" w:eastAsia="宋体" w:cs="Times New Roman"/>
                <w:bCs/>
                <w:color w:val="000000" w:themeColor="text1"/>
                <w:sz w:val="24"/>
                <w:szCs w:val="24"/>
                <w14:textFill>
                  <w14:solidFill>
                    <w14:schemeClr w14:val="tx1"/>
                  </w14:solidFill>
                </w14:textFill>
              </w:rPr>
              <w:t>一览表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3"/>
              <w:gridCol w:w="561"/>
              <w:gridCol w:w="2128"/>
              <w:gridCol w:w="1512"/>
              <w:gridCol w:w="3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4"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1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名称</w:t>
                  </w:r>
                </w:p>
              </w:tc>
              <w:tc>
                <w:tcPr>
                  <w:tcW w:w="15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年用量</w:t>
                  </w:r>
                </w:p>
              </w:tc>
              <w:tc>
                <w:tcPr>
                  <w:tcW w:w="3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w:t>
                  </w:r>
                  <w:r>
                    <w:rPr>
                      <w:rFonts w:hint="default" w:ascii="Times New Roman" w:hAnsi="Times New Roman" w:eastAsia="宋体" w:cs="Times New Roman"/>
                      <w:color w:val="000000" w:themeColor="text1"/>
                      <w:sz w:val="21"/>
                      <w:szCs w:val="21"/>
                      <w:lang w:eastAsia="zh-CN"/>
                      <w14:textFill>
                        <w14:solidFill>
                          <w14:schemeClr w14:val="tx1"/>
                        </w14:solidFill>
                      </w14:textFill>
                    </w:rPr>
                    <w:t>辅材料</w:t>
                  </w:r>
                </w:p>
              </w:tc>
              <w:tc>
                <w:tcPr>
                  <w:tcW w:w="5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21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毛坯铸件</w:t>
                  </w:r>
                </w:p>
              </w:tc>
              <w:tc>
                <w:tcPr>
                  <w:tcW w:w="15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10万件</w:t>
                  </w:r>
                </w:p>
              </w:tc>
              <w:tc>
                <w:tcPr>
                  <w:tcW w:w="3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5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1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eastAsia"/>
                      <w:b w:val="0"/>
                      <w:bCs w:val="0"/>
                      <w:color w:val="auto"/>
                      <w:szCs w:val="21"/>
                      <w:highlight w:val="none"/>
                      <w:u w:val="none"/>
                      <w:shd w:val="clear" w:color="auto" w:fill="auto"/>
                      <w:lang w:val="en-US" w:eastAsia="zh-CN"/>
                    </w:rPr>
                    <w:t>润滑油</w:t>
                  </w:r>
                </w:p>
              </w:tc>
              <w:tc>
                <w:tcPr>
                  <w:tcW w:w="1512"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b w:val="0"/>
                      <w:bCs w:val="0"/>
                      <w:color w:val="auto"/>
                      <w:szCs w:val="21"/>
                      <w:u w:val="none"/>
                      <w:lang w:val="en-US" w:eastAsia="zh-CN"/>
                    </w:rPr>
                    <w:t>100</w:t>
                  </w:r>
                  <w:r>
                    <w:rPr>
                      <w:rFonts w:hint="eastAsia" w:ascii="Times New Roman" w:hAnsi="Times New Roman" w:cs="Times New Roman"/>
                      <w:b w:val="0"/>
                      <w:bCs w:val="0"/>
                      <w:color w:val="auto"/>
                      <w:szCs w:val="21"/>
                      <w:u w:val="none"/>
                      <w:lang w:val="en-US" w:eastAsia="zh-CN"/>
                    </w:rPr>
                    <w:t>kg/a</w:t>
                  </w:r>
                </w:p>
              </w:tc>
              <w:tc>
                <w:tcPr>
                  <w:tcW w:w="38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val="0"/>
                      <w:color w:val="auto"/>
                      <w:sz w:val="21"/>
                      <w:szCs w:val="21"/>
                      <w:u w:val="none"/>
                      <w:lang w:eastAsia="zh-CN"/>
                    </w:rPr>
                  </w:pPr>
                  <w:r>
                    <w:rPr>
                      <w:rFonts w:hint="eastAsia" w:cs="Times New Roman"/>
                      <w:b w:val="0"/>
                      <w:bCs w:val="0"/>
                      <w:color w:val="auto"/>
                      <w:sz w:val="21"/>
                      <w:szCs w:val="21"/>
                      <w:u w:val="none"/>
                      <w:lang w:eastAsia="zh-CN"/>
                    </w:rPr>
                    <w:t>外购，</w:t>
                  </w:r>
                  <w:r>
                    <w:rPr>
                      <w:rFonts w:hint="eastAsia" w:cs="Times New Roman"/>
                      <w:b w:val="0"/>
                      <w:bCs w:val="0"/>
                      <w:color w:val="auto"/>
                      <w:sz w:val="21"/>
                      <w:szCs w:val="21"/>
                      <w:u w:val="none"/>
                      <w:lang w:val="en-US" w:eastAsia="zh-CN"/>
                    </w:rPr>
                    <w:t>25kg/桶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pPr>
                </w:p>
              </w:tc>
              <w:tc>
                <w:tcPr>
                  <w:tcW w:w="5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212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eastAsia" w:ascii="Times New Roman" w:hAnsi="Times New Roman"/>
                      <w:b w:val="0"/>
                      <w:bCs w:val="0"/>
                      <w:color w:val="auto"/>
                      <w:szCs w:val="21"/>
                      <w:highlight w:val="none"/>
                      <w:u w:val="none"/>
                      <w:shd w:val="clear" w:color="auto" w:fill="auto"/>
                      <w:lang w:val="en-US" w:eastAsia="zh-CN"/>
                    </w:rPr>
                    <w:t>抹布</w:t>
                  </w:r>
                </w:p>
              </w:tc>
              <w:tc>
                <w:tcPr>
                  <w:tcW w:w="1512"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b w:val="0"/>
                      <w:bCs w:val="0"/>
                      <w:color w:val="auto"/>
                      <w:szCs w:val="21"/>
                      <w:u w:val="none"/>
                      <w:lang w:val="en-US" w:eastAsia="zh-CN"/>
                    </w:rPr>
                    <w:t>0.</w:t>
                  </w:r>
                  <w:r>
                    <w:rPr>
                      <w:rFonts w:hint="eastAsia" w:cs="Times New Roman"/>
                      <w:b w:val="0"/>
                      <w:bCs w:val="0"/>
                      <w:color w:val="auto"/>
                      <w:szCs w:val="21"/>
                      <w:u w:val="none"/>
                      <w:lang w:val="en-US" w:eastAsia="zh-CN"/>
                    </w:rPr>
                    <w:t>0</w:t>
                  </w:r>
                  <w:r>
                    <w:rPr>
                      <w:rFonts w:hint="eastAsia" w:ascii="Times New Roman" w:hAnsi="Times New Roman" w:cs="Times New Roman"/>
                      <w:b w:val="0"/>
                      <w:bCs w:val="0"/>
                      <w:color w:val="auto"/>
                      <w:szCs w:val="21"/>
                      <w:u w:val="none"/>
                      <w:lang w:val="en-US" w:eastAsia="zh-CN"/>
                    </w:rPr>
                    <w:t>5t/a</w:t>
                  </w:r>
                </w:p>
              </w:tc>
              <w:tc>
                <w:tcPr>
                  <w:tcW w:w="3808"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eastAsia="zh-CN"/>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4" w:type="dxa"/>
                  <w:gridSpan w:val="2"/>
                  <w:vMerge w:val="restart"/>
                  <w:tcBorders>
                    <w:tl2br w:val="nil"/>
                    <w:tr2bl w:val="nil"/>
                  </w:tcBorders>
                  <w:noWrap w:val="0"/>
                  <w:vAlign w:val="center"/>
                </w:tcPr>
                <w:p>
                  <w:pPr>
                    <w:keepNext w:val="0"/>
                    <w:keepLines w:val="0"/>
                    <w:pageBreakBefore w:val="0"/>
                    <w:widowControl w:val="0"/>
                    <w:tabs>
                      <w:tab w:val="center" w:pos="791"/>
                      <w:tab w:val="right" w:pos="1462"/>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能耗</w:t>
                  </w:r>
                </w:p>
              </w:tc>
              <w:tc>
                <w:tcPr>
                  <w:tcW w:w="21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w:t>
                  </w:r>
                </w:p>
              </w:tc>
              <w:tc>
                <w:tcPr>
                  <w:tcW w:w="15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cs="Times New Roman"/>
                      <w:color w:val="auto"/>
                      <w:sz w:val="21"/>
                      <w:szCs w:val="21"/>
                      <w:highlight w:val="none"/>
                      <w:lang w:val="en-US" w:eastAsia="zh-CN"/>
                    </w:rPr>
                    <w:t>144</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tc>
              <w:tc>
                <w:tcPr>
                  <w:tcW w:w="3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cs="Times New Roman"/>
                      <w:color w:val="auto"/>
                      <w:sz w:val="21"/>
                      <w:szCs w:val="21"/>
                      <w:lang w:eastAsia="zh-CN"/>
                    </w:rPr>
                    <w:t>南永康村自来水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4"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rPr>
                  </w:pPr>
                </w:p>
              </w:tc>
              <w:tc>
                <w:tcPr>
                  <w:tcW w:w="21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w:t>
                  </w:r>
                </w:p>
              </w:tc>
              <w:tc>
                <w:tcPr>
                  <w:tcW w:w="15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60</w:t>
                  </w:r>
                  <w:r>
                    <w:rPr>
                      <w:rFonts w:hint="default" w:ascii="Times New Roman" w:hAnsi="Times New Roman" w:eastAsia="宋体" w:cs="Times New Roman"/>
                      <w:color w:val="auto"/>
                      <w:sz w:val="21"/>
                      <w:szCs w:val="21"/>
                    </w:rPr>
                    <w:t>000kW·h/a</w:t>
                  </w:r>
                </w:p>
              </w:tc>
              <w:tc>
                <w:tcPr>
                  <w:tcW w:w="38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cs="Times New Roman"/>
                      <w:color w:val="auto"/>
                      <w:sz w:val="21"/>
                      <w:szCs w:val="21"/>
                      <w:lang w:eastAsia="zh-CN"/>
                    </w:rPr>
                    <w:t>新乡县供电所</w:t>
                  </w:r>
                  <w:r>
                    <w:rPr>
                      <w:rFonts w:hint="default" w:ascii="Times New Roman" w:hAnsi="Times New Roman" w:eastAsia="宋体" w:cs="Times New Roman"/>
                      <w:color w:val="auto"/>
                      <w:sz w:val="21"/>
                      <w:szCs w:val="21"/>
                    </w:rPr>
                    <w:t>提供</w:t>
                  </w:r>
                </w:p>
              </w:tc>
            </w:tr>
          </w:tbl>
          <w:p>
            <w:pPr>
              <w:pStyle w:val="20"/>
              <w:keepNext w:val="0"/>
              <w:keepLines w:val="0"/>
              <w:pageBreakBefore w:val="0"/>
              <w:widowControl w:val="0"/>
              <w:kinsoku/>
              <w:wordWrap/>
              <w:overflowPunct/>
              <w:topLinePunct w:val="0"/>
              <w:autoSpaceDE/>
              <w:autoSpaceDN/>
              <w:bidi w:val="0"/>
              <w:adjustRightInd w:val="0"/>
              <w:snapToGrid w:val="0"/>
              <w:spacing w:line="360" w:lineRule="auto"/>
              <w:ind w:right="0" w:rightChars="0" w:firstLine="482" w:firstLineChars="200"/>
              <w:jc w:val="both"/>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6</w:t>
            </w:r>
            <w:r>
              <w:rPr>
                <w:rFonts w:hint="default" w:ascii="Times New Roman" w:hAnsi="Times New Roman" w:eastAsia="宋体" w:cs="Times New Roman"/>
                <w:b/>
                <w:color w:val="auto"/>
                <w:sz w:val="24"/>
                <w:szCs w:val="24"/>
              </w:rPr>
              <w:t>、主要生产设备设施</w:t>
            </w:r>
          </w:p>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szCs w:val="24"/>
              </w:rPr>
              <w:t>主要生产设备见表</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表</w:t>
            </w:r>
            <w:r>
              <w:rPr>
                <w:rFonts w:hint="eastAsia" w:cs="Times New Roman"/>
                <w:bCs/>
                <w:color w:val="auto"/>
                <w:sz w:val="24"/>
                <w:szCs w:val="24"/>
                <w:lang w:val="en-US" w:eastAsia="zh-CN"/>
              </w:rPr>
              <w:t>4</w:t>
            </w:r>
            <w:r>
              <w:rPr>
                <w:rFonts w:hint="default" w:ascii="Times New Roman" w:hAnsi="Times New Roman" w:eastAsia="宋体" w:cs="Times New Roman"/>
                <w:bCs/>
                <w:color w:val="auto"/>
                <w:sz w:val="24"/>
                <w:szCs w:val="24"/>
              </w:rPr>
              <w:t xml:space="preserve">        </w:t>
            </w:r>
            <w:r>
              <w:rPr>
                <w:rFonts w:hint="default" w:ascii="Times New Roman" w:hAnsi="Times New Roman" w:eastAsia="宋体" w:cs="Times New Roman"/>
                <w:bCs/>
                <w:color w:val="auto"/>
                <w:sz w:val="24"/>
                <w:szCs w:val="24"/>
                <w:lang w:eastAsia="zh-CN"/>
              </w:rPr>
              <w:t>拟进</w:t>
            </w:r>
            <w:r>
              <w:rPr>
                <w:rFonts w:hint="default" w:ascii="Times New Roman" w:hAnsi="Times New Roman" w:eastAsia="宋体" w:cs="Times New Roman"/>
                <w:bCs/>
                <w:color w:val="auto"/>
                <w:sz w:val="24"/>
                <w:szCs w:val="24"/>
              </w:rPr>
              <w:t>主要生产设备一览表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4"/>
              <w:gridCol w:w="2924"/>
              <w:gridCol w:w="2824"/>
              <w:gridCol w:w="16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9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28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规格</w:t>
                  </w:r>
                  <w:r>
                    <w:rPr>
                      <w:rFonts w:hint="default" w:ascii="Times New Roman" w:hAnsi="Times New Roman" w:eastAsia="宋体" w:cs="Times New Roman"/>
                      <w:color w:val="auto"/>
                      <w:sz w:val="21"/>
                      <w:szCs w:val="21"/>
                      <w:lang w:val="en-US" w:eastAsia="zh-CN"/>
                    </w:rPr>
                    <w:t>/型号</w:t>
                  </w:r>
                </w:p>
              </w:tc>
              <w:tc>
                <w:tcPr>
                  <w:tcW w:w="1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92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车床</w:t>
                  </w:r>
                </w:p>
              </w:tc>
              <w:tc>
                <w:tcPr>
                  <w:tcW w:w="282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CW6163B</w:t>
                  </w:r>
                </w:p>
              </w:tc>
              <w:tc>
                <w:tcPr>
                  <w:tcW w:w="168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292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p>
              </w:tc>
              <w:tc>
                <w:tcPr>
                  <w:tcW w:w="282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CW6180</w:t>
                  </w:r>
                </w:p>
              </w:tc>
              <w:tc>
                <w:tcPr>
                  <w:tcW w:w="168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292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p>
              </w:tc>
              <w:tc>
                <w:tcPr>
                  <w:tcW w:w="282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PL400</w:t>
                  </w:r>
                </w:p>
              </w:tc>
              <w:tc>
                <w:tcPr>
                  <w:tcW w:w="168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2台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292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p>
              </w:tc>
              <w:tc>
                <w:tcPr>
                  <w:tcW w:w="2824"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CDE6140</w:t>
                  </w:r>
                </w:p>
              </w:tc>
              <w:tc>
                <w:tcPr>
                  <w:tcW w:w="168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9台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92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立车</w:t>
                  </w:r>
                </w:p>
              </w:tc>
              <w:tc>
                <w:tcPr>
                  <w:tcW w:w="282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C5110</w:t>
                  </w:r>
                </w:p>
              </w:tc>
              <w:tc>
                <w:tcPr>
                  <w:tcW w:w="168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292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p>
              </w:tc>
              <w:tc>
                <w:tcPr>
                  <w:tcW w:w="2824"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C516</w:t>
                  </w:r>
                </w:p>
              </w:tc>
              <w:tc>
                <w:tcPr>
                  <w:tcW w:w="168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1台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p>
              </w:tc>
              <w:tc>
                <w:tcPr>
                  <w:tcW w:w="29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钻床</w:t>
                  </w:r>
                </w:p>
              </w:tc>
              <w:tc>
                <w:tcPr>
                  <w:tcW w:w="28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Z3050×16</w:t>
                  </w:r>
                </w:p>
              </w:tc>
              <w:tc>
                <w:tcPr>
                  <w:tcW w:w="1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8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29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台钻</w:t>
                  </w:r>
                </w:p>
              </w:tc>
              <w:tc>
                <w:tcPr>
                  <w:tcW w:w="28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Z040</w:t>
                  </w:r>
                </w:p>
              </w:tc>
              <w:tc>
                <w:tcPr>
                  <w:tcW w:w="1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15台</w:t>
                  </w:r>
                </w:p>
              </w:tc>
            </w:tr>
          </w:tbl>
          <w:p>
            <w:pPr>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7</w:t>
            </w:r>
            <w:r>
              <w:rPr>
                <w:rFonts w:hint="default" w:ascii="Times New Roman" w:hAnsi="Times New Roman" w:eastAsia="宋体" w:cs="Times New Roman"/>
                <w:b/>
                <w:color w:val="auto"/>
                <w:sz w:val="24"/>
                <w:szCs w:val="24"/>
              </w:rPr>
              <w:t>、项目选址合理性分析</w:t>
            </w:r>
          </w:p>
          <w:p>
            <w:pPr>
              <w:pStyle w:val="5"/>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（一）产业政策、规划相符性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kern w:val="2"/>
                <w:sz w:val="24"/>
                <w:szCs w:val="24"/>
                <w:highlight w:val="none"/>
                <w:lang w:val="en-US" w:eastAsia="zh-CN"/>
              </w:rPr>
              <w:t>本项目为</w:t>
            </w:r>
            <w:r>
              <w:rPr>
                <w:rFonts w:hint="eastAsia" w:cs="Times New Roman"/>
                <w:color w:val="auto"/>
                <w:kern w:val="2"/>
                <w:sz w:val="24"/>
                <w:szCs w:val="24"/>
                <w:highlight w:val="none"/>
                <w:lang w:val="en-US" w:eastAsia="zh-CN"/>
              </w:rPr>
              <w:t>电动机制造</w:t>
            </w:r>
            <w:r>
              <w:rPr>
                <w:rFonts w:hint="default" w:ascii="Times New Roman" w:hAnsi="Times New Roman" w:cs="Times New Roman"/>
                <w:color w:val="auto"/>
                <w:kern w:val="2"/>
                <w:sz w:val="24"/>
                <w:szCs w:val="24"/>
                <w:highlight w:val="none"/>
                <w:lang w:val="en-US" w:eastAsia="zh-CN"/>
              </w:rPr>
              <w:t>（行业代码：</w:t>
            </w:r>
            <w:r>
              <w:rPr>
                <w:rFonts w:hint="eastAsia" w:cs="Times New Roman"/>
                <w:color w:val="auto"/>
                <w:kern w:val="2"/>
                <w:sz w:val="24"/>
                <w:szCs w:val="24"/>
                <w:highlight w:val="none"/>
                <w:lang w:val="en-US" w:eastAsia="zh-CN"/>
              </w:rPr>
              <w:t>C3812</w:t>
            </w:r>
            <w:r>
              <w:rPr>
                <w:rFonts w:hint="default" w:ascii="Times New Roman" w:hAnsi="Times New Roman" w:cs="Times New Roman"/>
                <w:color w:val="auto"/>
                <w:kern w:val="2"/>
                <w:sz w:val="24"/>
                <w:szCs w:val="24"/>
                <w:highlight w:val="none"/>
                <w:lang w:val="en-US" w:eastAsia="zh-CN"/>
              </w:rPr>
              <w:t>），</w:t>
            </w:r>
            <w:r>
              <w:rPr>
                <w:rFonts w:hint="default" w:ascii="Times New Roman" w:hAnsi="Times New Roman" w:cs="Times New Roman"/>
                <w:color w:val="auto"/>
                <w:kern w:val="2"/>
                <w:sz w:val="24"/>
                <w:szCs w:val="24"/>
                <w:lang w:val="en-US" w:eastAsia="zh-CN"/>
              </w:rPr>
              <w:t>根据《产业结构调整指导目录（2011年本）（2013年修正）》，本项目不属于鼓励类、淘汰类、限制类项目，属于允许</w:t>
            </w:r>
            <w:r>
              <w:rPr>
                <w:rFonts w:hint="eastAsia" w:cs="Times New Roman"/>
                <w:color w:val="auto"/>
                <w:kern w:val="2"/>
                <w:sz w:val="24"/>
                <w:szCs w:val="24"/>
                <w:lang w:val="en-US" w:eastAsia="zh-CN"/>
              </w:rPr>
              <w:t>类</w:t>
            </w:r>
            <w:r>
              <w:rPr>
                <w:rFonts w:hint="default" w:ascii="Times New Roman" w:hAnsi="Times New Roman" w:cs="Times New Roman"/>
                <w:color w:val="auto"/>
                <w:kern w:val="2"/>
                <w:sz w:val="24"/>
                <w:szCs w:val="24"/>
                <w:lang w:val="en-US" w:eastAsia="zh-CN"/>
              </w:rPr>
              <w:t>建设项目，符合国家产业发展政策</w:t>
            </w:r>
            <w:r>
              <w:rPr>
                <w:color w:val="auto"/>
                <w:kern w:val="2"/>
                <w:sz w:val="24"/>
                <w:lang w:val="en-US" w:eastAsia="zh-CN"/>
              </w:rPr>
              <w:t>。</w:t>
            </w:r>
            <w:r>
              <w:rPr>
                <w:rFonts w:hint="default" w:ascii="Times New Roman" w:hAnsi="Times New Roman" w:cs="Times New Roman"/>
                <w:b w:val="0"/>
                <w:bCs w:val="0"/>
                <w:color w:val="auto"/>
                <w:kern w:val="2"/>
                <w:sz w:val="24"/>
                <w:u w:val="none"/>
                <w:lang w:val="en-US" w:eastAsia="zh-CN"/>
              </w:rPr>
              <w:t>本项目已在</w:t>
            </w:r>
            <w:r>
              <w:rPr>
                <w:rFonts w:hint="eastAsia" w:cs="Times New Roman"/>
                <w:b w:val="0"/>
                <w:bCs w:val="0"/>
                <w:color w:val="auto"/>
                <w:kern w:val="2"/>
                <w:sz w:val="24"/>
                <w:u w:val="none"/>
                <w:lang w:val="en-US" w:eastAsia="zh-CN"/>
              </w:rPr>
              <w:t>新乡县发展和改革委员会</w:t>
            </w:r>
            <w:r>
              <w:rPr>
                <w:rFonts w:hint="default" w:ascii="Times New Roman" w:hAnsi="Times New Roman" w:cs="Times New Roman"/>
                <w:b w:val="0"/>
                <w:bCs w:val="0"/>
                <w:color w:val="auto"/>
                <w:kern w:val="2"/>
                <w:sz w:val="24"/>
                <w:u w:val="none"/>
                <w:lang w:val="en-US" w:eastAsia="zh-CN"/>
              </w:rPr>
              <w:t>进行备案，项目代码：</w:t>
            </w:r>
            <w:r>
              <w:rPr>
                <w:rFonts w:hint="eastAsia"/>
                <w:color w:val="auto"/>
                <w:sz w:val="24"/>
                <w:lang w:eastAsia="zh-CN"/>
              </w:rPr>
              <w:t>2019-410721-34-03-019688</w:t>
            </w:r>
            <w:r>
              <w:rPr>
                <w:rFonts w:hint="default" w:ascii="Times New Roman" w:hAnsi="Times New Roman" w:cs="Times New Roman"/>
                <w:b w:val="0"/>
                <w:bCs w:val="0"/>
                <w:color w:val="auto"/>
                <w:kern w:val="2"/>
                <w:sz w:val="24"/>
                <w:u w:val="none"/>
                <w:lang w:val="en-US" w:eastAsia="zh-CN"/>
              </w:rPr>
              <w:t>。</w:t>
            </w:r>
            <w:r>
              <w:rPr>
                <w:rFonts w:hint="default" w:ascii="Times New Roman" w:hAnsi="Times New Roman" w:cs="Times New Roman"/>
                <w:b w:val="0"/>
                <w:bCs w:val="0"/>
                <w:snapToGrid w:val="0"/>
                <w:color w:val="auto"/>
                <w:sz w:val="24"/>
                <w:u w:val="none"/>
              </w:rPr>
              <w:t>本项目备案内容与建设内容相符性分析见</w:t>
            </w:r>
            <w:r>
              <w:rPr>
                <w:rFonts w:hint="default" w:ascii="Times New Roman" w:hAnsi="Times New Roman" w:cs="Times New Roman"/>
                <w:b w:val="0"/>
                <w:bCs w:val="0"/>
                <w:snapToGrid w:val="0"/>
                <w:color w:val="auto"/>
                <w:sz w:val="24"/>
                <w:u w:val="none"/>
                <w:lang w:eastAsia="zh-CN"/>
              </w:rPr>
              <w:t>表5</w:t>
            </w:r>
            <w:r>
              <w:rPr>
                <w:rFonts w:hint="default" w:ascii="Times New Roman" w:hAnsi="Times New Roman" w:cs="Times New Roman"/>
                <w:b w:val="0"/>
                <w:bCs w:val="0"/>
                <w:snapToGrid w:val="0"/>
                <w:color w:val="auto"/>
                <w:sz w:val="24"/>
                <w:u w:val="none"/>
              </w:rPr>
              <w:t>。</w:t>
            </w:r>
          </w:p>
          <w:p>
            <w:pPr>
              <w:pStyle w:val="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4"/>
                <w:szCs w:val="24"/>
                <w:u w:val="singl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表</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项目备案内容与建设内容相符性</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6"/>
              <w:gridCol w:w="1152"/>
              <w:gridCol w:w="3060"/>
              <w:gridCol w:w="2987"/>
              <w:gridCol w:w="8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序号</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项目</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备案内容</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建设内容</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1</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投资</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投资</w:t>
                  </w:r>
                  <w:r>
                    <w:rPr>
                      <w:rFonts w:hint="eastAsia" w:cs="Times New Roman"/>
                      <w:bCs/>
                      <w:color w:val="000000" w:themeColor="text1"/>
                      <w:sz w:val="21"/>
                      <w:szCs w:val="21"/>
                      <w:lang w:val="en-US" w:eastAsia="zh-CN"/>
                      <w14:textFill>
                        <w14:solidFill>
                          <w14:schemeClr w14:val="tx1"/>
                        </w14:solidFill>
                      </w14:textFill>
                    </w:rPr>
                    <w:t>100</w:t>
                  </w:r>
                  <w:r>
                    <w:rPr>
                      <w:rFonts w:hint="eastAsia" w:ascii="Times New Roman" w:hAnsi="Times New Roman" w:cs="Times New Roman"/>
                      <w:bCs/>
                      <w:color w:val="000000" w:themeColor="text1"/>
                      <w:sz w:val="21"/>
                      <w:szCs w:val="21"/>
                      <w:lang w:val="en-US" w:eastAsia="zh-CN"/>
                      <w14:textFill>
                        <w14:solidFill>
                          <w14:schemeClr w14:val="tx1"/>
                        </w14:solidFill>
                      </w14:textFill>
                    </w:rPr>
                    <w:t>万元</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投资</w:t>
                  </w:r>
                  <w:r>
                    <w:rPr>
                      <w:rFonts w:hint="eastAsia" w:cs="Times New Roman"/>
                      <w:bCs/>
                      <w:color w:val="000000" w:themeColor="text1"/>
                      <w:sz w:val="21"/>
                      <w:szCs w:val="21"/>
                      <w:lang w:val="en-US" w:eastAsia="zh-CN"/>
                      <w14:textFill>
                        <w14:solidFill>
                          <w14:schemeClr w14:val="tx1"/>
                        </w14:solidFill>
                      </w14:textFill>
                    </w:rPr>
                    <w:t>100</w:t>
                  </w:r>
                  <w:r>
                    <w:rPr>
                      <w:rFonts w:hint="eastAsia" w:ascii="Times New Roman" w:hAnsi="Times New Roman" w:cs="Times New Roman"/>
                      <w:bCs/>
                      <w:color w:val="000000" w:themeColor="text1"/>
                      <w:sz w:val="21"/>
                      <w:szCs w:val="21"/>
                      <w:lang w:val="en-US" w:eastAsia="zh-CN"/>
                      <w14:textFill>
                        <w14:solidFill>
                          <w14:schemeClr w14:val="tx1"/>
                        </w14:solidFill>
                      </w14:textFill>
                    </w:rPr>
                    <w:t>万元</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2</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建设规模</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年产</w:t>
                  </w:r>
                  <w:r>
                    <w:rPr>
                      <w:rFonts w:hint="eastAsia" w:cs="Times New Roman"/>
                      <w:bCs/>
                      <w:color w:val="000000" w:themeColor="text1"/>
                      <w:sz w:val="21"/>
                      <w:szCs w:val="21"/>
                      <w:lang w:val="en-US" w:eastAsia="zh-CN"/>
                      <w14:textFill>
                        <w14:solidFill>
                          <w14:schemeClr w14:val="tx1"/>
                        </w14:solidFill>
                      </w14:textFill>
                    </w:rPr>
                    <w:t>10万件机械配件</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年产</w:t>
                  </w:r>
                  <w:r>
                    <w:rPr>
                      <w:rFonts w:hint="eastAsia" w:cs="Times New Roman"/>
                      <w:bCs/>
                      <w:color w:val="000000" w:themeColor="text1"/>
                      <w:sz w:val="21"/>
                      <w:szCs w:val="21"/>
                      <w:lang w:val="en-US" w:eastAsia="zh-CN"/>
                      <w14:textFill>
                        <w14:solidFill>
                          <w14:schemeClr w14:val="tx1"/>
                        </w14:solidFill>
                      </w14:textFill>
                    </w:rPr>
                    <w:t>10万件机械配件</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3</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建设地点</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新乡市新乡县合河乡新王线东北永康路口南100米</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新乡市新乡县合河乡新王线东北永康路口南100米</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4</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建设内容</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占地</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面积</w:t>
                  </w:r>
                  <w:r>
                    <w:rPr>
                      <w:rFonts w:hint="eastAsia" w:cs="Times New Roman"/>
                      <w:bCs/>
                      <w:color w:val="000000" w:themeColor="text1"/>
                      <w:sz w:val="21"/>
                      <w:szCs w:val="21"/>
                      <w:lang w:val="en-US" w:eastAsia="zh-CN"/>
                      <w14:textFill>
                        <w14:solidFill>
                          <w14:schemeClr w14:val="tx1"/>
                        </w14:solidFill>
                      </w14:textFill>
                    </w:rPr>
                    <w:t>21</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00m</w:t>
                  </w:r>
                  <w:r>
                    <w:rPr>
                      <w:rFonts w:hint="default" w:ascii="Times New Roman" w:hAnsi="Times New Roman" w:eastAsia="宋体" w:cs="Times New Roman"/>
                      <w:bCs/>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r>
                    <w:rPr>
                      <w:rFonts w:hint="eastAsia" w:cs="Times New Roman"/>
                      <w:bCs/>
                      <w:color w:val="000000" w:themeColor="text1"/>
                      <w:sz w:val="21"/>
                      <w:szCs w:val="21"/>
                      <w:lang w:val="en-US" w:eastAsia="zh-CN"/>
                      <w14:textFill>
                        <w14:solidFill>
                          <w14:schemeClr w14:val="tx1"/>
                        </w14:solidFill>
                      </w14:textFill>
                    </w:rPr>
                    <w:t>建设</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年产10万件</w:t>
                  </w:r>
                  <w:r>
                    <w:rPr>
                      <w:rFonts w:hint="eastAsia" w:cs="Times New Roman"/>
                      <w:bCs/>
                      <w:color w:val="000000" w:themeColor="text1"/>
                      <w:sz w:val="21"/>
                      <w:szCs w:val="21"/>
                      <w:lang w:val="en-US" w:eastAsia="zh-CN"/>
                      <w14:textFill>
                        <w14:solidFill>
                          <w14:schemeClr w14:val="tx1"/>
                        </w14:solidFill>
                      </w14:textFill>
                    </w:rPr>
                    <w:t>电机机壳、端盖</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占地</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面积</w:t>
                  </w:r>
                  <w:r>
                    <w:rPr>
                      <w:rFonts w:hint="eastAsia" w:cs="Times New Roman"/>
                      <w:bCs/>
                      <w:color w:val="000000" w:themeColor="text1"/>
                      <w:sz w:val="21"/>
                      <w:szCs w:val="21"/>
                      <w:lang w:val="en-US" w:eastAsia="zh-CN"/>
                      <w14:textFill>
                        <w14:solidFill>
                          <w14:schemeClr w14:val="tx1"/>
                        </w14:solidFill>
                      </w14:textFill>
                    </w:rPr>
                    <w:t>21</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00m</w:t>
                  </w:r>
                  <w:r>
                    <w:rPr>
                      <w:rFonts w:hint="default" w:ascii="Times New Roman" w:hAnsi="Times New Roman" w:eastAsia="宋体" w:cs="Times New Roman"/>
                      <w:bCs/>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r>
                    <w:rPr>
                      <w:rFonts w:hint="eastAsia" w:cs="Times New Roman"/>
                      <w:bCs/>
                      <w:color w:val="000000" w:themeColor="text1"/>
                      <w:sz w:val="21"/>
                      <w:szCs w:val="21"/>
                      <w:lang w:val="en-US" w:eastAsia="zh-CN"/>
                      <w14:textFill>
                        <w14:solidFill>
                          <w14:schemeClr w14:val="tx1"/>
                        </w14:solidFill>
                      </w14:textFill>
                    </w:rPr>
                    <w:t>建设</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年产10万件</w:t>
                  </w:r>
                  <w:r>
                    <w:rPr>
                      <w:rFonts w:hint="eastAsia" w:cs="Times New Roman"/>
                      <w:bCs/>
                      <w:color w:val="000000" w:themeColor="text1"/>
                      <w:sz w:val="21"/>
                      <w:szCs w:val="21"/>
                      <w:lang w:val="en-US" w:eastAsia="zh-CN"/>
                      <w14:textFill>
                        <w14:solidFill>
                          <w14:schemeClr w14:val="tx1"/>
                        </w14:solidFill>
                      </w14:textFill>
                    </w:rPr>
                    <w:t>电机机壳、端盖</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5</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主要生产设备</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C5110立车、Z3050钻床、CW6163车床</w:t>
                  </w:r>
                  <w:r>
                    <w:rPr>
                      <w:rFonts w:hint="eastAsia" w:cs="Times New Roman"/>
                      <w:color w:val="000000" w:themeColor="text1"/>
                      <w:sz w:val="21"/>
                      <w:szCs w:val="21"/>
                      <w:lang w:val="en-US" w:eastAsia="zh-CN"/>
                      <w14:textFill>
                        <w14:solidFill>
                          <w14:schemeClr w14:val="tx1"/>
                        </w14:solidFill>
                      </w14:textFill>
                    </w:rPr>
                    <w:t>等</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CW6163B车床</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CW6180车床</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PL400车床</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CDE6140车床</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C5110立车</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C516立车</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Z3050×16钻床</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Z040台钻</w:t>
                  </w:r>
                  <w:r>
                    <w:rPr>
                      <w:rFonts w:hint="eastAsia" w:cs="Times New Roman"/>
                      <w:color w:val="000000" w:themeColor="text1"/>
                      <w:sz w:val="21"/>
                      <w:szCs w:val="21"/>
                      <w:highlight w:val="none"/>
                      <w:lang w:val="en-US" w:eastAsia="zh-CN"/>
                      <w14:textFill>
                        <w14:solidFill>
                          <w14:schemeClr w14:val="tx1"/>
                        </w14:solidFill>
                      </w14:textFill>
                    </w:rPr>
                    <w:t>等</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5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6</w:t>
                  </w:r>
                </w:p>
              </w:tc>
              <w:tc>
                <w:tcPr>
                  <w:tcW w:w="1152"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工艺流程</w:t>
                  </w:r>
                </w:p>
              </w:tc>
              <w:tc>
                <w:tcPr>
                  <w:tcW w:w="30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外购原材料</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eastAsia" w:cs="Times New Roman"/>
                      <w:bCs/>
                      <w:color w:val="000000" w:themeColor="text1"/>
                      <w:sz w:val="21"/>
                      <w:szCs w:val="21"/>
                      <w:highlight w:val="none"/>
                      <w:lang w:val="en-US" w:eastAsia="zh-CN"/>
                      <w14:textFill>
                        <w14:solidFill>
                          <w14:schemeClr w14:val="tx1"/>
                        </w14:solidFill>
                      </w14:textFill>
                    </w:rPr>
                    <w:t>车床加工</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eastAsia" w:cs="Times New Roman"/>
                      <w:bCs/>
                      <w:color w:val="000000" w:themeColor="text1"/>
                      <w:sz w:val="21"/>
                      <w:szCs w:val="21"/>
                      <w:highlight w:val="none"/>
                      <w:lang w:val="en-US" w:eastAsia="zh-CN"/>
                      <w14:textFill>
                        <w14:solidFill>
                          <w14:schemeClr w14:val="tx1"/>
                        </w14:solidFill>
                      </w14:textFill>
                    </w:rPr>
                    <w:t>钻孔</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—成品</w:t>
                  </w:r>
                </w:p>
              </w:tc>
              <w:tc>
                <w:tcPr>
                  <w:tcW w:w="298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外购原材料—车床加工—钻孔—成品</w:t>
                  </w:r>
                </w:p>
              </w:tc>
              <w:tc>
                <w:tcPr>
                  <w:tcW w:w="85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符合</w:t>
                  </w:r>
                </w:p>
              </w:tc>
            </w:tr>
          </w:tbl>
          <w:p>
            <w:pPr>
              <w:pStyle w:val="2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auto"/>
                <w:sz w:val="24"/>
                <w:szCs w:val="24"/>
                <w:lang w:val="en-US" w:eastAsia="zh-CN"/>
              </w:rPr>
              <w:t>相符性分析：从项目建设投资、规模、</w:t>
            </w:r>
            <w:r>
              <w:rPr>
                <w:rFonts w:hint="eastAsia" w:cs="Times New Roman"/>
                <w:color w:val="auto"/>
                <w:sz w:val="24"/>
                <w:szCs w:val="24"/>
                <w:lang w:val="en-US" w:eastAsia="zh-CN"/>
              </w:rPr>
              <w:t>地点、</w:t>
            </w:r>
            <w:r>
              <w:rPr>
                <w:rFonts w:hint="default" w:ascii="Times New Roman" w:hAnsi="Times New Roman" w:eastAsia="宋体" w:cs="Times New Roman"/>
                <w:color w:val="auto"/>
                <w:sz w:val="24"/>
                <w:szCs w:val="24"/>
                <w:lang w:val="en-US" w:eastAsia="zh-CN"/>
              </w:rPr>
              <w:t>内容、设备、工艺流程等几个方面对比分析，</w:t>
            </w:r>
            <w:r>
              <w:rPr>
                <w:rFonts w:hint="default" w:ascii="Times New Roman" w:hAnsi="Times New Roman" w:cs="Times New Roman"/>
                <w:b w:val="0"/>
                <w:bCs w:val="0"/>
                <w:color w:val="000000" w:themeColor="text1"/>
                <w:sz w:val="24"/>
                <w:u w:val="none"/>
                <w:vertAlign w:val="baseline"/>
                <w:lang w:val="en-US" w:eastAsia="zh-CN"/>
                <w14:textFill>
                  <w14:solidFill>
                    <w14:schemeClr w14:val="tx1"/>
                  </w14:solidFill>
                </w14:textFill>
              </w:rPr>
              <w:t>在项目实际建设过程中，</w:t>
            </w:r>
            <w:r>
              <w:rPr>
                <w:rFonts w:hint="eastAsia" w:cs="Times New Roman"/>
                <w:b w:val="0"/>
                <w:bCs w:val="0"/>
                <w:color w:val="000000" w:themeColor="text1"/>
                <w:sz w:val="24"/>
                <w:u w:val="none"/>
                <w:vertAlign w:val="baseline"/>
                <w:lang w:val="en-US" w:eastAsia="zh-CN"/>
                <w14:textFill>
                  <w14:solidFill>
                    <w14:schemeClr w14:val="tx1"/>
                  </w14:solidFill>
                </w14:textFill>
              </w:rPr>
              <w:t>生产设备</w:t>
            </w:r>
            <w:r>
              <w:rPr>
                <w:rFonts w:hint="default" w:ascii="Times New Roman" w:hAnsi="Times New Roman" w:cs="Times New Roman"/>
                <w:b w:val="0"/>
                <w:bCs w:val="0"/>
                <w:color w:val="000000" w:themeColor="text1"/>
                <w:sz w:val="24"/>
                <w:u w:val="none"/>
                <w:vertAlign w:val="baseline"/>
                <w:lang w:val="en-US" w:eastAsia="zh-CN"/>
                <w14:textFill>
                  <w14:solidFill>
                    <w14:schemeClr w14:val="tx1"/>
                  </w14:solidFill>
                </w14:textFill>
              </w:rPr>
              <w:t>更加的细化，除此外，项目建设内容与备案内容相符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highlight w:val="none"/>
              </w:rPr>
              <w:t>（二）与新环[2015]342号文的对照分</w:t>
            </w:r>
            <w:r>
              <w:rPr>
                <w:rFonts w:hint="default" w:ascii="Times New Roman" w:hAnsi="Times New Roman" w:eastAsia="宋体" w:cs="Times New Roman"/>
                <w:b/>
                <w:bCs/>
                <w:color w:val="auto"/>
                <w:sz w:val="24"/>
                <w:szCs w:val="24"/>
              </w:rPr>
              <w:t>析</w:t>
            </w:r>
          </w:p>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与《新乡市环境保护局关于印发深化建设项目环境影响评价审批制度改革实施细则的通知》新环[2015]342号（以下简称《通知》）对照分析见下表</w:t>
            </w:r>
            <w:r>
              <w:rPr>
                <w:rFonts w:hint="eastAsia" w:cs="Times New Roman"/>
                <w:color w:val="auto"/>
                <w:sz w:val="24"/>
                <w:szCs w:val="24"/>
                <w:lang w:val="en-US" w:eastAsia="zh-CN"/>
              </w:rPr>
              <w:t>6</w:t>
            </w:r>
            <w:r>
              <w:rPr>
                <w:rFonts w:hint="default" w:ascii="Times New Roman" w:hAnsi="Times New Roman" w:eastAsia="宋体" w:cs="Times New Roman"/>
                <w:color w:val="auto"/>
                <w:sz w:val="24"/>
                <w:szCs w:val="24"/>
              </w:rPr>
              <w:t>。</w:t>
            </w:r>
          </w:p>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表</w:t>
            </w:r>
            <w:r>
              <w:rPr>
                <w:rFonts w:hint="eastAsia"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 xml:space="preserve">      与《通知》对比分析一览表</w:t>
            </w:r>
          </w:p>
          <w:tbl>
            <w:tblPr>
              <w:tblStyle w:val="15"/>
              <w:tblW w:w="851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0"/>
              <w:gridCol w:w="1360"/>
              <w:gridCol w:w="3563"/>
              <w:gridCol w:w="1323"/>
              <w:gridCol w:w="11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3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4923" w:type="dxa"/>
                  <w:gridSpan w:val="2"/>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与本项目相关条文</w:t>
                  </w:r>
                </w:p>
              </w:tc>
              <w:tc>
                <w:tcPr>
                  <w:tcW w:w="1323"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本项目情况</w:t>
                  </w:r>
                </w:p>
              </w:tc>
              <w:tc>
                <w:tcPr>
                  <w:tcW w:w="1136"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79" w:hRule="atLeast"/>
                <w:jc w:val="center"/>
              </w:trPr>
              <w:tc>
                <w:tcPr>
                  <w:tcW w:w="1130" w:type="dxa"/>
                  <w:vMerge w:val="restart"/>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新乡市主体功能区</w:t>
                  </w:r>
                </w:p>
              </w:tc>
              <w:tc>
                <w:tcPr>
                  <w:tcW w:w="4923" w:type="dxa"/>
                  <w:gridSpan w:val="2"/>
                  <w:tcBorders>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重点开发区域：1、新乡市市区（含平原城乡一体示范区）、新乡县、卫辉市；2、农产品主产区的县城关镇、少数建制镇以及产业集聚区。</w:t>
                  </w:r>
                </w:p>
              </w:tc>
              <w:tc>
                <w:tcPr>
                  <w:tcW w:w="1323" w:type="dxa"/>
                  <w:vMerge w:val="restart"/>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本项目位于</w:t>
                  </w:r>
                  <w:r>
                    <w:rPr>
                      <w:rFonts w:hint="eastAsia" w:cs="Times New Roman"/>
                      <w:color w:val="000000" w:themeColor="text1"/>
                      <w:sz w:val="21"/>
                      <w:szCs w:val="21"/>
                      <w:lang w:eastAsia="zh-CN"/>
                      <w14:textFill>
                        <w14:solidFill>
                          <w14:schemeClr w14:val="tx1"/>
                        </w14:solidFill>
                      </w14:textFill>
                    </w:rPr>
                    <w:t>新乡市新乡县合河乡新王线东北永康路口南100米</w:t>
                  </w:r>
                </w:p>
              </w:tc>
              <w:tc>
                <w:tcPr>
                  <w:tcW w:w="1136" w:type="dxa"/>
                  <w:tcBorders>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04" w:hRule="atLeast"/>
                <w:jc w:val="center"/>
              </w:trPr>
              <w:tc>
                <w:tcPr>
                  <w:tcW w:w="113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4923" w:type="dxa"/>
                  <w:gridSpan w:val="2"/>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限制开发区、农产品主产区：辉县市、获嘉县、原阳县、延津县、封丘县。（不含产业集聚区、专业园区和县城建成区以及规划区中以居住、商贸、文教科研为主的区域）</w:t>
                  </w:r>
                </w:p>
              </w:tc>
              <w:tc>
                <w:tcPr>
                  <w:tcW w:w="1323"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136"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15" w:hRule="atLeast"/>
                <w:jc w:val="center"/>
              </w:trPr>
              <w:tc>
                <w:tcPr>
                  <w:tcW w:w="113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4923" w:type="dxa"/>
                  <w:gridSpan w:val="2"/>
                  <w:tcBorders>
                    <w:top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禁止开发区：河南新乡黄河湿地鸟类国家级自然保护区、太行山猕猴自然保护区、河南省新乡凤凰山省级森林公园</w:t>
                  </w:r>
                </w:p>
              </w:tc>
              <w:tc>
                <w:tcPr>
                  <w:tcW w:w="1323"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136" w:type="dxa"/>
                  <w:tcBorders>
                    <w:top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3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新乡市集中水源地保护区</w:t>
                  </w:r>
                </w:p>
              </w:tc>
              <w:tc>
                <w:tcPr>
                  <w:tcW w:w="4923" w:type="dxa"/>
                  <w:gridSpan w:val="2"/>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三水厂地下水饮用水源保护区(共32眼井)</w:t>
                  </w:r>
                </w:p>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四水厂地下水饮用水源保护区(共21眼井)</w:t>
                  </w:r>
                </w:p>
              </w:tc>
              <w:tc>
                <w:tcPr>
                  <w:tcW w:w="13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本项目位于新乡县合河乡</w:t>
                  </w:r>
                </w:p>
              </w:tc>
              <w:tc>
                <w:tcPr>
                  <w:tcW w:w="113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不在</w:t>
                  </w:r>
                  <w:r>
                    <w:rPr>
                      <w:rFonts w:hint="eastAsia" w:cs="Times New Roman"/>
                      <w:color w:val="000000" w:themeColor="text1"/>
                      <w:sz w:val="21"/>
                      <w:szCs w:val="21"/>
                      <w:lang w:eastAsia="zh-CN"/>
                      <w14:textFill>
                        <w14:solidFill>
                          <w14:schemeClr w14:val="tx1"/>
                        </w14:solidFill>
                      </w14:textFill>
                    </w:rPr>
                    <w:t>水源地</w:t>
                  </w:r>
                  <w:r>
                    <w:rPr>
                      <w:rFonts w:hint="default" w:ascii="Times New Roman" w:hAnsi="Times New Roman" w:eastAsia="宋体" w:cs="Times New Roman"/>
                      <w:color w:val="000000" w:themeColor="text1"/>
                      <w:sz w:val="21"/>
                      <w:szCs w:val="21"/>
                      <w14:textFill>
                        <w14:solidFill>
                          <w14:schemeClr w14:val="tx1"/>
                        </w14:solidFill>
                      </w14:textFill>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3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建设项目环境影响评价豁免管理名录</w:t>
                  </w:r>
                </w:p>
              </w:tc>
              <w:tc>
                <w:tcPr>
                  <w:tcW w:w="4923" w:type="dxa"/>
                  <w:gridSpan w:val="2"/>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查无相关条目</w:t>
                  </w:r>
                </w:p>
              </w:tc>
              <w:tc>
                <w:tcPr>
                  <w:tcW w:w="1323"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本项目产品为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电机机壳和端盖</w:t>
                  </w:r>
                </w:p>
              </w:tc>
              <w:tc>
                <w:tcPr>
                  <w:tcW w:w="1136"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30" w:type="dxa"/>
                  <w:vMerge w:val="restart"/>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污染防治（控）重点单元</w:t>
                  </w:r>
                </w:p>
              </w:tc>
              <w:tc>
                <w:tcPr>
                  <w:tcW w:w="136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水污染</w:t>
                  </w:r>
                </w:p>
              </w:tc>
              <w:tc>
                <w:tcPr>
                  <w:tcW w:w="3563"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卫河流域：新乡市区、新乡县、卫辉市、辉县市、获嘉县</w:t>
                  </w:r>
                </w:p>
              </w:tc>
              <w:tc>
                <w:tcPr>
                  <w:tcW w:w="1323" w:type="dxa"/>
                  <w:vMerge w:val="restart"/>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本项目位于</w:t>
                  </w:r>
                  <w:r>
                    <w:rPr>
                      <w:rFonts w:hint="eastAsia" w:cs="Times New Roman"/>
                      <w:color w:val="000000" w:themeColor="text1"/>
                      <w:sz w:val="21"/>
                      <w:szCs w:val="21"/>
                      <w:lang w:eastAsia="zh-CN"/>
                      <w14:textFill>
                        <w14:solidFill>
                          <w14:schemeClr w14:val="tx1"/>
                        </w14:solidFill>
                      </w14:textFill>
                    </w:rPr>
                    <w:t>新乡县</w:t>
                  </w:r>
                </w:p>
              </w:tc>
              <w:tc>
                <w:tcPr>
                  <w:tcW w:w="1136"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13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36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大气污染</w:t>
                  </w:r>
                </w:p>
              </w:tc>
              <w:tc>
                <w:tcPr>
                  <w:tcW w:w="3563"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新乡市域全部</w:t>
                  </w:r>
                </w:p>
              </w:tc>
              <w:tc>
                <w:tcPr>
                  <w:tcW w:w="1323"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136"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1" w:hRule="atLeast"/>
                <w:jc w:val="center"/>
              </w:trPr>
              <w:tc>
                <w:tcPr>
                  <w:tcW w:w="113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36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重金属污染</w:t>
                  </w:r>
                </w:p>
              </w:tc>
              <w:tc>
                <w:tcPr>
                  <w:tcW w:w="3563"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新乡县、凤泉区（铅镉污染防控区）</w:t>
                  </w:r>
                </w:p>
              </w:tc>
              <w:tc>
                <w:tcPr>
                  <w:tcW w:w="1323"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1136"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属于</w:t>
                  </w:r>
                </w:p>
              </w:tc>
            </w:tr>
          </w:tbl>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由上表可知，本项目厂址位于</w:t>
            </w:r>
            <w:r>
              <w:rPr>
                <w:rFonts w:hint="eastAsia" w:cs="Times New Roman"/>
                <w:color w:val="000000" w:themeColor="text1"/>
                <w:sz w:val="24"/>
                <w:szCs w:val="24"/>
                <w:lang w:eastAsia="zh-CN"/>
                <w14:textFill>
                  <w14:solidFill>
                    <w14:schemeClr w14:val="tx1"/>
                  </w14:solidFill>
                </w14:textFill>
              </w:rPr>
              <w:t>新乡市新乡县合河乡新王线东北永康路口南100米</w:t>
            </w:r>
            <w:r>
              <w:rPr>
                <w:rFonts w:hint="default" w:ascii="Times New Roman" w:hAnsi="Times New Roman" w:eastAsia="宋体" w:cs="Times New Roman"/>
                <w:color w:val="000000" w:themeColor="text1"/>
                <w:sz w:val="24"/>
                <w:szCs w:val="24"/>
                <w14:textFill>
                  <w14:solidFill>
                    <w14:schemeClr w14:val="tx1"/>
                  </w14:solidFill>
                </w14:textFill>
              </w:rPr>
              <w:t>，属于新乡市主体功能区的重点开发区域</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不在新乡市集中水源地保护区范围内，不在新乡市村镇集中水井群范围内，项目生产过程中不产生重金属污染物</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对照新环[2015]342号文，本项目不在新乡市规定的工业准入优先区、城市人居功能区、农产品主产区和特殊环境敏感区等4个区域，根据文件要求，若项目所在地不在所列4种类型分区涵盖的区域，应参照农产品主产区的环境准入政策执行。</w:t>
            </w:r>
            <w:r>
              <w:rPr>
                <w:rFonts w:hint="default" w:ascii="Times New Roman" w:hAnsi="Times New Roman" w:eastAsia="宋体" w:cs="Times New Roman"/>
                <w:color w:val="000000" w:themeColor="text1"/>
                <w:sz w:val="24"/>
                <w:szCs w:val="24"/>
                <w14:textFill>
                  <w14:solidFill>
                    <w14:schemeClr w14:val="tx1"/>
                  </w14:solidFill>
                </w14:textFill>
              </w:rPr>
              <w:t>本项目与</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农产品主产区</w:t>
            </w:r>
            <w:r>
              <w:rPr>
                <w:rFonts w:hint="default" w:ascii="Times New Roman" w:hAnsi="Times New Roman" w:eastAsia="宋体" w:cs="Times New Roman"/>
                <w:color w:val="000000" w:themeColor="text1"/>
                <w:sz w:val="24"/>
                <w:szCs w:val="24"/>
                <w14:textFill>
                  <w14:solidFill>
                    <w14:schemeClr w14:val="tx1"/>
                  </w14:solidFill>
                </w14:textFill>
              </w:rPr>
              <w:t>的环境准入政策要求相符性分析见表</w:t>
            </w:r>
            <w:r>
              <w:rPr>
                <w:rFonts w:hint="eastAsia"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14:textFill>
                  <w14:solidFill>
                    <w14:schemeClr w14:val="tx1"/>
                  </w14:solidFill>
                </w14:textFill>
              </w:rPr>
              <w:t>。</w:t>
            </w:r>
          </w:p>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表</w:t>
            </w:r>
            <w:r>
              <w:rPr>
                <w:rFonts w:hint="eastAsia"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14:textFill>
                  <w14:solidFill>
                    <w14:schemeClr w14:val="tx1"/>
                  </w14:solidFill>
                </w14:textFill>
              </w:rPr>
              <w:t xml:space="preserve">     项目与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农产品主产区</w:t>
            </w:r>
            <w:r>
              <w:rPr>
                <w:rFonts w:hint="default" w:ascii="Times New Roman" w:hAnsi="Times New Roman" w:eastAsia="宋体" w:cs="Times New Roman"/>
                <w:color w:val="000000" w:themeColor="text1"/>
                <w:sz w:val="24"/>
                <w:szCs w:val="24"/>
                <w14:textFill>
                  <w14:solidFill>
                    <w14:schemeClr w14:val="tx1"/>
                  </w14:solidFill>
                </w14:textFill>
              </w:rPr>
              <w:t>环境准入政策要求相符性分析</w:t>
            </w:r>
          </w:p>
          <w:tbl>
            <w:tblPr>
              <w:tblStyle w:val="15"/>
              <w:tblW w:w="861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0"/>
              <w:gridCol w:w="3968"/>
              <w:gridCol w:w="1984"/>
              <w:gridCol w:w="19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8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类别</w:t>
                  </w:r>
                </w:p>
              </w:tc>
              <w:tc>
                <w:tcPr>
                  <w:tcW w:w="3968"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内容</w:t>
                  </w:r>
                </w:p>
              </w:tc>
              <w:tc>
                <w:tcPr>
                  <w:tcW w:w="1984"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本项目情况</w:t>
                  </w:r>
                </w:p>
              </w:tc>
              <w:tc>
                <w:tcPr>
                  <w:tcW w:w="1984"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80" w:type="dxa"/>
                  <w:vMerge w:val="restart"/>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农产品主产区</w:t>
                  </w:r>
                  <w:r>
                    <w:rPr>
                      <w:rFonts w:hint="default" w:ascii="Times New Roman" w:hAnsi="Times New Roman" w:cs="Times New Roman"/>
                      <w:b w:val="0"/>
                      <w:bCs w:val="0"/>
                      <w:color w:val="000000" w:themeColor="text1"/>
                      <w:sz w:val="21"/>
                      <w:szCs w:val="21"/>
                      <w14:textFill>
                        <w14:solidFill>
                          <w14:schemeClr w14:val="tx1"/>
                        </w14:solidFill>
                      </w14:textFill>
                    </w:rPr>
                    <w:t>环境准入政策</w:t>
                  </w:r>
                </w:p>
                <w:p>
                  <w:pPr>
                    <w:pStyle w:val="2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68" w:type="dxa"/>
                  <w:tcBorders>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1.取消部分审批事项。对《建设项目环境影响评价豁免管理名录（修订）》内的所有项目，不需办理环评手续。</w:t>
                  </w:r>
                </w:p>
              </w:tc>
              <w:tc>
                <w:tcPr>
                  <w:tcW w:w="1984" w:type="dxa"/>
                  <w:tcBorders>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eastAsia="zh-CN"/>
                      <w14:textFill>
                        <w14:solidFill>
                          <w14:schemeClr w14:val="tx1"/>
                        </w14:solidFill>
                      </w14:textFill>
                    </w:rPr>
                    <w:t>本项目为</w:t>
                  </w:r>
                  <w:r>
                    <w:rPr>
                      <w:rFonts w:hint="eastAsia" w:cs="Times New Roman"/>
                      <w:color w:val="000000" w:themeColor="text1"/>
                      <w:sz w:val="21"/>
                      <w:szCs w:val="21"/>
                      <w:lang w:val="en-US" w:eastAsia="zh-CN"/>
                      <w14:textFill>
                        <w14:solidFill>
                          <w14:schemeClr w14:val="tx1"/>
                        </w14:solidFill>
                      </w14:textFill>
                    </w:rPr>
                    <w:t>机械配件</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生产</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p>
              </w:tc>
              <w:tc>
                <w:tcPr>
                  <w:tcW w:w="1984" w:type="dxa"/>
                  <w:tcBorders>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8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p>
              </w:tc>
              <w:tc>
                <w:tcPr>
                  <w:tcW w:w="3968"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tc>
              <w:tc>
                <w:tcPr>
                  <w:tcW w:w="1984"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本项目为</w:t>
                  </w:r>
                  <w:r>
                    <w:rPr>
                      <w:rFonts w:hint="eastAsia" w:cs="Times New Roman"/>
                      <w:color w:val="000000" w:themeColor="text1"/>
                      <w:sz w:val="21"/>
                      <w:szCs w:val="21"/>
                      <w:lang w:val="en-US" w:eastAsia="zh-CN"/>
                      <w14:textFill>
                        <w14:solidFill>
                          <w14:schemeClr w14:val="tx1"/>
                        </w14:solidFill>
                      </w14:textFill>
                    </w:rPr>
                    <w:t>机械配件</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生产</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p>
              </w:tc>
              <w:tc>
                <w:tcPr>
                  <w:tcW w:w="1984"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8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p>
              </w:tc>
              <w:tc>
                <w:tcPr>
                  <w:tcW w:w="3968"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1984"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eastAsia="zh-CN"/>
                      <w14:textFill>
                        <w14:solidFill>
                          <w14:schemeClr w14:val="tx1"/>
                        </w14:solidFill>
                      </w14:textFill>
                    </w:rPr>
                    <w:t>本项目为</w:t>
                  </w:r>
                  <w:r>
                    <w:rPr>
                      <w:rFonts w:hint="eastAsia" w:cs="Times New Roman"/>
                      <w:color w:val="000000" w:themeColor="text1"/>
                      <w:sz w:val="21"/>
                      <w:szCs w:val="21"/>
                      <w:lang w:val="en-US" w:eastAsia="zh-CN"/>
                      <w14:textFill>
                        <w14:solidFill>
                          <w14:schemeClr w14:val="tx1"/>
                        </w14:solidFill>
                      </w14:textFill>
                    </w:rPr>
                    <w:t>机械配件</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生产</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auto"/>
                      <w:sz w:val="21"/>
                      <w:szCs w:val="21"/>
                      <w:highlight w:val="none"/>
                      <w:u w:val="none"/>
                      <w:vertAlign w:val="baseline"/>
                      <w:lang w:val="en-US" w:eastAsia="zh-CN"/>
                    </w:rPr>
                    <w:t>属于</w:t>
                  </w:r>
                  <w:r>
                    <w:rPr>
                      <w:rFonts w:hint="eastAsia" w:ascii="Times New Roman" w:hAnsi="Times New Roman" w:cs="Times New Roman"/>
                      <w:color w:val="auto"/>
                      <w:sz w:val="21"/>
                      <w:szCs w:val="21"/>
                      <w:highlight w:val="none"/>
                      <w:u w:val="none"/>
                      <w:vertAlign w:val="baseline"/>
                      <w:lang w:val="en-US" w:eastAsia="zh-CN"/>
                    </w:rPr>
                    <w:t>二类</w:t>
                  </w:r>
                  <w:r>
                    <w:rPr>
                      <w:rFonts w:hint="default" w:ascii="Times New Roman" w:hAnsi="Times New Roman" w:cs="Times New Roman"/>
                      <w:color w:val="auto"/>
                      <w:sz w:val="21"/>
                      <w:szCs w:val="21"/>
                      <w:highlight w:val="none"/>
                      <w:u w:val="none"/>
                      <w:vertAlign w:val="baseline"/>
                      <w:lang w:val="en-US" w:eastAsia="zh-CN"/>
                    </w:rPr>
                    <w:t>工业项目</w:t>
                  </w:r>
                </w:p>
              </w:tc>
              <w:tc>
                <w:tcPr>
                  <w:tcW w:w="1984" w:type="dxa"/>
                  <w:tcBorders>
                    <w:top w:val="single" w:color="auto" w:sz="4" w:space="0"/>
                    <w:bottom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本项目不属于严控重污染项目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80" w:type="dxa"/>
                  <w:vMerge w:val="continue"/>
                  <w:noWrap w:val="0"/>
                  <w:vAlign w:val="center"/>
                </w:tcPr>
                <w:p>
                  <w:pPr>
                    <w:pStyle w:val="2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p>
              </w:tc>
              <w:tc>
                <w:tcPr>
                  <w:tcW w:w="3968" w:type="dxa"/>
                  <w:tcBorders>
                    <w:top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4.严控部分区域重污染项目。在《水污染防治重点单元》区域内不予审批屠宰、酿造、含发酵工艺的粮食加工等废水排放量大且废水无法进入集中式污水处理厂处理的项目。</w:t>
                  </w:r>
                </w:p>
              </w:tc>
              <w:tc>
                <w:tcPr>
                  <w:tcW w:w="1984" w:type="dxa"/>
                  <w:tcBorders>
                    <w:top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eastAsia="zh-CN"/>
                      <w14:textFill>
                        <w14:solidFill>
                          <w14:schemeClr w14:val="tx1"/>
                        </w14:solidFill>
                      </w14:textFill>
                    </w:rPr>
                    <w:t>本项目位于</w:t>
                  </w:r>
                  <w:r>
                    <w:rPr>
                      <w:rFonts w:hint="eastAsia" w:cs="Times New Roman"/>
                      <w:b w:val="0"/>
                      <w:bCs w:val="0"/>
                      <w:color w:val="000000" w:themeColor="text1"/>
                      <w:sz w:val="21"/>
                      <w:szCs w:val="21"/>
                      <w:u w:val="none"/>
                      <w:lang w:eastAsia="zh-CN"/>
                      <w14:textFill>
                        <w14:solidFill>
                          <w14:schemeClr w14:val="tx1"/>
                        </w14:solidFill>
                      </w14:textFill>
                    </w:rPr>
                    <w:t>新乡市新乡县合河乡</w:t>
                  </w:r>
                  <w:r>
                    <w:rPr>
                      <w:rFonts w:hint="eastAsia" w:ascii="Times New Roman" w:hAnsi="Times New Roman" w:cs="Times New Roman"/>
                      <w:color w:val="000000" w:themeColor="text1"/>
                      <w:sz w:val="21"/>
                      <w:szCs w:val="21"/>
                      <w:lang w:eastAsia="zh-CN"/>
                      <w14:textFill>
                        <w14:solidFill>
                          <w14:schemeClr w14:val="tx1"/>
                        </w14:solidFill>
                      </w14:textFill>
                    </w:rPr>
                    <w:t>，为</w:t>
                  </w:r>
                  <w:r>
                    <w:rPr>
                      <w:rFonts w:hint="eastAsia" w:cs="Times New Roman"/>
                      <w:color w:val="000000" w:themeColor="text1"/>
                      <w:sz w:val="21"/>
                      <w:szCs w:val="21"/>
                      <w:lang w:val="en-US" w:eastAsia="zh-CN"/>
                      <w14:textFill>
                        <w14:solidFill>
                          <w14:schemeClr w14:val="tx1"/>
                        </w14:solidFill>
                      </w14:textFill>
                    </w:rPr>
                    <w:t>机械配件</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生产</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r>
                    <w:rPr>
                      <w:rFonts w:hint="eastAsia" w:cs="Times New Roman"/>
                      <w:color w:val="000000" w:themeColor="text1"/>
                      <w:sz w:val="21"/>
                      <w:szCs w:val="21"/>
                      <w:lang w:val="en-US" w:eastAsia="zh-CN"/>
                      <w14:textFill>
                        <w14:solidFill>
                          <w14:schemeClr w14:val="tx1"/>
                        </w14:solidFill>
                      </w14:textFill>
                    </w:rPr>
                    <w:t>，项目无生产废水产生，生活污水经化粪池处理后定期清运，不外排</w:t>
                  </w:r>
                </w:p>
              </w:tc>
              <w:tc>
                <w:tcPr>
                  <w:tcW w:w="1984" w:type="dxa"/>
                  <w:tcBorders>
                    <w:top w:val="single" w:color="auto" w:sz="4" w:space="0"/>
                  </w:tcBorders>
                  <w:noWrap w:val="0"/>
                  <w:vAlign w:val="center"/>
                </w:tcPr>
                <w:p>
                  <w:pPr>
                    <w:pStyle w:val="20"/>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本项目在《水污染防治重点单元》内</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但不属于</w:t>
                  </w:r>
                  <w:r>
                    <w:rPr>
                      <w:rFonts w:hint="default" w:ascii="Times New Roman" w:hAnsi="Times New Roman" w:cs="Times New Roman"/>
                      <w:color w:val="000000" w:themeColor="text1"/>
                      <w:sz w:val="21"/>
                      <w:szCs w:val="21"/>
                      <w14:textFill>
                        <w14:solidFill>
                          <w14:schemeClr w14:val="tx1"/>
                        </w14:solidFill>
                      </w14:textFill>
                    </w:rPr>
                    <w:t>屠宰、酿造、含发酵工艺的粮食加工等废水排放量大且废水无法进入集中式污水处理厂处理的项目</w:t>
                  </w:r>
                </w:p>
              </w:tc>
            </w:tr>
          </w:tbl>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由表</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rPr>
              <w:t>可知，本项目不属于《通知》中所列不予审批的项目，符合审批条件。</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w:t>
            </w:r>
            <w:r>
              <w:rPr>
                <w:rFonts w:hint="eastAsia" w:cs="Times New Roman"/>
                <w:b/>
                <w:bCs/>
                <w:color w:val="auto"/>
                <w:sz w:val="24"/>
                <w:szCs w:val="24"/>
                <w:highlight w:val="none"/>
                <w:lang w:eastAsia="zh-CN"/>
              </w:rPr>
              <w:t>三</w:t>
            </w:r>
            <w:r>
              <w:rPr>
                <w:rFonts w:hint="default" w:ascii="Times New Roman" w:hAnsi="Times New Roman" w:eastAsia="宋体" w:cs="Times New Roman"/>
                <w:b/>
                <w:bCs w:val="0"/>
                <w:color w:val="auto"/>
                <w:sz w:val="24"/>
                <w:szCs w:val="24"/>
                <w:lang w:val="en-US" w:eastAsia="zh-CN"/>
              </w:rPr>
              <w:t>）与生态环境部发布的《关于印发&lt;京津冀及周边地区2018-2019 年秋冬季大气污染综合治理攻坚行动方案&gt;的通知》（环大气[2018]100号）（以下简称《通知》）进行对照分析。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i w:val="0"/>
                <w:iCs w:val="0"/>
                <w:color w:val="auto"/>
                <w:sz w:val="24"/>
                <w:szCs w:val="24"/>
                <w:u w:val="none"/>
                <w:lang w:val="en-US" w:eastAsia="zh-CN"/>
              </w:rPr>
            </w:pPr>
            <w:r>
              <w:rPr>
                <w:rFonts w:hint="default" w:ascii="Times New Roman" w:hAnsi="Times New Roman" w:eastAsia="宋体" w:cs="Times New Roman"/>
                <w:b w:val="0"/>
                <w:bCs w:val="0"/>
                <w:i w:val="0"/>
                <w:iCs w:val="0"/>
                <w:color w:val="auto"/>
                <w:sz w:val="24"/>
                <w:szCs w:val="24"/>
                <w:u w:val="none"/>
                <w:lang w:val="en-US" w:eastAsia="zh-CN"/>
              </w:rPr>
              <w:t>表</w:t>
            </w:r>
            <w:r>
              <w:rPr>
                <w:rFonts w:hint="eastAsia" w:cs="Times New Roman"/>
                <w:b w:val="0"/>
                <w:bCs w:val="0"/>
                <w:i w:val="0"/>
                <w:iCs w:val="0"/>
                <w:color w:val="auto"/>
                <w:sz w:val="24"/>
                <w:szCs w:val="24"/>
                <w:u w:val="none"/>
                <w:lang w:val="en-US" w:eastAsia="zh-CN"/>
              </w:rPr>
              <w:t>8</w:t>
            </w:r>
            <w:r>
              <w:rPr>
                <w:rFonts w:hint="default" w:ascii="Times New Roman" w:hAnsi="Times New Roman" w:eastAsia="宋体" w:cs="Times New Roman"/>
                <w:b w:val="0"/>
                <w:bCs w:val="0"/>
                <w:i w:val="0"/>
                <w:iCs w:val="0"/>
                <w:color w:val="auto"/>
                <w:sz w:val="24"/>
                <w:szCs w:val="24"/>
                <w:u w:val="none"/>
                <w:lang w:val="en-US" w:eastAsia="zh-CN"/>
              </w:rPr>
              <w:t xml:space="preserve">         项目与《</w:t>
            </w:r>
            <w:r>
              <w:rPr>
                <w:rFonts w:hint="default" w:ascii="Times New Roman" w:hAnsi="Times New Roman" w:eastAsia="宋体" w:cs="Times New Roman"/>
                <w:b w:val="0"/>
                <w:bCs w:val="0"/>
                <w:color w:val="auto"/>
                <w:sz w:val="24"/>
                <w:szCs w:val="24"/>
                <w:u w:val="none"/>
                <w:lang w:val="en-US" w:eastAsia="zh-CN"/>
              </w:rPr>
              <w:t>通知</w:t>
            </w:r>
            <w:r>
              <w:rPr>
                <w:rFonts w:hint="default" w:ascii="Times New Roman" w:hAnsi="Times New Roman" w:eastAsia="宋体" w:cs="Times New Roman"/>
                <w:b w:val="0"/>
                <w:bCs w:val="0"/>
                <w:i w:val="0"/>
                <w:iCs w:val="0"/>
                <w:color w:val="auto"/>
                <w:sz w:val="24"/>
                <w:szCs w:val="24"/>
                <w:u w:val="none"/>
                <w:lang w:val="en-US" w:eastAsia="zh-CN"/>
              </w:rPr>
              <w:t>》相符性分析</w:t>
            </w:r>
          </w:p>
          <w:tbl>
            <w:tblPr>
              <w:tblStyle w:val="16"/>
              <w:tblW w:w="861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0"/>
              <w:gridCol w:w="5216"/>
              <w:gridCol w:w="1871"/>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lang w:eastAsia="zh-CN"/>
                    </w:rPr>
                    <w:t>类别</w:t>
                  </w:r>
                </w:p>
              </w:tc>
              <w:tc>
                <w:tcPr>
                  <w:tcW w:w="52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lang w:val="en-US" w:eastAsia="zh-CN"/>
                    </w:rPr>
                    <w:t>《京津冀及周边地区2018-2019年秋冬季大气污染综合治理攻坚行动方案》</w:t>
                  </w:r>
                  <w:r>
                    <w:rPr>
                      <w:rFonts w:hint="default" w:ascii="Times New Roman" w:hAnsi="Times New Roman" w:eastAsia="宋体" w:cs="Times New Roman"/>
                      <w:b w:val="0"/>
                      <w:bCs w:val="0"/>
                      <w:color w:val="auto"/>
                      <w:kern w:val="0"/>
                      <w:sz w:val="21"/>
                      <w:szCs w:val="21"/>
                      <w:u w:val="none"/>
                    </w:rPr>
                    <w:t>中有关要求</w:t>
                  </w:r>
                </w:p>
              </w:tc>
              <w:tc>
                <w:tcPr>
                  <w:tcW w:w="18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rPr>
                    <w:t>企业建设情况</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eastAsia="zh-CN"/>
                    </w:rPr>
                  </w:pPr>
                  <w:r>
                    <w:rPr>
                      <w:rFonts w:hint="default" w:ascii="Times New Roman" w:hAnsi="Times New Roman" w:eastAsia="宋体" w:cs="Times New Roman"/>
                      <w:b w:val="0"/>
                      <w:bCs w:val="0"/>
                      <w:color w:val="auto"/>
                      <w:kern w:val="0"/>
                      <w:sz w:val="21"/>
                      <w:szCs w:val="21"/>
                      <w:u w:val="none"/>
                      <w:lang w:eastAsia="zh-CN"/>
                    </w:rPr>
                    <w:t>一、总体要求</w:t>
                  </w:r>
                </w:p>
              </w:tc>
              <w:tc>
                <w:tcPr>
                  <w:tcW w:w="5216"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val="en-US" w:eastAsia="zh-CN"/>
                    </w:rPr>
                    <w:t>实施范围：京津冀及周边地区，包含北京市，天津市，河北省石家庄、唐山、邯郸、邢台、保定、沧州、廊坊、衡水市，山西省太原、阳泉、长治、晋城市，山东省济南、淄博、济宁、德州、聊城、滨州、菏泽市，河南省郑州、开封、安阳、鹤壁、新乡、焦作、濮阳市（以下简称“2+26”城市，含河北省定州市、辛集市，河南省济源市）。</w:t>
                  </w:r>
                </w:p>
              </w:tc>
              <w:tc>
                <w:tcPr>
                  <w:tcW w:w="18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eastAsia="zh-CN"/>
                    </w:rPr>
                  </w:pPr>
                  <w:r>
                    <w:rPr>
                      <w:rFonts w:hint="default" w:ascii="Times New Roman" w:hAnsi="Times New Roman" w:eastAsia="宋体" w:cs="Times New Roman"/>
                      <w:b w:val="0"/>
                      <w:bCs w:val="0"/>
                      <w:color w:val="auto"/>
                      <w:kern w:val="0"/>
                      <w:sz w:val="21"/>
                      <w:szCs w:val="21"/>
                      <w:u w:val="none"/>
                      <w:lang w:eastAsia="zh-CN"/>
                    </w:rPr>
                    <w:t>本项目位于</w:t>
                  </w:r>
                  <w:r>
                    <w:rPr>
                      <w:rFonts w:hint="eastAsia" w:cs="Times New Roman"/>
                      <w:b w:val="0"/>
                      <w:bCs w:val="0"/>
                      <w:color w:val="auto"/>
                      <w:kern w:val="0"/>
                      <w:sz w:val="21"/>
                      <w:szCs w:val="21"/>
                      <w:u w:val="none"/>
                      <w:lang w:eastAsia="zh-CN"/>
                    </w:rPr>
                    <w:t>新乡市新乡县合河乡</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eastAsia="zh-CN"/>
                    </w:rPr>
                  </w:pPr>
                  <w:r>
                    <w:rPr>
                      <w:rFonts w:hint="default" w:ascii="Times New Roman" w:hAnsi="Times New Roman" w:eastAsia="宋体" w:cs="Times New Roman"/>
                      <w:b w:val="0"/>
                      <w:bCs w:val="0"/>
                      <w:color w:val="auto"/>
                      <w:kern w:val="0"/>
                      <w:sz w:val="21"/>
                      <w:szCs w:val="21"/>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val="en-US" w:eastAsia="zh-CN"/>
                    </w:rPr>
                    <w:t>（一）调整优化产业结构</w:t>
                  </w:r>
                </w:p>
              </w:tc>
              <w:tc>
                <w:tcPr>
                  <w:tcW w:w="5216" w:type="dxa"/>
                  <w:noWrap w:val="0"/>
                  <w:vAlign w:val="center"/>
                </w:tcPr>
                <w:p>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rPr>
                  </w:pPr>
                  <w:r>
                    <w:rPr>
                      <w:rFonts w:hint="default" w:ascii="Times New Roman" w:hAnsi="Times New Roman" w:eastAsia="宋体" w:cs="Times New Roman"/>
                      <w:b w:val="0"/>
                      <w:bCs w:val="0"/>
                      <w:color w:val="auto"/>
                      <w:kern w:val="0"/>
                      <w:sz w:val="21"/>
                      <w:szCs w:val="21"/>
                      <w:u w:val="none"/>
                    </w:rPr>
                    <w:t>严</w:t>
                  </w:r>
                  <w:r>
                    <w:rPr>
                      <w:rFonts w:hint="eastAsia" w:ascii="宋体" w:hAnsi="宋体" w:eastAsia="宋体" w:cs="宋体"/>
                      <w:b w:val="0"/>
                      <w:bCs w:val="0"/>
                      <w:color w:val="auto"/>
                      <w:kern w:val="0"/>
                      <w:sz w:val="21"/>
                      <w:szCs w:val="21"/>
                      <w:u w:val="none"/>
                    </w:rPr>
                    <w:t>控“两高”</w:t>
                  </w:r>
                  <w:r>
                    <w:rPr>
                      <w:rFonts w:hint="default" w:ascii="Times New Roman" w:hAnsi="Times New Roman" w:eastAsia="宋体" w:cs="Times New Roman"/>
                      <w:b w:val="0"/>
                      <w:bCs w:val="0"/>
                      <w:color w:val="auto"/>
                      <w:kern w:val="0"/>
                      <w:sz w:val="21"/>
                      <w:szCs w:val="21"/>
                      <w:u w:val="none"/>
                    </w:rPr>
                    <w:t>行业产能。加快城市建成区重污染企业搬迁改造或关闭退出</w:t>
                  </w:r>
                  <w:r>
                    <w:rPr>
                      <w:rFonts w:hint="default" w:ascii="Times New Roman" w:hAnsi="Times New Roman" w:eastAsia="宋体" w:cs="Times New Roman"/>
                      <w:b w:val="0"/>
                      <w:bCs w:val="0"/>
                      <w:color w:val="auto"/>
                      <w:kern w:val="0"/>
                      <w:sz w:val="21"/>
                      <w:szCs w:val="21"/>
                      <w:u w:val="none"/>
                      <w:lang w:eastAsia="zh-CN"/>
                    </w:rPr>
                    <w:t>，</w:t>
                  </w:r>
                  <w:r>
                    <w:rPr>
                      <w:rFonts w:hint="default" w:ascii="Times New Roman" w:hAnsi="Times New Roman" w:eastAsia="宋体" w:cs="Times New Roman"/>
                      <w:b w:val="0"/>
                      <w:bCs w:val="0"/>
                      <w:color w:val="auto"/>
                      <w:kern w:val="0"/>
                      <w:sz w:val="21"/>
                      <w:szCs w:val="21"/>
                      <w:u w:val="none"/>
                    </w:rPr>
                    <w:t>推动实施一批水泥、玻璃、焦化、化工等重污染企业搬迁工程。城市建成区钢铁企业要切实采取彻底关停、转型发展、就地改造、域外搬迁等方式实施分类处置。钢铁等重污染企业搬迁应重点向区外转移。唐山、邯郸、安阳市不允许新建、扩建单纯新增产能的钢铁项目，禁止省外钢铁企业搬迁转移至该地。</w:t>
                  </w:r>
                </w:p>
              </w:tc>
              <w:tc>
                <w:tcPr>
                  <w:tcW w:w="18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eastAsia="zh-CN"/>
                    </w:rPr>
                    <w:t>本项目位于</w:t>
                  </w:r>
                  <w:r>
                    <w:rPr>
                      <w:rFonts w:hint="eastAsia" w:cs="Times New Roman"/>
                      <w:b w:val="0"/>
                      <w:bCs w:val="0"/>
                      <w:color w:val="auto"/>
                      <w:kern w:val="0"/>
                      <w:sz w:val="21"/>
                      <w:szCs w:val="21"/>
                      <w:u w:val="none"/>
                      <w:lang w:eastAsia="zh-CN"/>
                    </w:rPr>
                    <w:t>新乡市新乡县合河乡</w:t>
                  </w:r>
                  <w:r>
                    <w:rPr>
                      <w:rFonts w:hint="default" w:ascii="Times New Roman" w:hAnsi="Times New Roman" w:eastAsia="宋体" w:cs="Times New Roman"/>
                      <w:b w:val="0"/>
                      <w:bCs w:val="0"/>
                      <w:color w:val="auto"/>
                      <w:sz w:val="21"/>
                      <w:szCs w:val="21"/>
                      <w:u w:val="none"/>
                      <w:lang w:eastAsia="zh-CN"/>
                    </w:rPr>
                    <w:t>，</w:t>
                  </w:r>
                  <w:r>
                    <w:rPr>
                      <w:rFonts w:hint="default" w:ascii="Times New Roman" w:hAnsi="Times New Roman" w:eastAsia="宋体" w:cs="Times New Roman"/>
                      <w:b w:val="0"/>
                      <w:bCs w:val="0"/>
                      <w:color w:val="auto"/>
                      <w:kern w:val="0"/>
                      <w:sz w:val="21"/>
                      <w:szCs w:val="21"/>
                      <w:u w:val="none"/>
                      <w:lang w:val="en-US" w:eastAsia="zh-CN" w:bidi="ar-SA"/>
                    </w:rPr>
                    <w:t>属于</w:t>
                  </w:r>
                  <w:r>
                    <w:rPr>
                      <w:rFonts w:hint="eastAsia" w:cs="Times New Roman"/>
                      <w:color w:val="auto"/>
                      <w:sz w:val="21"/>
                      <w:szCs w:val="21"/>
                      <w:lang w:eastAsia="zh-CN"/>
                    </w:rPr>
                    <w:t>电动机制造</w:t>
                  </w:r>
                  <w:r>
                    <w:rPr>
                      <w:rFonts w:hint="default" w:ascii="Times New Roman" w:hAnsi="Times New Roman" w:eastAsia="宋体" w:cs="Times New Roman"/>
                      <w:b w:val="0"/>
                      <w:bCs w:val="0"/>
                      <w:color w:val="auto"/>
                      <w:sz w:val="21"/>
                      <w:szCs w:val="21"/>
                      <w:u w:val="none"/>
                      <w:vertAlign w:val="baseline"/>
                      <w:lang w:val="en-US" w:eastAsia="zh-CN"/>
                    </w:rPr>
                    <w:t>（行业代码：</w:t>
                  </w:r>
                  <w:r>
                    <w:rPr>
                      <w:rFonts w:hint="eastAsia" w:cs="Times New Roman"/>
                      <w:color w:val="auto"/>
                      <w:sz w:val="21"/>
                      <w:szCs w:val="21"/>
                      <w:lang w:eastAsia="zh-CN"/>
                    </w:rPr>
                    <w:t>C3812</w:t>
                  </w:r>
                  <w:r>
                    <w:rPr>
                      <w:rFonts w:hint="default" w:ascii="Times New Roman" w:hAnsi="Times New Roman" w:eastAsia="宋体" w:cs="Times New Roman"/>
                      <w:b w:val="0"/>
                      <w:bCs w:val="0"/>
                      <w:color w:val="auto"/>
                      <w:sz w:val="21"/>
                      <w:szCs w:val="21"/>
                      <w:u w:val="none"/>
                      <w:vertAlign w:val="baseline"/>
                      <w:lang w:val="en-US" w:eastAsia="zh-CN"/>
                    </w:rPr>
                    <w:t>），</w:t>
                  </w:r>
                  <w:r>
                    <w:rPr>
                      <w:rFonts w:hint="default" w:ascii="Times New Roman" w:hAnsi="Times New Roman" w:eastAsia="宋体" w:cs="Times New Roman"/>
                      <w:b w:val="0"/>
                      <w:bCs w:val="0"/>
                      <w:color w:val="auto"/>
                      <w:sz w:val="21"/>
                      <w:szCs w:val="21"/>
                      <w:u w:val="none"/>
                      <w:lang w:val="en-US" w:eastAsia="zh-CN"/>
                    </w:rPr>
                    <w:t>不属于“两高”行业，不属于禁止建设项目</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eastAsia="zh-CN"/>
                    </w:rPr>
                    <w:t>符合行动方案要求</w:t>
                  </w:r>
                </w:p>
              </w:tc>
            </w:tr>
          </w:tbl>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经对照分析，本项目建设符合《京津冀及周边地区2018-2019 年秋冬季大气污染综合治理攻坚行动方案》（环大气[2018]100号）相关要求。</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（四）与《新乡市环境污染攻坚战三年行动实施方案（2018-2020年）》（新政[2018]11号）对照分析见下表</w:t>
            </w:r>
            <w:r>
              <w:rPr>
                <w:rFonts w:hint="eastAsia" w:cs="Times New Roman"/>
                <w:b/>
                <w:bCs w:val="0"/>
                <w:color w:val="auto"/>
                <w:sz w:val="24"/>
                <w:szCs w:val="24"/>
                <w:lang w:val="en-US" w:eastAsia="zh-CN"/>
              </w:rPr>
              <w:t>9</w:t>
            </w:r>
            <w:r>
              <w:rPr>
                <w:rFonts w:hint="default" w:ascii="Times New Roman" w:hAnsi="Times New Roman" w:eastAsia="宋体" w:cs="Times New Roman"/>
                <w:b/>
                <w:bCs w:val="0"/>
                <w:color w:val="auto"/>
                <w:sz w:val="24"/>
                <w:szCs w:val="24"/>
                <w:lang w:val="en-US" w:eastAsia="zh-CN"/>
              </w:rPr>
              <w:t>。</w:t>
            </w:r>
          </w:p>
          <w:p>
            <w:pPr>
              <w:pStyle w:val="2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表</w:t>
            </w:r>
            <w:r>
              <w:rPr>
                <w:rFonts w:hint="eastAsia" w:cs="Times New Roman"/>
                <w:b w:val="0"/>
                <w:bCs/>
                <w:color w:val="auto"/>
                <w:sz w:val="24"/>
                <w:szCs w:val="24"/>
                <w:lang w:val="en-US" w:eastAsia="zh-CN"/>
              </w:rPr>
              <w:t>9</w:t>
            </w:r>
            <w:r>
              <w:rPr>
                <w:rFonts w:hint="default" w:ascii="Times New Roman" w:hAnsi="Times New Roman" w:eastAsia="宋体" w:cs="Times New Roman"/>
                <w:b w:val="0"/>
                <w:bCs/>
                <w:color w:val="auto"/>
                <w:sz w:val="24"/>
                <w:szCs w:val="24"/>
                <w:lang w:val="en-US" w:eastAsia="zh-CN"/>
              </w:rPr>
              <w:t xml:space="preserve">   项目与《新乡市环境污染攻坚战三年行动实施方案》相符性分析</w:t>
            </w:r>
          </w:p>
          <w:tbl>
            <w:tblPr>
              <w:tblStyle w:val="16"/>
              <w:tblW w:w="861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0"/>
              <w:gridCol w:w="5556"/>
              <w:gridCol w:w="1531"/>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lang w:eastAsia="zh-CN"/>
                    </w:rPr>
                    <w:t>类别</w:t>
                  </w:r>
                </w:p>
              </w:tc>
              <w:tc>
                <w:tcPr>
                  <w:tcW w:w="55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lang w:val="en-US" w:eastAsia="zh-CN"/>
                    </w:rPr>
                    <w:t>《新乡市环境污染攻坚战三年行动实施方案》</w:t>
                  </w:r>
                  <w:r>
                    <w:rPr>
                      <w:rFonts w:hint="default" w:ascii="Times New Roman" w:hAnsi="Times New Roman" w:eastAsia="宋体" w:cs="Times New Roman"/>
                      <w:b w:val="0"/>
                      <w:bCs w:val="0"/>
                      <w:color w:val="auto"/>
                      <w:kern w:val="0"/>
                      <w:sz w:val="21"/>
                      <w:szCs w:val="21"/>
                      <w:u w:val="none"/>
                    </w:rPr>
                    <w:t>中有关要求</w:t>
                  </w:r>
                </w:p>
              </w:tc>
              <w:tc>
                <w:tcPr>
                  <w:tcW w:w="15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rPr>
                    <w:t>企业建设情况</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rPr>
                  </w:pPr>
                  <w:r>
                    <w:rPr>
                      <w:rFonts w:hint="default" w:ascii="Times New Roman" w:hAnsi="Times New Roman" w:eastAsia="宋体" w:cs="Times New Roman"/>
                      <w:b w:val="0"/>
                      <w:bCs w:val="0"/>
                      <w:color w:val="auto"/>
                      <w:kern w:val="0"/>
                      <w:sz w:val="21"/>
                      <w:szCs w:val="21"/>
                      <w:u w:val="none"/>
                    </w:rPr>
                    <w:t>（二）产业结构优化工程</w:t>
                  </w:r>
                </w:p>
              </w:tc>
              <w:tc>
                <w:tcPr>
                  <w:tcW w:w="55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rPr>
                  </w:pPr>
                  <w:r>
                    <w:rPr>
                      <w:rFonts w:hint="default" w:ascii="Times New Roman" w:hAnsi="Times New Roman" w:eastAsia="宋体" w:cs="Times New Roman"/>
                      <w:b w:val="0"/>
                      <w:bCs w:val="0"/>
                      <w:color w:val="auto"/>
                      <w:kern w:val="0"/>
                      <w:sz w:val="21"/>
                      <w:szCs w:val="21"/>
                      <w:u w:val="none"/>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VOCs 含量的溶剂型涂料、油墨、胶黏剂项目。其他新、改、扩建排放VOCs的项目，应从源头加强控制，使用低（无）VOCs含量的原辅材料，配套安装高效收集、治理设施，其中新建涉VOCs排放的工业企业要入园区，实行区域内VOCs排放总量倍量消减替代。新、改、扩建涉及大宗物料运输的建设项目，原则上不得采用公路运输。严格控制新增燃煤项目建设。除背压热电联产外，全市不再核准“十三五”期间新开工建设的燃煤发电项目。</w:t>
                  </w:r>
                </w:p>
              </w:tc>
              <w:tc>
                <w:tcPr>
                  <w:tcW w:w="15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val="en-US" w:eastAsia="zh-CN"/>
                    </w:rPr>
                    <w:t>本项目位于</w:t>
                  </w:r>
                  <w:r>
                    <w:rPr>
                      <w:rFonts w:hint="eastAsia" w:cs="Times New Roman"/>
                      <w:b w:val="0"/>
                      <w:bCs w:val="0"/>
                      <w:color w:val="auto"/>
                      <w:kern w:val="0"/>
                      <w:sz w:val="21"/>
                      <w:szCs w:val="21"/>
                      <w:u w:val="none"/>
                      <w:lang w:val="en-US" w:eastAsia="zh-CN"/>
                    </w:rPr>
                    <w:t>新乡市新乡县合河乡</w:t>
                  </w:r>
                  <w:r>
                    <w:rPr>
                      <w:rFonts w:hint="default" w:ascii="Times New Roman" w:hAnsi="Times New Roman" w:eastAsia="宋体" w:cs="Times New Roman"/>
                      <w:b w:val="0"/>
                      <w:bCs w:val="0"/>
                      <w:color w:val="auto"/>
                      <w:kern w:val="0"/>
                      <w:sz w:val="21"/>
                      <w:szCs w:val="21"/>
                      <w:u w:val="none"/>
                      <w:lang w:val="en-US" w:eastAsia="zh-CN"/>
                    </w:rPr>
                    <w:t>，建设年产</w:t>
                  </w:r>
                  <w:r>
                    <w:rPr>
                      <w:rFonts w:hint="eastAsia" w:cs="Times New Roman"/>
                      <w:b w:val="0"/>
                      <w:bCs w:val="0"/>
                      <w:color w:val="auto"/>
                      <w:kern w:val="0"/>
                      <w:sz w:val="21"/>
                      <w:szCs w:val="21"/>
                      <w:u w:val="none"/>
                      <w:lang w:val="en-US" w:eastAsia="zh-CN"/>
                    </w:rPr>
                    <w:t>10万件机械配件加工项目</w:t>
                  </w:r>
                  <w:r>
                    <w:rPr>
                      <w:rFonts w:hint="default" w:ascii="Times New Roman" w:hAnsi="Times New Roman" w:eastAsia="宋体" w:cs="Times New Roman"/>
                      <w:b w:val="0"/>
                      <w:bCs w:val="0"/>
                      <w:color w:val="auto"/>
                      <w:kern w:val="0"/>
                      <w:sz w:val="21"/>
                      <w:szCs w:val="21"/>
                      <w:u w:val="none"/>
                      <w:lang w:val="en-US" w:eastAsia="zh-CN"/>
                    </w:rPr>
                    <w:t>，属于</w:t>
                  </w:r>
                  <w:r>
                    <w:rPr>
                      <w:rFonts w:hint="eastAsia" w:cs="Times New Roman"/>
                      <w:b w:val="0"/>
                      <w:bCs w:val="0"/>
                      <w:color w:val="auto"/>
                      <w:kern w:val="0"/>
                      <w:sz w:val="21"/>
                      <w:szCs w:val="21"/>
                      <w:u w:val="none"/>
                      <w:lang w:val="en-US" w:eastAsia="zh-CN"/>
                    </w:rPr>
                    <w:t>电动机制造</w:t>
                  </w:r>
                  <w:r>
                    <w:rPr>
                      <w:rFonts w:hint="default" w:ascii="Times New Roman" w:hAnsi="Times New Roman" w:eastAsia="宋体" w:cs="Times New Roman"/>
                      <w:b w:val="0"/>
                      <w:bCs w:val="0"/>
                      <w:color w:val="auto"/>
                      <w:kern w:val="0"/>
                      <w:sz w:val="21"/>
                      <w:szCs w:val="21"/>
                      <w:u w:val="none"/>
                      <w:lang w:val="en-US" w:eastAsia="zh-CN"/>
                    </w:rPr>
                    <w:t>（行业代码：</w:t>
                  </w:r>
                  <w:r>
                    <w:rPr>
                      <w:rFonts w:hint="eastAsia" w:cs="Times New Roman"/>
                      <w:b w:val="0"/>
                      <w:bCs w:val="0"/>
                      <w:color w:val="auto"/>
                      <w:kern w:val="0"/>
                      <w:sz w:val="21"/>
                      <w:szCs w:val="21"/>
                      <w:u w:val="none"/>
                      <w:lang w:val="en-US" w:eastAsia="zh-CN"/>
                    </w:rPr>
                    <w:t>C3812</w:t>
                  </w:r>
                  <w:r>
                    <w:rPr>
                      <w:rFonts w:hint="default" w:ascii="Times New Roman" w:hAnsi="Times New Roman" w:eastAsia="宋体" w:cs="Times New Roman"/>
                      <w:b w:val="0"/>
                      <w:bCs w:val="0"/>
                      <w:color w:val="auto"/>
                      <w:kern w:val="0"/>
                      <w:sz w:val="21"/>
                      <w:szCs w:val="21"/>
                      <w:u w:val="none"/>
                      <w:lang w:val="en-US" w:eastAsia="zh-CN"/>
                    </w:rPr>
                    <w:t>），不属于禁止建设行业。生产过程中不产生VOCs 废气，不属于禁止建设项目。</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eastAsia="zh-CN"/>
                    </w:rPr>
                    <w:t>本项目</w:t>
                  </w:r>
                  <w:r>
                    <w:rPr>
                      <w:rFonts w:hint="default" w:ascii="Times New Roman" w:hAnsi="Times New Roman" w:eastAsia="宋体" w:cs="Times New Roman"/>
                      <w:b w:val="0"/>
                      <w:bCs w:val="0"/>
                      <w:color w:val="auto"/>
                      <w:kern w:val="0"/>
                      <w:sz w:val="21"/>
                      <w:szCs w:val="21"/>
                      <w:u w:val="none"/>
                      <w:lang w:eastAsia="zh-CN"/>
                    </w:rPr>
                    <w:t>符合行动要求</w:t>
                  </w:r>
                </w:p>
              </w:tc>
            </w:tr>
          </w:tbl>
          <w:p>
            <w:pPr>
              <w:pStyle w:val="2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val="0"/>
                <w:bCs/>
                <w:color w:val="auto"/>
                <w:sz w:val="24"/>
                <w:szCs w:val="24"/>
                <w:lang w:val="en-US" w:eastAsia="zh-CN"/>
              </w:rPr>
              <w:t>经过对照分析，本项目符合《新乡市环境污染攻坚战三年行动实施方案（2018-2020年）》（新政[2018]11号）中的相关要求。</w:t>
            </w:r>
          </w:p>
          <w:p>
            <w:pPr>
              <w:pStyle w:val="5"/>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482" w:firstLineChars="200"/>
              <w:jc w:val="both"/>
              <w:textAlignment w:val="auto"/>
              <w:outlineLvl w:val="9"/>
              <w:rPr>
                <w:rFonts w:hint="default" w:ascii="Times New Roman" w:hAnsi="Times New Roman" w:eastAsia="宋体" w:cs="Times New Roman"/>
                <w:b/>
                <w:bCs w:val="0"/>
                <w:color w:val="auto"/>
                <w:kern w:val="2"/>
                <w:sz w:val="24"/>
                <w:szCs w:val="24"/>
                <w:u w:val="none"/>
                <w:lang w:val="en-US" w:eastAsia="zh-CN" w:bidi="ar-SA"/>
              </w:rPr>
            </w:pPr>
            <w:r>
              <w:rPr>
                <w:rFonts w:hint="default" w:ascii="Times New Roman" w:hAnsi="Times New Roman" w:eastAsia="宋体" w:cs="Times New Roman"/>
                <w:b/>
                <w:bCs w:val="0"/>
                <w:color w:val="auto"/>
                <w:kern w:val="2"/>
                <w:sz w:val="24"/>
                <w:szCs w:val="24"/>
                <w:u w:val="none"/>
                <w:lang w:val="en-US" w:eastAsia="zh-CN" w:bidi="ar-SA"/>
              </w:rPr>
              <w:t>（</w:t>
            </w:r>
            <w:r>
              <w:rPr>
                <w:rFonts w:hint="default" w:ascii="Times New Roman" w:hAnsi="Times New Roman" w:eastAsia="宋体" w:cs="Times New Roman"/>
                <w:b/>
                <w:bCs w:val="0"/>
                <w:color w:val="auto"/>
                <w:sz w:val="24"/>
                <w:szCs w:val="24"/>
                <w:lang w:val="en-US" w:eastAsia="zh-CN"/>
              </w:rPr>
              <w:t>五</w:t>
            </w:r>
            <w:r>
              <w:rPr>
                <w:rFonts w:hint="default" w:ascii="Times New Roman" w:hAnsi="Times New Roman" w:eastAsia="宋体" w:cs="Times New Roman"/>
                <w:b/>
                <w:bCs w:val="0"/>
                <w:color w:val="auto"/>
                <w:kern w:val="2"/>
                <w:sz w:val="24"/>
                <w:szCs w:val="24"/>
                <w:u w:val="none"/>
                <w:lang w:val="en-US" w:eastAsia="zh-CN" w:bidi="ar-SA"/>
              </w:rPr>
              <w:t>）与《新乡市人民政府关于加快绿色发展的意见》的对照分析</w:t>
            </w:r>
          </w:p>
          <w:p>
            <w:pPr>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sz w:val="24"/>
                <w:szCs w:val="24"/>
                <w:u w:val="none"/>
              </w:rPr>
            </w:pPr>
            <w:r>
              <w:rPr>
                <w:rFonts w:hint="default" w:ascii="Times New Roman" w:hAnsi="Times New Roman" w:eastAsia="宋体" w:cs="Times New Roman"/>
                <w:b w:val="0"/>
                <w:bCs/>
                <w:color w:val="auto"/>
                <w:sz w:val="24"/>
                <w:szCs w:val="24"/>
                <w:u w:val="none"/>
                <w:lang w:val="en-US" w:eastAsia="zh-CN"/>
              </w:rPr>
              <w:t>表1</w:t>
            </w:r>
            <w:r>
              <w:rPr>
                <w:rFonts w:hint="eastAsia" w:cs="Times New Roman"/>
                <w:b w:val="0"/>
                <w:bCs/>
                <w:color w:val="auto"/>
                <w:sz w:val="24"/>
                <w:szCs w:val="24"/>
                <w:u w:val="none"/>
                <w:lang w:val="en-US" w:eastAsia="zh-CN"/>
              </w:rPr>
              <w:t>0</w:t>
            </w:r>
            <w:r>
              <w:rPr>
                <w:rFonts w:hint="default" w:ascii="Times New Roman" w:hAnsi="Times New Roman" w:eastAsia="宋体" w:cs="Times New Roman"/>
                <w:b w:val="0"/>
                <w:bCs/>
                <w:color w:val="auto"/>
                <w:sz w:val="24"/>
                <w:szCs w:val="24"/>
                <w:u w:val="none"/>
                <w:lang w:val="en-US" w:eastAsia="zh-CN"/>
              </w:rPr>
              <w:t xml:space="preserve">   </w:t>
            </w:r>
            <w:r>
              <w:rPr>
                <w:rFonts w:hint="default" w:ascii="Times New Roman" w:hAnsi="Times New Roman" w:eastAsia="宋体" w:cs="Times New Roman"/>
                <w:b w:val="0"/>
                <w:bCs/>
                <w:color w:val="auto"/>
                <w:sz w:val="24"/>
                <w:szCs w:val="24"/>
                <w:u w:val="none"/>
              </w:rPr>
              <w:t>与</w:t>
            </w:r>
            <w:r>
              <w:rPr>
                <w:rFonts w:hint="default" w:ascii="Times New Roman" w:hAnsi="Times New Roman" w:eastAsia="宋体" w:cs="Times New Roman"/>
                <w:b w:val="0"/>
                <w:bCs/>
                <w:color w:val="auto"/>
                <w:sz w:val="24"/>
                <w:szCs w:val="24"/>
                <w:u w:val="none"/>
                <w:lang w:val="en-US" w:eastAsia="zh-CN"/>
              </w:rPr>
              <w:t>加快绿色发展的意见</w:t>
            </w:r>
            <w:r>
              <w:rPr>
                <w:rFonts w:hint="default" w:ascii="Times New Roman" w:hAnsi="Times New Roman" w:eastAsia="宋体" w:cs="Times New Roman"/>
                <w:b w:val="0"/>
                <w:bCs/>
                <w:color w:val="auto"/>
                <w:sz w:val="24"/>
                <w:szCs w:val="24"/>
                <w:u w:val="none"/>
              </w:rPr>
              <w:t>的对照分析</w:t>
            </w:r>
          </w:p>
          <w:tbl>
            <w:tblPr>
              <w:tblStyle w:val="16"/>
              <w:tblW w:w="856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0"/>
              <w:gridCol w:w="5896"/>
              <w:gridCol w:w="1304"/>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sz w:val="21"/>
                      <w:szCs w:val="21"/>
                      <w:u w:val="none"/>
                      <w:vertAlign w:val="baseline"/>
                      <w:lang w:val="en-US" w:eastAsia="zh-CN"/>
                    </w:rPr>
                    <w:t>类别</w:t>
                  </w:r>
                </w:p>
              </w:tc>
              <w:tc>
                <w:tcPr>
                  <w:tcW w:w="58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kern w:val="0"/>
                      <w:sz w:val="21"/>
                      <w:szCs w:val="21"/>
                      <w:u w:val="none"/>
                      <w:lang w:val="en-US" w:eastAsia="zh-CN"/>
                    </w:rPr>
                    <w:t>加快绿色发展的意见</w:t>
                  </w:r>
                  <w:r>
                    <w:rPr>
                      <w:rFonts w:hint="default" w:ascii="Times New Roman" w:hAnsi="Times New Roman" w:eastAsia="宋体" w:cs="Times New Roman"/>
                      <w:b w:val="0"/>
                      <w:bCs/>
                      <w:color w:val="auto"/>
                      <w:kern w:val="0"/>
                      <w:sz w:val="21"/>
                      <w:szCs w:val="21"/>
                      <w:u w:val="none"/>
                    </w:rPr>
                    <w:t>中有关要求</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kern w:val="0"/>
                      <w:sz w:val="21"/>
                      <w:szCs w:val="21"/>
                      <w:u w:val="none"/>
                    </w:rPr>
                    <w:t>企业实际建设情况</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sz w:val="21"/>
                      <w:szCs w:val="21"/>
                      <w:u w:val="none"/>
                      <w:vertAlign w:val="baseline"/>
                      <w:lang w:val="en-US" w:eastAsia="zh-CN"/>
                    </w:rPr>
                  </w:pPr>
                  <w:r>
                    <w:rPr>
                      <w:rFonts w:hint="default" w:ascii="Times New Roman" w:hAnsi="Times New Roman" w:eastAsia="宋体" w:cs="Times New Roman"/>
                      <w:b w:val="0"/>
                      <w:bCs/>
                      <w:color w:val="auto"/>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rPr>
                  </w:pPr>
                  <w:r>
                    <w:rPr>
                      <w:rFonts w:hint="default" w:ascii="Times New Roman" w:hAnsi="Times New Roman" w:eastAsia="宋体" w:cs="Times New Roman"/>
                      <w:b w:val="0"/>
                      <w:bCs/>
                      <w:color w:val="auto"/>
                      <w:kern w:val="0"/>
                      <w:sz w:val="21"/>
                      <w:szCs w:val="21"/>
                      <w:u w:val="none"/>
                      <w:lang w:val="en-US" w:eastAsia="zh-CN"/>
                    </w:rPr>
                    <w:t>产业结构优化工程</w:t>
                  </w:r>
                </w:p>
              </w:tc>
              <w:tc>
                <w:tcPr>
                  <w:tcW w:w="58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val="en-US" w:eastAsia="zh-CN"/>
                    </w:rPr>
                  </w:pPr>
                  <w:r>
                    <w:rPr>
                      <w:rStyle w:val="18"/>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Style w:val="18"/>
                      <w:rFonts w:hint="default" w:ascii="Times New Roman" w:hAnsi="Times New Roman" w:eastAsia="宋体" w:cs="Times New Roman"/>
                      <w:b w:val="0"/>
                      <w:bCs/>
                      <w:i w:val="0"/>
                      <w:caps w:val="0"/>
                      <w:color w:val="auto"/>
                      <w:spacing w:val="0"/>
                      <w:sz w:val="21"/>
                      <w:szCs w:val="21"/>
                      <w:u w:val="none"/>
                      <w:shd w:val="clear" w:color="auto" w:fill="FFFFFF"/>
                      <w:lang w:val="en-US" w:eastAsia="zh-CN"/>
                    </w:rPr>
                    <w:t>4</w:t>
                  </w:r>
                  <w:r>
                    <w:rPr>
                      <w:rStyle w:val="18"/>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Style w:val="18"/>
                      <w:rFonts w:hint="default" w:ascii="Times New Roman" w:hAnsi="Times New Roman" w:eastAsia="宋体" w:cs="Times New Roman"/>
                      <w:b w:val="0"/>
                      <w:bCs/>
                      <w:i w:val="0"/>
                      <w:caps w:val="0"/>
                      <w:color w:val="auto"/>
                      <w:spacing w:val="0"/>
                      <w:sz w:val="21"/>
                      <w:szCs w:val="21"/>
                      <w:u w:val="none"/>
                      <w:shd w:val="clear" w:color="auto" w:fill="FFFFFF"/>
                    </w:rPr>
                    <w:t>严格资源环境准入</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制定禁止重污染、高耗能行业准入的负面清单制度,从源头上杜绝新增污染源。严禁新建产能过</w:t>
                  </w:r>
                  <w:r>
                    <w:rPr>
                      <w:rFonts w:hint="eastAsia" w:ascii="宋体" w:hAnsi="宋体" w:eastAsia="宋体" w:cs="宋体"/>
                      <w:b w:val="0"/>
                      <w:bCs/>
                      <w:i w:val="0"/>
                      <w:caps w:val="0"/>
                      <w:color w:val="auto"/>
                      <w:spacing w:val="0"/>
                      <w:sz w:val="21"/>
                      <w:szCs w:val="21"/>
                      <w:u w:val="none"/>
                      <w:shd w:val="clear" w:color="auto" w:fill="FFFFFF"/>
                    </w:rPr>
                    <w:t>剩和“两高一资”项</w:t>
                  </w:r>
                  <w:r>
                    <w:rPr>
                      <w:rFonts w:hint="default" w:ascii="Times New Roman" w:hAnsi="Times New Roman" w:eastAsia="宋体" w:cs="Times New Roman"/>
                      <w:b w:val="0"/>
                      <w:bCs/>
                      <w:i w:val="0"/>
                      <w:caps w:val="0"/>
                      <w:color w:val="auto"/>
                      <w:spacing w:val="0"/>
                      <w:sz w:val="21"/>
                      <w:szCs w:val="21"/>
                      <w:u w:val="none"/>
                      <w:shd w:val="clear" w:color="auto" w:fill="FFFFFF"/>
                    </w:rPr>
                    <w:t>目,严格控制低水平重复建设项目。新建能耗较高项目必须选用一级能效设备,单位产品(产值)能耗达到国内先进水平。老企业扩大产能必须进行以新带老改造</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实现增产减污</w:t>
                  </w:r>
                  <w:r>
                    <w:rPr>
                      <w:rFonts w:hint="eastAsia"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转型升级。对环境空气质量中二氧化硫、氮氧化物、可吸入颗粒物超标地方</w:t>
                  </w:r>
                  <w:r>
                    <w:rPr>
                      <w:rFonts w:hint="eastAsia"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实施新建工业项目大气污染物排放倍量削减替代</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促进增产减污。对未通过能评、环评、安评审查的项目</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一律不得发放各类许可证</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不得提供建设生产条件</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严格实施能源消费、污染物排放总量控制制度,作为能评、环评审批的前置条件。</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eastAsia="zh-CN"/>
                    </w:rPr>
                  </w:pPr>
                  <w:r>
                    <w:rPr>
                      <w:rFonts w:hint="default" w:ascii="Times New Roman" w:hAnsi="Times New Roman" w:eastAsia="宋体" w:cs="Times New Roman"/>
                      <w:b w:val="0"/>
                      <w:bCs/>
                      <w:color w:val="auto"/>
                      <w:kern w:val="0"/>
                      <w:sz w:val="21"/>
                      <w:szCs w:val="21"/>
                      <w:u w:val="none"/>
                      <w:lang w:eastAsia="zh-CN"/>
                    </w:rPr>
                    <w:t>本项目</w:t>
                  </w:r>
                  <w:r>
                    <w:rPr>
                      <w:rFonts w:hint="default" w:ascii="Times New Roman" w:hAnsi="Times New Roman" w:eastAsia="宋体" w:cs="Times New Roman"/>
                      <w:b w:val="0"/>
                      <w:bCs w:val="0"/>
                      <w:color w:val="auto"/>
                      <w:kern w:val="0"/>
                      <w:sz w:val="21"/>
                      <w:szCs w:val="21"/>
                      <w:u w:val="none"/>
                      <w:lang w:val="en-US" w:eastAsia="zh-CN" w:bidi="ar-SA"/>
                    </w:rPr>
                    <w:t>属于</w:t>
                  </w:r>
                  <w:r>
                    <w:rPr>
                      <w:rFonts w:hint="eastAsia" w:cs="Times New Roman"/>
                      <w:color w:val="auto"/>
                      <w:sz w:val="21"/>
                      <w:szCs w:val="21"/>
                      <w:lang w:eastAsia="zh-CN"/>
                    </w:rPr>
                    <w:t>电动机制造</w:t>
                  </w:r>
                  <w:r>
                    <w:rPr>
                      <w:rFonts w:hint="default" w:ascii="Times New Roman" w:hAnsi="Times New Roman" w:eastAsia="宋体" w:cs="Times New Roman"/>
                      <w:b w:val="0"/>
                      <w:bCs w:val="0"/>
                      <w:color w:val="auto"/>
                      <w:sz w:val="21"/>
                      <w:szCs w:val="21"/>
                      <w:u w:val="none"/>
                      <w:vertAlign w:val="baseline"/>
                      <w:lang w:val="en-US" w:eastAsia="zh-CN"/>
                    </w:rPr>
                    <w:t>（行业代码：</w:t>
                  </w:r>
                  <w:r>
                    <w:rPr>
                      <w:rFonts w:hint="eastAsia" w:cs="Times New Roman"/>
                      <w:color w:val="auto"/>
                      <w:sz w:val="21"/>
                      <w:szCs w:val="21"/>
                      <w:lang w:eastAsia="zh-CN"/>
                    </w:rPr>
                    <w:t>C3812</w:t>
                  </w:r>
                  <w:r>
                    <w:rPr>
                      <w:rFonts w:hint="default" w:ascii="Times New Roman" w:hAnsi="Times New Roman" w:eastAsia="宋体" w:cs="Times New Roman"/>
                      <w:b w:val="0"/>
                      <w:bCs w:val="0"/>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kern w:val="0"/>
                      <w:sz w:val="21"/>
                      <w:szCs w:val="21"/>
                      <w:u w:val="none"/>
                      <w:lang w:eastAsia="zh-CN"/>
                    </w:rPr>
                    <w:t>不属于重污染，高耗能、产能过剩、“两高一资”项目</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eastAsia="zh-CN"/>
                    </w:rPr>
                  </w:pPr>
                  <w:r>
                    <w:rPr>
                      <w:rFonts w:hint="default" w:ascii="Times New Roman" w:hAnsi="Times New Roman" w:eastAsia="宋体" w:cs="Times New Roman"/>
                      <w:b w:val="0"/>
                      <w:bCs/>
                      <w:color w:val="auto"/>
                      <w:kern w:val="0"/>
                      <w:sz w:val="21"/>
                      <w:szCs w:val="21"/>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val="en-US" w:eastAsia="zh-CN"/>
                    </w:rPr>
                  </w:pPr>
                  <w:r>
                    <w:rPr>
                      <w:rFonts w:hint="default" w:ascii="Times New Roman" w:hAnsi="Times New Roman" w:eastAsia="宋体" w:cs="Times New Roman"/>
                      <w:b w:val="0"/>
                      <w:bCs/>
                      <w:color w:val="auto"/>
                      <w:kern w:val="0"/>
                      <w:sz w:val="21"/>
                      <w:szCs w:val="21"/>
                      <w:u w:val="none"/>
                      <w:lang w:val="en-US" w:eastAsia="zh-CN"/>
                    </w:rPr>
                    <w:t>产业空间布局调整工程</w:t>
                  </w:r>
                </w:p>
              </w:tc>
              <w:tc>
                <w:tcPr>
                  <w:tcW w:w="5896" w:type="dxa"/>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sz w:val="21"/>
                      <w:szCs w:val="21"/>
                      <w:u w:val="none"/>
                      <w:vertAlign w:val="baseline"/>
                      <w:lang w:val="en-US"/>
                    </w:rPr>
                  </w:pPr>
                  <w:r>
                    <w:rPr>
                      <w:rFonts w:hint="default" w:ascii="Times New Roman" w:hAnsi="Times New Roman" w:eastAsia="宋体" w:cs="Times New Roman"/>
                      <w:b w:val="0"/>
                      <w:bCs/>
                      <w:color w:val="auto"/>
                      <w:sz w:val="21"/>
                      <w:szCs w:val="21"/>
                      <w:u w:val="none"/>
                      <w:vertAlign w:val="baseline"/>
                      <w:lang w:val="en-US" w:eastAsia="zh-CN"/>
                    </w:rPr>
                    <w:t>（2）</w:t>
                  </w:r>
                  <w:r>
                    <w:rPr>
                      <w:rFonts w:hint="default" w:ascii="Times New Roman" w:hAnsi="Times New Roman" w:eastAsia="宋体" w:cs="Times New Roman"/>
                      <w:b w:val="0"/>
                      <w:bCs/>
                      <w:color w:val="auto"/>
                      <w:sz w:val="21"/>
                      <w:szCs w:val="21"/>
                      <w:u w:val="none"/>
                      <w:vertAlign w:val="baseline"/>
                      <w:lang w:val="en-US"/>
                    </w:rPr>
                    <w:t>优化产业空间布局</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南部沿黄地区以种植业、养殖业、生态观光农业和农产品生产加工、都市工业为主。中部地区以绿色制造业和现代服务业为主</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积极推进大东区规划建设,加快老城区改造提升</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促进产业和人口向中心城区集聚和集中</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加大城镇污染防治,切实控制面源污染;加快新乡经济技术开发区国家园区循环化改造</w:t>
                  </w:r>
                  <w:r>
                    <w:rPr>
                      <w:rFonts w:hint="default" w:ascii="Times New Roman" w:hAnsi="Times New Roman" w:eastAsia="宋体" w:cs="Times New Roman"/>
                      <w:b w:val="0"/>
                      <w:bCs/>
                      <w:color w:val="auto"/>
                      <w:sz w:val="21"/>
                      <w:szCs w:val="21"/>
                      <w:u w:val="none"/>
                      <w:vertAlign w:val="baseline"/>
                      <w:lang w:val="en-US" w:eastAsia="zh-CN"/>
                    </w:rPr>
                    <w:t>了，</w:t>
                  </w:r>
                  <w:r>
                    <w:rPr>
                      <w:rFonts w:hint="default" w:ascii="Times New Roman" w:hAnsi="Times New Roman" w:eastAsia="宋体" w:cs="Times New Roman"/>
                      <w:b w:val="0"/>
                      <w:bCs/>
                      <w:color w:val="auto"/>
                      <w:sz w:val="21"/>
                      <w:szCs w:val="21"/>
                      <w:u w:val="none"/>
                      <w:vertAlign w:val="baseline"/>
                      <w:lang w:val="en-US"/>
                    </w:rPr>
                    <w:t>推广先进技术,延伸产业链条,提高产品开发附加值。北部太行山地区以生态保护为主</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加大环境保护和水土保持力度</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微粉站</w:t>
                  </w:r>
                  <w:r>
                    <w:rPr>
                      <w:rFonts w:hint="default" w:ascii="Times New Roman" w:hAnsi="Times New Roman" w:eastAsia="宋体" w:cs="Times New Roman"/>
                      <w:b w:val="0"/>
                      <w:bCs/>
                      <w:color w:val="auto"/>
                      <w:sz w:val="21"/>
                      <w:szCs w:val="21"/>
                      <w:u w:val="none"/>
                      <w:vertAlign w:val="baseline"/>
                      <w:lang w:val="en-US" w:eastAsia="zh-CN"/>
                    </w:rPr>
                    <w:t>）</w:t>
                  </w:r>
                  <w:r>
                    <w:rPr>
                      <w:rFonts w:hint="default" w:ascii="Times New Roman" w:hAnsi="Times New Roman" w:eastAsia="宋体" w:cs="Times New Roman"/>
                      <w:b w:val="0"/>
                      <w:bCs/>
                      <w:color w:val="auto"/>
                      <w:sz w:val="21"/>
                      <w:szCs w:val="21"/>
                      <w:u w:val="none"/>
                      <w:vertAlign w:val="baseline"/>
                      <w:lang w:val="en-US"/>
                    </w:rPr>
                    <w:t>、碎石等大气污染企业;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val="en-US"/>
                    </w:rPr>
                  </w:pPr>
                  <w:r>
                    <w:rPr>
                      <w:rFonts w:hint="default" w:ascii="Times New Roman" w:hAnsi="Times New Roman" w:eastAsia="宋体" w:cs="Times New Roman"/>
                      <w:b w:val="0"/>
                      <w:bCs/>
                      <w:color w:val="auto"/>
                      <w:kern w:val="0"/>
                      <w:sz w:val="21"/>
                      <w:szCs w:val="21"/>
                      <w:u w:val="none"/>
                      <w:lang w:eastAsia="zh-CN"/>
                    </w:rPr>
                    <w:t>本项目</w:t>
                  </w:r>
                  <w:r>
                    <w:rPr>
                      <w:rFonts w:hint="default" w:ascii="Times New Roman" w:hAnsi="Times New Roman" w:eastAsia="宋体" w:cs="Times New Roman"/>
                      <w:b w:val="0"/>
                      <w:bCs/>
                      <w:color w:val="auto"/>
                      <w:kern w:val="0"/>
                      <w:sz w:val="21"/>
                      <w:szCs w:val="21"/>
                      <w:u w:val="none"/>
                      <w:lang w:val="en-US" w:eastAsia="zh-CN"/>
                    </w:rPr>
                    <w:t>位于</w:t>
                  </w:r>
                  <w:r>
                    <w:rPr>
                      <w:rFonts w:hint="eastAsia" w:cs="Times New Roman"/>
                      <w:b w:val="0"/>
                      <w:bCs w:val="0"/>
                      <w:color w:val="auto"/>
                      <w:kern w:val="0"/>
                      <w:sz w:val="21"/>
                      <w:szCs w:val="21"/>
                      <w:u w:val="none"/>
                      <w:lang w:eastAsia="zh-CN"/>
                    </w:rPr>
                    <w:t>新乡市新乡县合河乡</w:t>
                  </w:r>
                  <w:r>
                    <w:rPr>
                      <w:rFonts w:hint="default" w:ascii="Times New Roman" w:hAnsi="Times New Roman" w:eastAsia="宋体" w:cs="Times New Roman"/>
                      <w:b w:val="0"/>
                      <w:bCs/>
                      <w:color w:val="auto"/>
                      <w:sz w:val="21"/>
                      <w:szCs w:val="21"/>
                      <w:u w:val="none"/>
                      <w:lang w:eastAsia="zh-CN"/>
                    </w:rPr>
                    <w:t>，</w:t>
                  </w:r>
                  <w:r>
                    <w:rPr>
                      <w:rFonts w:hint="default" w:ascii="Times New Roman" w:hAnsi="Times New Roman" w:eastAsia="宋体" w:cs="Times New Roman"/>
                      <w:b w:val="0"/>
                      <w:bCs/>
                      <w:color w:val="auto"/>
                      <w:kern w:val="0"/>
                      <w:sz w:val="21"/>
                      <w:szCs w:val="21"/>
                      <w:u w:val="none"/>
                      <w:lang w:val="en-US" w:eastAsia="zh-CN"/>
                    </w:rPr>
                    <w:t>项目为</w:t>
                  </w:r>
                  <w:r>
                    <w:rPr>
                      <w:rFonts w:hint="eastAsia" w:cs="Times New Roman"/>
                      <w:color w:val="auto"/>
                      <w:sz w:val="21"/>
                      <w:szCs w:val="21"/>
                      <w:lang w:eastAsia="zh-CN"/>
                    </w:rPr>
                    <w:t>电动机制造</w:t>
                  </w:r>
                  <w:r>
                    <w:rPr>
                      <w:rFonts w:hint="default" w:ascii="Times New Roman" w:hAnsi="Times New Roman" w:eastAsia="宋体" w:cs="Times New Roman"/>
                      <w:b w:val="0"/>
                      <w:bCs/>
                      <w:color w:val="auto"/>
                      <w:sz w:val="21"/>
                      <w:szCs w:val="21"/>
                      <w:u w:val="none"/>
                      <w:vertAlign w:val="baseline"/>
                      <w:lang w:val="en-US" w:eastAsia="zh-CN"/>
                    </w:rPr>
                    <w:t>行业</w:t>
                  </w:r>
                  <w:r>
                    <w:rPr>
                      <w:rFonts w:hint="default" w:ascii="Times New Roman" w:hAnsi="Times New Roman" w:eastAsia="宋体" w:cs="Times New Roman"/>
                      <w:b w:val="0"/>
                      <w:bCs/>
                      <w:color w:val="auto"/>
                      <w:kern w:val="0"/>
                      <w:sz w:val="21"/>
                      <w:szCs w:val="21"/>
                      <w:u w:val="none"/>
                      <w:lang w:val="en-US" w:eastAsia="zh-CN"/>
                    </w:rPr>
                    <w:t>，该新建项目无生产废水产生，废水主要为生活污水，经厂区化粪池处理后定期清运，不外排，不属于水污染严重企业。</w:t>
                  </w:r>
                </w:p>
              </w:tc>
              <w:tc>
                <w:tcPr>
                  <w:tcW w:w="6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auto"/>
                      <w:kern w:val="0"/>
                      <w:sz w:val="21"/>
                      <w:szCs w:val="21"/>
                      <w:u w:val="none"/>
                      <w:lang w:val="en-US" w:eastAsia="zh-CN"/>
                    </w:rPr>
                  </w:pPr>
                  <w:r>
                    <w:rPr>
                      <w:rFonts w:hint="default" w:ascii="Times New Roman" w:hAnsi="Times New Roman" w:eastAsia="宋体" w:cs="Times New Roman"/>
                      <w:b w:val="0"/>
                      <w:bCs/>
                      <w:color w:val="auto"/>
                      <w:kern w:val="0"/>
                      <w:sz w:val="21"/>
                      <w:szCs w:val="21"/>
                      <w:u w:val="none"/>
                      <w:lang w:val="en-US" w:eastAsia="zh-CN"/>
                    </w:rPr>
                    <w:t>符合相关要求</w:t>
                  </w:r>
                </w:p>
              </w:tc>
            </w:tr>
          </w:tbl>
          <w:p>
            <w:pPr>
              <w:pStyle w:val="2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lang w:val="en-US" w:eastAsia="zh-CN"/>
              </w:rPr>
              <w:t>8、</w:t>
            </w:r>
            <w:r>
              <w:rPr>
                <w:rFonts w:hint="default" w:ascii="Times New Roman" w:hAnsi="Times New Roman" w:eastAsia="宋体" w:cs="Times New Roman"/>
                <w:b/>
                <w:color w:val="auto"/>
                <w:sz w:val="24"/>
                <w:szCs w:val="24"/>
              </w:rPr>
              <w:t>项目平面布置合理性分析</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本项目根据厂区“分区合理、工艺流畅、物流短捷；突出环保与安全”的原则，结合场地的用地条件及生产工艺，综合考虑环保、消防、绿化、劳动卫生等要求，对选址进行了统筹安排。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项目厂址位于</w:t>
            </w:r>
            <w:r>
              <w:rPr>
                <w:rFonts w:hint="eastAsia" w:cs="Times New Roman"/>
                <w:b w:val="0"/>
                <w:bCs w:val="0"/>
                <w:color w:val="000000" w:themeColor="text1"/>
                <w:sz w:val="24"/>
                <w:szCs w:val="24"/>
                <w:lang w:eastAsia="zh-CN"/>
                <w14:textFill>
                  <w14:solidFill>
                    <w14:schemeClr w14:val="tx1"/>
                  </w14:solidFill>
                </w14:textFill>
              </w:rPr>
              <w:t>新乡市新乡县合河乡新王线东北永康路口南100米</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，生产车间位于厂区内</w:t>
            </w:r>
            <w:r>
              <w:rPr>
                <w:rFonts w:hint="eastAsia" w:cs="Times New Roman"/>
                <w:b w:val="0"/>
                <w:bCs w:val="0"/>
                <w:color w:val="000000" w:themeColor="text1"/>
                <w:sz w:val="24"/>
                <w:szCs w:val="24"/>
                <w:lang w:eastAsia="zh-CN"/>
                <w14:textFill>
                  <w14:solidFill>
                    <w14:schemeClr w14:val="tx1"/>
                  </w14:solidFill>
                </w14:textFill>
              </w:rPr>
              <w:t>西</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侧，</w:t>
            </w:r>
            <w:r>
              <w:rPr>
                <w:rFonts w:hint="eastAsia" w:cs="Times New Roman"/>
                <w:b w:val="0"/>
                <w:bCs w:val="0"/>
                <w:color w:val="000000" w:themeColor="text1"/>
                <w:sz w:val="24"/>
                <w:szCs w:val="24"/>
                <w:lang w:eastAsia="zh-CN"/>
                <w14:textFill>
                  <w14:solidFill>
                    <w14:schemeClr w14:val="tx1"/>
                  </w14:solidFill>
                </w14:textFill>
              </w:rPr>
              <w:t>仓库</w:t>
            </w:r>
            <w:r>
              <w:rPr>
                <w:rFonts w:hint="eastAsia" w:cs="Times New Roman"/>
                <w:color w:val="000000" w:themeColor="text1"/>
                <w:sz w:val="24"/>
                <w:szCs w:val="24"/>
                <w:lang w:eastAsia="zh-CN"/>
                <w14:textFill>
                  <w14:solidFill>
                    <w14:schemeClr w14:val="tx1"/>
                  </w14:solidFill>
                </w14:textFill>
              </w:rPr>
              <w:t>位于厂区内东北侧</w:t>
            </w:r>
            <w:r>
              <w:rPr>
                <w:rFonts w:hint="default" w:ascii="Times New Roman" w:hAnsi="Times New Roman" w:eastAsia="宋体" w:cs="Times New Roman"/>
                <w:color w:val="000000" w:themeColor="text1"/>
                <w:sz w:val="24"/>
                <w:szCs w:val="24"/>
                <w:lang w:eastAsia="zh-CN"/>
                <w14:textFill>
                  <w14:solidFill>
                    <w14:schemeClr w14:val="tx1"/>
                  </w14:solidFill>
                </w14:textFill>
              </w:rPr>
              <w:t>。项目营运期产生的废水主要为生活污水，经厂区化粪池处理后定期清运，不外排。</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综上所述，</w:t>
            </w:r>
            <w:r>
              <w:rPr>
                <w:rFonts w:hint="eastAsia" w:cs="Times New Roman"/>
                <w:bCs/>
                <w:color w:val="auto"/>
                <w:sz w:val="24"/>
                <w:szCs w:val="24"/>
                <w:lang w:eastAsia="zh-CN"/>
              </w:rPr>
              <w:t>新乡市泰达机械制造有限公司年产10万件机械配件加工项目</w:t>
            </w:r>
            <w:r>
              <w:rPr>
                <w:rFonts w:hint="default" w:ascii="Times New Roman" w:hAnsi="Times New Roman" w:eastAsia="宋体" w:cs="Times New Roman"/>
                <w:color w:val="auto"/>
                <w:sz w:val="24"/>
                <w:szCs w:val="24"/>
              </w:rPr>
              <w:t>总平面布置功能分区清晰，工艺流程顺畅，物流短捷，人流、物流互不交叉干扰，有机的协调了投入与产出、建设与保护的关系。评价认为，本项目总</w:t>
            </w:r>
            <w:r>
              <w:rPr>
                <w:rFonts w:hint="eastAsia" w:cs="Times New Roman"/>
                <w:color w:val="auto"/>
                <w:sz w:val="24"/>
                <w:szCs w:val="24"/>
                <w:lang w:eastAsia="zh-CN"/>
              </w:rPr>
              <w:t>体</w:t>
            </w:r>
            <w:r>
              <w:rPr>
                <w:rFonts w:hint="default" w:ascii="Times New Roman" w:hAnsi="Times New Roman" w:eastAsia="宋体" w:cs="Times New Roman"/>
                <w:color w:val="auto"/>
                <w:sz w:val="24"/>
                <w:szCs w:val="24"/>
              </w:rPr>
              <w:t>布置从环保角度而言合理可行。</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lang w:val="en-US" w:eastAsia="zh-CN"/>
              </w:rPr>
              <w:t>9</w:t>
            </w:r>
            <w:r>
              <w:rPr>
                <w:rFonts w:hint="default" w:ascii="Times New Roman" w:hAnsi="Times New Roman" w:eastAsia="宋体" w:cs="Times New Roman"/>
                <w:b/>
                <w:color w:val="auto"/>
                <w:sz w:val="24"/>
                <w:szCs w:val="24"/>
              </w:rPr>
              <w:t>、劳动定员与工作时间</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本项目劳动定员</w:t>
            </w:r>
            <w:r>
              <w:rPr>
                <w:rFonts w:hint="eastAsia" w:cs="Times New Roman"/>
                <w:color w:val="auto"/>
                <w:sz w:val="24"/>
                <w:szCs w:val="24"/>
                <w:lang w:val="en-US" w:eastAsia="zh-CN"/>
              </w:rPr>
              <w:t>16</w:t>
            </w:r>
            <w:r>
              <w:rPr>
                <w:rFonts w:hint="default" w:ascii="Times New Roman" w:hAnsi="Times New Roman" w:eastAsia="宋体" w:cs="Times New Roman"/>
                <w:color w:val="auto"/>
                <w:sz w:val="24"/>
                <w:szCs w:val="24"/>
              </w:rPr>
              <w:t>人，每</w:t>
            </w:r>
            <w:r>
              <w:rPr>
                <w:rFonts w:hint="default" w:ascii="Times New Roman" w:hAnsi="Times New Roman" w:eastAsia="宋体" w:cs="Times New Roman"/>
                <w:color w:val="auto"/>
                <w:sz w:val="24"/>
                <w:szCs w:val="24"/>
                <w:lang w:eastAsia="zh-CN"/>
              </w:rPr>
              <w:t>班</w:t>
            </w:r>
            <w:r>
              <w:rPr>
                <w:rFonts w:hint="default" w:ascii="Times New Roman" w:hAnsi="Times New Roman" w:eastAsia="宋体" w:cs="Times New Roman"/>
                <w:color w:val="auto"/>
                <w:sz w:val="24"/>
                <w:szCs w:val="24"/>
              </w:rPr>
              <w:t>工作</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小时，</w:t>
            </w:r>
            <w:r>
              <w:rPr>
                <w:rFonts w:hint="eastAsia" w:cs="Times New Roman"/>
                <w:color w:val="auto"/>
                <w:sz w:val="24"/>
                <w:szCs w:val="24"/>
                <w:lang w:eastAsia="zh-CN"/>
              </w:rPr>
              <w:t>单</w:t>
            </w:r>
            <w:r>
              <w:rPr>
                <w:rFonts w:hint="default" w:ascii="Times New Roman" w:hAnsi="Times New Roman" w:eastAsia="宋体" w:cs="Times New Roman"/>
                <w:color w:val="auto"/>
                <w:sz w:val="24"/>
                <w:szCs w:val="24"/>
              </w:rPr>
              <w:t>班制，年有效工作日</w:t>
            </w:r>
            <w:r>
              <w:rPr>
                <w:rFonts w:hint="eastAsia"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天，项目职工均不在厂区内食宿。</w:t>
            </w:r>
          </w:p>
          <w:p>
            <w:pPr>
              <w:pStyle w:val="2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10</w:t>
            </w:r>
            <w:r>
              <w:rPr>
                <w:rFonts w:hint="default" w:ascii="Times New Roman" w:hAnsi="Times New Roman" w:eastAsia="宋体" w:cs="Times New Roman"/>
                <w:b/>
                <w:color w:val="auto"/>
                <w:sz w:val="24"/>
                <w:szCs w:val="24"/>
              </w:rPr>
              <w:t>、公用设施</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（1）供水</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本项目用水主要是职工生活用水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本项目劳动定员</w:t>
            </w:r>
            <w:r>
              <w:rPr>
                <w:rFonts w:hint="eastAsia" w:cs="Times New Roman"/>
                <w:color w:val="auto"/>
                <w:sz w:val="24"/>
                <w:szCs w:val="24"/>
                <w:lang w:val="en-US" w:eastAsia="zh-CN"/>
              </w:rPr>
              <w:t>16</w:t>
            </w:r>
            <w:r>
              <w:rPr>
                <w:rFonts w:hint="default" w:ascii="Times New Roman" w:hAnsi="Times New Roman" w:eastAsia="宋体" w:cs="Times New Roman"/>
                <w:color w:val="auto"/>
                <w:sz w:val="24"/>
                <w:szCs w:val="24"/>
              </w:rPr>
              <w:t>人，均不在厂区食宿，年工作日</w:t>
            </w:r>
            <w:r>
              <w:rPr>
                <w:rFonts w:hint="eastAsia" w:cs="Times New Roman"/>
                <w:color w:val="auto"/>
                <w:sz w:val="24"/>
                <w:szCs w:val="24"/>
                <w:lang w:val="en-US" w:eastAsia="zh-CN"/>
              </w:rPr>
              <w:t>300</w:t>
            </w:r>
            <w:r>
              <w:rPr>
                <w:rFonts w:hint="default" w:ascii="Times New Roman" w:hAnsi="Times New Roman" w:eastAsia="宋体" w:cs="Times New Roman"/>
                <w:color w:val="auto"/>
                <w:sz w:val="24"/>
                <w:szCs w:val="24"/>
              </w:rPr>
              <w:t>天。职工生活用水定额按30L/(人·d)计，则生活用水量为</w:t>
            </w:r>
            <w:r>
              <w:rPr>
                <w:rFonts w:hint="default" w:ascii="Times New Roman" w:hAnsi="Times New Roman" w:eastAsia="宋体" w:cs="Times New Roman"/>
                <w:color w:val="auto"/>
                <w:sz w:val="24"/>
                <w:szCs w:val="24"/>
                <w:lang w:val="en-US" w:eastAsia="zh-CN"/>
              </w:rPr>
              <w:t>0.</w:t>
            </w:r>
            <w:r>
              <w:rPr>
                <w:rFonts w:hint="eastAsia" w:cs="Times New Roman"/>
                <w:color w:val="auto"/>
                <w:sz w:val="24"/>
                <w:szCs w:val="24"/>
                <w:lang w:val="en-US" w:eastAsia="zh-CN"/>
              </w:rPr>
              <w:t>48</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cs="Times New Roman"/>
                <w:color w:val="auto"/>
                <w:sz w:val="24"/>
                <w:szCs w:val="24"/>
                <w:lang w:val="en-US" w:eastAsia="zh-CN"/>
              </w:rPr>
              <w:t>144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b w:val="0"/>
                <w:bCs w:val="0"/>
                <w:color w:val="auto"/>
                <w:sz w:val="24"/>
                <w:szCs w:val="24"/>
                <w:u w:val="none"/>
                <w:lang w:eastAsia="zh-CN"/>
              </w:rPr>
              <w:t>。厂区用水</w:t>
            </w:r>
            <w:r>
              <w:rPr>
                <w:rFonts w:hint="default" w:ascii="Times New Roman" w:hAnsi="Times New Roman" w:eastAsia="宋体" w:cs="Times New Roman"/>
                <w:b w:val="0"/>
                <w:bCs w:val="0"/>
                <w:color w:val="auto"/>
                <w:sz w:val="24"/>
                <w:szCs w:val="24"/>
                <w:u w:val="none"/>
              </w:rPr>
              <w:t>由</w:t>
            </w:r>
            <w:r>
              <w:rPr>
                <w:rFonts w:hint="eastAsia" w:cs="Times New Roman"/>
                <w:b w:val="0"/>
                <w:bCs w:val="0"/>
                <w:color w:val="auto"/>
                <w:sz w:val="24"/>
                <w:szCs w:val="24"/>
                <w:u w:val="none"/>
                <w:lang w:eastAsia="zh-CN"/>
              </w:rPr>
              <w:t>南永康村</w:t>
            </w:r>
            <w:r>
              <w:rPr>
                <w:rFonts w:hint="default" w:ascii="Times New Roman" w:hAnsi="Times New Roman" w:eastAsia="宋体" w:cs="Times New Roman"/>
                <w:b w:val="0"/>
                <w:bCs w:val="0"/>
                <w:color w:val="auto"/>
                <w:sz w:val="24"/>
                <w:szCs w:val="24"/>
                <w:u w:val="none"/>
              </w:rPr>
              <w:t>自来水管网提供，能够满足本项目用水需要</w:t>
            </w:r>
            <w:r>
              <w:rPr>
                <w:rFonts w:hint="default" w:ascii="Times New Roman" w:hAnsi="Times New Roman" w:eastAsia="宋体" w:cs="Times New Roman"/>
                <w:b w:val="0"/>
                <w:bCs w:val="0"/>
                <w:color w:val="auto"/>
                <w:sz w:val="24"/>
                <w:szCs w:val="24"/>
                <w:u w:val="none"/>
                <w:lang w:eastAsia="zh-CN"/>
              </w:rPr>
              <w:t>。</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（2）排水</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auto"/>
                <w:sz w:val="24"/>
                <w:szCs w:val="24"/>
                <w:u w:val="none"/>
              </w:rPr>
            </w:pPr>
            <w:r>
              <w:rPr>
                <w:rFonts w:hint="default" w:ascii="Times New Roman" w:hAnsi="Times New Roman" w:eastAsia="宋体" w:cs="Times New Roman"/>
                <w:b w:val="0"/>
                <w:bCs w:val="0"/>
                <w:color w:val="auto"/>
                <w:sz w:val="24"/>
                <w:szCs w:val="24"/>
                <w:u w:val="none"/>
                <w:lang w:eastAsia="zh-CN"/>
              </w:rPr>
              <w:t>本项目</w:t>
            </w:r>
            <w:r>
              <w:rPr>
                <w:rFonts w:hint="eastAsia" w:cs="Times New Roman"/>
                <w:b w:val="0"/>
                <w:bCs w:val="0"/>
                <w:color w:val="auto"/>
                <w:sz w:val="24"/>
                <w:szCs w:val="24"/>
                <w:u w:val="none"/>
                <w:lang w:eastAsia="zh-CN"/>
              </w:rPr>
              <w:t>实行雨污分流，</w:t>
            </w:r>
            <w:r>
              <w:rPr>
                <w:rFonts w:hint="default" w:ascii="Times New Roman" w:hAnsi="Times New Roman" w:eastAsia="宋体" w:cs="Times New Roman"/>
                <w:color w:val="auto"/>
                <w:sz w:val="24"/>
                <w:szCs w:val="24"/>
              </w:rPr>
              <w:t>职工生活污水产污系数按0.8计，则生活污水产生量为</w:t>
            </w:r>
            <w:r>
              <w:rPr>
                <w:rFonts w:hint="default" w:ascii="Times New Roman" w:hAnsi="Times New Roman" w:eastAsia="宋体" w:cs="Times New Roman"/>
                <w:color w:val="auto"/>
                <w:sz w:val="24"/>
                <w:szCs w:val="24"/>
                <w:lang w:val="en-US" w:eastAsia="zh-CN"/>
              </w:rPr>
              <w:t>0.</w:t>
            </w:r>
            <w:r>
              <w:rPr>
                <w:rFonts w:hint="eastAsia" w:cs="Times New Roman"/>
                <w:color w:val="auto"/>
                <w:sz w:val="24"/>
                <w:szCs w:val="24"/>
                <w:lang w:val="en-US" w:eastAsia="zh-CN"/>
              </w:rPr>
              <w:t>384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cs="Times New Roman"/>
                <w:color w:val="auto"/>
                <w:sz w:val="24"/>
                <w:szCs w:val="24"/>
                <w:lang w:val="en-US" w:eastAsia="zh-CN"/>
              </w:rPr>
              <w:t>115.2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eastAsia="zh-CN"/>
              </w:rPr>
              <w:t>，经厂内化粪池处理后</w:t>
            </w:r>
            <w:r>
              <w:rPr>
                <w:rFonts w:hint="default" w:ascii="Times New Roman" w:hAnsi="Times New Roman" w:eastAsia="宋体" w:cs="Times New Roman"/>
                <w:b w:val="0"/>
                <w:bCs w:val="0"/>
                <w:color w:val="auto"/>
                <w:sz w:val="24"/>
                <w:szCs w:val="24"/>
                <w:u w:val="none"/>
                <w:lang w:eastAsia="zh-CN"/>
              </w:rPr>
              <w:t>定期清运，不外排</w:t>
            </w:r>
            <w:r>
              <w:rPr>
                <w:rFonts w:hint="default" w:ascii="Times New Roman" w:hAnsi="Times New Roman" w:eastAsia="宋体" w:cs="Times New Roman"/>
                <w:bCs/>
                <w:color w:val="auto"/>
                <w:sz w:val="24"/>
                <w:szCs w:val="24"/>
              </w:rPr>
              <w:t>。</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（3）供电</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本项目年用电量约为</w:t>
            </w:r>
            <w:r>
              <w:rPr>
                <w:rFonts w:hint="eastAsia" w:cs="Times New Roman"/>
                <w:color w:val="auto"/>
                <w:sz w:val="24"/>
                <w:szCs w:val="24"/>
                <w:lang w:val="en-US" w:eastAsia="zh-CN"/>
              </w:rPr>
              <w:t>6</w:t>
            </w:r>
            <w:r>
              <w:rPr>
                <w:rFonts w:hint="default" w:ascii="Times New Roman" w:hAnsi="Times New Roman" w:eastAsia="宋体" w:cs="Times New Roman"/>
                <w:color w:val="auto"/>
                <w:sz w:val="24"/>
                <w:szCs w:val="24"/>
                <w:lang w:eastAsia="zh-CN"/>
              </w:rPr>
              <w:t>万</w:t>
            </w:r>
            <w:r>
              <w:rPr>
                <w:rFonts w:hint="default" w:ascii="Times New Roman" w:hAnsi="Times New Roman" w:eastAsia="宋体" w:cs="Times New Roman"/>
                <w:color w:val="auto"/>
                <w:sz w:val="24"/>
                <w:szCs w:val="24"/>
              </w:rPr>
              <w:t>kW·h，由</w:t>
            </w:r>
            <w:r>
              <w:rPr>
                <w:rFonts w:hint="eastAsia" w:cs="Times New Roman"/>
                <w:color w:val="auto"/>
                <w:sz w:val="24"/>
                <w:szCs w:val="24"/>
                <w:lang w:eastAsia="zh-CN"/>
              </w:rPr>
              <w:t>新乡县</w:t>
            </w:r>
            <w:r>
              <w:rPr>
                <w:rFonts w:hint="eastAsia" w:cs="Times New Roman"/>
                <w:color w:val="000000" w:themeColor="text1"/>
                <w:sz w:val="24"/>
                <w:szCs w:val="24"/>
                <w:lang w:eastAsia="zh-CN"/>
                <w14:textFill>
                  <w14:solidFill>
                    <w14:schemeClr w14:val="tx1"/>
                  </w14:solidFill>
                </w14:textFill>
              </w:rPr>
              <w:t>供电所供应</w:t>
            </w:r>
            <w:r>
              <w:rPr>
                <w:rFonts w:hint="default" w:ascii="Times New Roman" w:hAnsi="Times New Roman" w:eastAsia="宋体" w:cs="Times New Roman"/>
                <w:color w:val="auto"/>
                <w:sz w:val="24"/>
                <w:szCs w:val="24"/>
              </w:rPr>
              <w:t>，主要用于设施设备运转、日常办公等用电，可以满足项目要求。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4" w:hRule="atLeast"/>
        </w:trPr>
        <w:tc>
          <w:tcPr>
            <w:tcW w:w="8758" w:type="dxa"/>
            <w:gridSpan w:val="6"/>
            <w:noWrap w:val="0"/>
            <w:vAlign w:val="center"/>
          </w:tcPr>
          <w:p>
            <w:pPr>
              <w:pStyle w:val="5"/>
              <w:pageBreakBefore w:val="0"/>
              <w:widowControl w:val="0"/>
              <w:kinsoku/>
              <w:wordWrap/>
              <w:overflowPunct/>
              <w:topLinePunct w:val="0"/>
              <w:bidi w:val="0"/>
              <w:adjustRightInd w:val="0"/>
              <w:snapToGrid w:val="0"/>
              <w:spacing w:line="360" w:lineRule="auto"/>
              <w:ind w:right="0" w:rightChars="0"/>
              <w:jc w:val="both"/>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本项目有关的原有污染情况及主要问题：</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eastAsia" w:cs="Times New Roman"/>
                <w:bCs/>
                <w:color w:val="auto"/>
                <w:sz w:val="24"/>
                <w:szCs w:val="24"/>
                <w:lang w:eastAsia="zh-CN"/>
              </w:rPr>
              <w:t>新乡市泰达机械制造有限公司年产10万件机械配件加工项目项目</w:t>
            </w:r>
            <w:r>
              <w:rPr>
                <w:rFonts w:hint="default" w:ascii="Times New Roman" w:hAnsi="Times New Roman" w:eastAsia="宋体" w:cs="Times New Roman"/>
                <w:color w:val="auto"/>
                <w:sz w:val="24"/>
                <w:szCs w:val="24"/>
              </w:rPr>
              <w:t>为新建项</w:t>
            </w:r>
            <w:r>
              <w:rPr>
                <w:rFonts w:hint="default" w:ascii="Times New Roman" w:hAnsi="Times New Roman" w:eastAsia="宋体" w:cs="Times New Roman"/>
                <w:color w:val="000000" w:themeColor="text1"/>
                <w:sz w:val="24"/>
                <w:szCs w:val="24"/>
                <w14:textFill>
                  <w14:solidFill>
                    <w14:schemeClr w14:val="tx1"/>
                  </w14:solidFill>
                </w14:textFill>
              </w:rPr>
              <w:t>目，</w:t>
            </w:r>
            <w:r>
              <w:rPr>
                <w:rFonts w:hint="default" w:ascii="Times New Roman" w:hAnsi="Times New Roman" w:eastAsia="宋体" w:cs="Times New Roman"/>
                <w:color w:val="000000" w:themeColor="text1"/>
                <w:sz w:val="24"/>
                <w:szCs w:val="24"/>
                <w:lang w:eastAsia="zh-CN"/>
                <w14:textFill>
                  <w14:solidFill>
                    <w14:schemeClr w14:val="tx1"/>
                  </w14:solidFill>
                </w14:textFill>
              </w:rPr>
              <w:t>租赁</w:t>
            </w:r>
            <w:r>
              <w:rPr>
                <w:rFonts w:hint="eastAsia" w:cs="Times New Roman"/>
                <w:color w:val="000000" w:themeColor="text1"/>
                <w:sz w:val="24"/>
                <w:szCs w:val="24"/>
                <w:lang w:eastAsia="zh-CN"/>
                <w14:textFill>
                  <w14:solidFill>
                    <w14:schemeClr w14:val="tx1"/>
                  </w14:solidFill>
                </w14:textFill>
              </w:rPr>
              <w:t>苏呈祥个人现有</w:t>
            </w:r>
            <w:r>
              <w:rPr>
                <w:rFonts w:hint="default" w:ascii="Times New Roman" w:hAnsi="Times New Roman" w:eastAsia="宋体" w:cs="Times New Roman"/>
                <w:color w:val="000000" w:themeColor="text1"/>
                <w:sz w:val="24"/>
                <w:szCs w:val="24"/>
                <w:lang w:eastAsia="zh-CN"/>
                <w14:textFill>
                  <w14:solidFill>
                    <w14:schemeClr w14:val="tx1"/>
                  </w14:solidFill>
                </w14:textFill>
              </w:rPr>
              <w:t>现有闲置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厂房</w:t>
            </w:r>
            <w:r>
              <w:rPr>
                <w:rFonts w:hint="default" w:ascii="Times New Roman" w:hAnsi="Times New Roman" w:eastAsia="宋体" w:cs="Times New Roman"/>
                <w:color w:val="000000" w:themeColor="text1"/>
                <w:sz w:val="24"/>
                <w:szCs w:val="24"/>
                <w:lang w:eastAsia="zh-CN"/>
                <w14:textFill>
                  <w14:solidFill>
                    <w14:schemeClr w14:val="tx1"/>
                  </w14:solidFill>
                </w14:textFill>
              </w:rPr>
              <w:t>进行生产，</w:t>
            </w:r>
            <w:r>
              <w:rPr>
                <w:rFonts w:hint="default" w:ascii="Times New Roman" w:hAnsi="Times New Roman" w:eastAsia="宋体" w:cs="Times New Roman"/>
                <w:color w:val="auto"/>
                <w:sz w:val="24"/>
                <w:szCs w:val="24"/>
                <w:lang w:eastAsia="zh-CN"/>
              </w:rPr>
              <w:t>根据现场调查，</w:t>
            </w:r>
            <w:r>
              <w:rPr>
                <w:rFonts w:hint="default" w:ascii="Times New Roman" w:hAnsi="Times New Roman" w:eastAsia="宋体" w:cs="Times New Roman"/>
                <w:color w:val="auto"/>
                <w:sz w:val="24"/>
                <w:szCs w:val="24"/>
              </w:rPr>
              <w:t>不存在与本项目有关的原有污染情况。</w:t>
            </w: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sz w:val="24"/>
                <w:szCs w:val="24"/>
                <w:lang w:eastAsia="zh-CN"/>
              </w:rPr>
            </w:pPr>
          </w:p>
          <w:p>
            <w:pPr>
              <w:pStyle w:val="5"/>
              <w:pageBreakBefore w:val="0"/>
              <w:widowControl w:val="0"/>
              <w:kinsoku/>
              <w:wordWrap/>
              <w:overflowPunct/>
              <w:topLinePunct w:val="0"/>
              <w:bidi w:val="0"/>
              <w:adjustRightInd w:val="0"/>
              <w:snapToGrid w:val="0"/>
              <w:spacing w:line="360" w:lineRule="auto"/>
              <w:ind w:right="0" w:rightChars="0"/>
              <w:jc w:val="both"/>
              <w:textAlignment w:val="auto"/>
              <w:outlineLvl w:val="9"/>
              <w:rPr>
                <w:rFonts w:hint="default" w:ascii="Times New Roman" w:hAnsi="Times New Roman" w:eastAsia="宋体" w:cs="Times New Roman"/>
                <w:color w:val="auto"/>
                <w:sz w:val="24"/>
                <w:szCs w:val="24"/>
                <w:lang w:eastAsia="zh-CN"/>
              </w:rPr>
            </w:pPr>
          </w:p>
        </w:tc>
      </w:tr>
    </w:tbl>
    <w:tbl>
      <w:tblPr>
        <w:tblStyle w:val="16"/>
        <w:tblpPr w:leftFromText="180" w:rightFromText="180" w:vertAnchor="text" w:tblpX="10426" w:tblpY="18544"/>
        <w:tblOverlap w:val="never"/>
        <w:tblW w:w="8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 w:hRule="atLeast"/>
        </w:trPr>
        <w:tc>
          <w:tcPr>
            <w:tcW w:w="851" w:type="dxa"/>
            <w:noWrap w:val="0"/>
            <w:vAlign w:val="top"/>
          </w:tcPr>
          <w:p>
            <w:pPr>
              <w:spacing w:line="520" w:lineRule="exact"/>
              <w:rPr>
                <w:rFonts w:eastAsia="黑体"/>
                <w:b/>
                <w:color w:val="auto"/>
                <w:sz w:val="30"/>
                <w:vertAlign w:val="baseline"/>
              </w:rPr>
            </w:pPr>
          </w:p>
        </w:tc>
      </w:tr>
    </w:tbl>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color w:val="auto"/>
          <w:sz w:val="30"/>
        </w:rPr>
      </w:pPr>
      <w:r>
        <w:rPr>
          <w:rFonts w:hint="eastAsia" w:ascii="宋体" w:hAnsi="宋体" w:eastAsia="宋体" w:cs="宋体"/>
          <w:b/>
          <w:color w:val="auto"/>
          <w:sz w:val="30"/>
        </w:rPr>
        <w:t>建设项目所在地自然环境社会环境简况</w:t>
      </w:r>
    </w:p>
    <w:tbl>
      <w:tblPr>
        <w:tblStyle w:val="15"/>
        <w:tblW w:w="894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498" w:hRule="atLeast"/>
          <w:jc w:val="center"/>
        </w:trPr>
        <w:tc>
          <w:tcPr>
            <w:tcW w:w="8946" w:type="dxa"/>
            <w:tcBorders>
              <w:bottom w:val="single" w:color="auto" w:sz="6"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eastAsia" w:ascii="宋体" w:hAnsi="宋体" w:cs="宋体"/>
                <w:b/>
                <w:color w:val="auto"/>
                <w:spacing w:val="-6"/>
                <w:sz w:val="28"/>
                <w:szCs w:val="28"/>
              </w:rPr>
            </w:pPr>
            <w:r>
              <w:rPr>
                <w:rFonts w:hint="eastAsia" w:ascii="宋体" w:hAnsi="宋体" w:cs="宋体"/>
                <w:b/>
                <w:color w:val="auto"/>
                <w:spacing w:val="-6"/>
                <w:sz w:val="28"/>
                <w:szCs w:val="28"/>
              </w:rPr>
              <w:t>自然环境简况(地形、地貌、地质、气候、气象、水文、植被、生物多样性等)：</w:t>
            </w:r>
          </w:p>
          <w:p>
            <w:pPr>
              <w:keepNext w:val="0"/>
              <w:keepLines w:val="0"/>
              <w:pageBreakBefore w:val="0"/>
              <w:kinsoku/>
              <w:wordWrap/>
              <w:overflowPunct/>
              <w:topLinePunct w:val="0"/>
              <w:autoSpaceDE/>
              <w:autoSpaceDN/>
              <w:bidi w:val="0"/>
              <w:adjustRightInd w:val="0"/>
              <w:snapToGrid w:val="0"/>
              <w:spacing w:line="360" w:lineRule="auto"/>
              <w:ind w:leftChars="0"/>
              <w:textAlignment w:val="auto"/>
              <w:rPr>
                <w:rFonts w:hint="default" w:ascii="Times New Roman" w:hAnsi="Times New Roman" w:eastAsia="宋体" w:cs="Times New Roman"/>
                <w:b/>
                <w:spacing w:val="-6"/>
                <w:sz w:val="24"/>
              </w:rPr>
            </w:pPr>
            <w:r>
              <w:rPr>
                <w:rFonts w:hint="default" w:ascii="Times New Roman" w:hAnsi="Times New Roman" w:eastAsia="宋体" w:cs="Times New Roman"/>
                <w:b/>
                <w:sz w:val="24"/>
              </w:rPr>
              <w:t>1、地理位置</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新乡县隶属于新乡市，位于</w:t>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HYPERLINK "http://baike.baidu.com/view/5488.htm" \t "_blank"</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河南省</w:t>
            </w:r>
            <w:r>
              <w:rPr>
                <w:rFonts w:hint="default" w:ascii="Times New Roman" w:hAnsi="Times New Roman" w:eastAsia="宋体" w:cs="Times New Roman"/>
                <w:sz w:val="24"/>
              </w:rPr>
              <w:fldChar w:fldCharType="end"/>
            </w:r>
            <w:r>
              <w:rPr>
                <w:rFonts w:hint="default" w:ascii="Times New Roman" w:hAnsi="Times New Roman" w:eastAsia="宋体" w:cs="Times New Roman"/>
                <w:sz w:val="24"/>
              </w:rPr>
              <w:t>北中部，太行山南麓，卫河上游。东与</w:t>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HYPERLINK "http://baike.baidu.com/view/88870.htm" \t "_blank"</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延津</w:t>
            </w:r>
            <w:r>
              <w:rPr>
                <w:rFonts w:hint="default" w:ascii="Times New Roman" w:hAnsi="Times New Roman" w:eastAsia="宋体" w:cs="Times New Roman"/>
                <w:sz w:val="24"/>
              </w:rPr>
              <w:fldChar w:fldCharType="end"/>
            </w:r>
            <w:r>
              <w:rPr>
                <w:rFonts w:hint="default" w:ascii="Times New Roman" w:hAnsi="Times New Roman" w:eastAsia="宋体" w:cs="Times New Roman"/>
                <w:sz w:val="24"/>
              </w:rPr>
              <w:t>相连，西毗获嘉，南接</w:t>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HYPERLINK "http://baike.baidu.com/view/703495.htm" \t "_blank"</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原阳</w:t>
            </w:r>
            <w:r>
              <w:rPr>
                <w:rFonts w:hint="default" w:ascii="Times New Roman" w:hAnsi="Times New Roman" w:eastAsia="宋体" w:cs="Times New Roman"/>
                <w:sz w:val="24"/>
              </w:rPr>
              <w:fldChar w:fldCharType="end"/>
            </w:r>
            <w:r>
              <w:rPr>
                <w:rFonts w:hint="default" w:ascii="Times New Roman" w:hAnsi="Times New Roman" w:eastAsia="宋体" w:cs="Times New Roman"/>
                <w:sz w:val="24"/>
              </w:rPr>
              <w:t>，北部与新乡市区的东、南、西三面相接。县境东西长32.7公里，南北宽29.1公里，总面积为364.6平方公里。</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本</w:t>
            </w:r>
            <w:r>
              <w:rPr>
                <w:rFonts w:hint="default" w:ascii="Times New Roman" w:hAnsi="Times New Roman" w:eastAsia="宋体" w:cs="Times New Roman"/>
                <w:sz w:val="24"/>
              </w:rPr>
              <w:t>项目位于</w:t>
            </w:r>
            <w:r>
              <w:rPr>
                <w:rFonts w:hint="default" w:ascii="Times New Roman" w:hAnsi="Times New Roman" w:eastAsia="宋体" w:cs="Times New Roman"/>
                <w:sz w:val="24"/>
                <w:lang w:eastAsia="zh-CN"/>
              </w:rPr>
              <w:t>新乡县合河乡新王线东北永康路口</w:t>
            </w:r>
            <w:r>
              <w:rPr>
                <w:rFonts w:hint="default" w:ascii="Times New Roman" w:hAnsi="Times New Roman" w:eastAsia="宋体" w:cs="Times New Roman"/>
                <w:sz w:val="24"/>
              </w:rPr>
              <w:t>，</w:t>
            </w:r>
            <w:r>
              <w:rPr>
                <w:rFonts w:hint="eastAsia" w:cs="Times New Roman"/>
                <w:sz w:val="24"/>
                <w:lang w:eastAsia="zh-CN"/>
              </w:rPr>
              <w:t>项目</w:t>
            </w:r>
            <w:r>
              <w:rPr>
                <w:rFonts w:hint="default" w:ascii="Times New Roman" w:hAnsi="Times New Roman" w:eastAsia="宋体" w:cs="Times New Roman"/>
                <w:sz w:val="24"/>
              </w:rPr>
              <w:t>地势平坦，交通便利。</w:t>
            </w:r>
          </w:p>
          <w:p>
            <w:pPr>
              <w:keepNext w:val="0"/>
              <w:keepLines w:val="0"/>
              <w:pageBreakBefore w:val="0"/>
              <w:widowControl/>
              <w:tabs>
                <w:tab w:val="left" w:pos="3969"/>
              </w:tabs>
              <w:kinsoku/>
              <w:wordWrap/>
              <w:overflowPunct/>
              <w:topLinePunct w:val="0"/>
              <w:autoSpaceDE/>
              <w:autoSpaceDN/>
              <w:bidi w:val="0"/>
              <w:adjustRightInd w:val="0"/>
              <w:snapToGrid w:val="0"/>
              <w:spacing w:line="360" w:lineRule="auto"/>
              <w:ind w:leftChars="0"/>
              <w:jc w:val="left"/>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2、地形地貌</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color w:val="000000"/>
                <w:sz w:val="24"/>
              </w:rPr>
              <w:t>新乡县位于</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"http://baike.baidu.com/view/5488.htm"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河南省</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北中部，太行山南麓，</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"http://baike.baidu.com/view/232851.htm"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卫河</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本项目所在位置地势平坦，属于平原地区。</w:t>
            </w:r>
          </w:p>
          <w:p>
            <w:pPr>
              <w:keepNext w:val="0"/>
              <w:keepLines w:val="0"/>
              <w:pageBreakBefore w:val="0"/>
              <w:widowControl/>
              <w:kinsoku/>
              <w:wordWrap/>
              <w:overflowPunct/>
              <w:topLinePunct w:val="0"/>
              <w:autoSpaceDE/>
              <w:autoSpaceDN/>
              <w:bidi w:val="0"/>
              <w:adjustRightInd w:val="0"/>
              <w:snapToGrid w:val="0"/>
              <w:spacing w:line="360" w:lineRule="auto"/>
              <w:ind w:leftChars="0"/>
              <w:jc w:val="left"/>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3、气候气象</w:t>
            </w:r>
            <w:r>
              <w:rPr>
                <w:rFonts w:hint="default" w:ascii="Times New Roman" w:hAnsi="Times New Roman" w:eastAsia="宋体" w:cs="Times New Roman"/>
                <w:b/>
                <w:sz w:val="24"/>
              </w:rPr>
              <w:tab/>
            </w:r>
          </w:p>
          <w:p>
            <w:pPr>
              <w:pStyle w:val="5"/>
              <w:keepNext w:val="0"/>
              <w:keepLines w:val="0"/>
              <w:pageBreakBefore w:val="0"/>
              <w:kinsoku/>
              <w:wordWrap/>
              <w:overflowPunct/>
              <w:topLinePunct w:val="0"/>
              <w:autoSpaceDE/>
              <w:autoSpaceDN/>
              <w:bidi w:val="0"/>
              <w:adjustRightInd w:val="0"/>
              <w:snapToGrid w:val="0"/>
              <w:spacing w:line="360" w:lineRule="auto"/>
              <w:ind w:leftChars="0" w:firstLine="48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新乡县全县境属</w:t>
            </w:r>
            <w:r>
              <w:rPr>
                <w:rFonts w:hint="default" w:ascii="Times New Roman" w:hAnsi="Times New Roman" w:eastAsia="宋体" w:cs="Times New Roman"/>
                <w:color w:val="000000"/>
                <w:sz w:val="24"/>
                <w:szCs w:val="24"/>
                <w:lang w:val="en-US" w:eastAsia="zh-CN"/>
              </w:rPr>
              <w:fldChar w:fldCharType="begin"/>
            </w:r>
            <w:r>
              <w:rPr>
                <w:rFonts w:hint="default" w:ascii="Times New Roman" w:hAnsi="Times New Roman" w:eastAsia="宋体" w:cs="Times New Roman"/>
                <w:color w:val="000000"/>
                <w:sz w:val="24"/>
                <w:szCs w:val="24"/>
                <w:lang w:val="en-US" w:eastAsia="zh-CN"/>
              </w:rPr>
              <w:instrText xml:space="preserve">HYPERLINK "http://baike.baidu.com/view/198788.htm" \t "_blank"</w:instrText>
            </w:r>
            <w:r>
              <w:rPr>
                <w:rFonts w:hint="default" w:ascii="Times New Roman" w:hAnsi="Times New Roman" w:eastAsia="宋体" w:cs="Times New Roman"/>
                <w:color w:val="000000"/>
                <w:sz w:val="24"/>
                <w:szCs w:val="24"/>
                <w:lang w:val="en-US" w:eastAsia="zh-CN"/>
              </w:rPr>
              <w:fldChar w:fldCharType="separate"/>
            </w:r>
            <w:r>
              <w:rPr>
                <w:rFonts w:hint="default" w:ascii="Times New Roman" w:hAnsi="Times New Roman" w:eastAsia="宋体" w:cs="Times New Roman"/>
                <w:color w:val="000000"/>
                <w:sz w:val="24"/>
                <w:szCs w:val="24"/>
                <w:lang w:val="en-US" w:eastAsia="zh-CN"/>
              </w:rPr>
              <w:t>温带大陆性气候</w:t>
            </w:r>
            <w:r>
              <w:rPr>
                <w:rFonts w:hint="default" w:ascii="Times New Roman" w:hAnsi="Times New Roman" w:eastAsia="宋体" w:cs="Times New Roman"/>
                <w:color w:val="000000"/>
                <w:sz w:val="24"/>
                <w:szCs w:val="24"/>
                <w:lang w:val="en-US" w:eastAsia="zh-CN"/>
              </w:rPr>
              <w:fldChar w:fldCharType="end"/>
            </w:r>
            <w:r>
              <w:rPr>
                <w:rFonts w:hint="default" w:ascii="Times New Roman" w:hAnsi="Times New Roman" w:eastAsia="宋体" w:cs="Times New Roman"/>
                <w:color w:val="000000"/>
                <w:sz w:val="24"/>
                <w:szCs w:val="24"/>
                <w:lang w:val="en-US" w:eastAsia="zh-CN"/>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eastAsia="宋体" w:cs="Times New Roman"/>
                <w:color w:val="000000"/>
                <w:sz w:val="24"/>
                <w:szCs w:val="24"/>
                <w:lang w:val="en-US" w:eastAsia="zh-CN"/>
              </w:rPr>
              <w:fldChar w:fldCharType="begin"/>
            </w:r>
            <w:r>
              <w:rPr>
                <w:rFonts w:hint="default" w:ascii="Times New Roman" w:hAnsi="Times New Roman" w:eastAsia="宋体" w:cs="Times New Roman"/>
                <w:color w:val="000000"/>
                <w:sz w:val="24"/>
                <w:szCs w:val="24"/>
                <w:lang w:val="en-US" w:eastAsia="zh-CN"/>
              </w:rPr>
              <w:instrText xml:space="preserve">HYPERLINK "http://baike.baidu.com/view/9196.htm" \t "_blank"</w:instrText>
            </w:r>
            <w:r>
              <w:rPr>
                <w:rFonts w:hint="default" w:ascii="Times New Roman" w:hAnsi="Times New Roman" w:eastAsia="宋体" w:cs="Times New Roman"/>
                <w:color w:val="000000"/>
                <w:sz w:val="24"/>
                <w:szCs w:val="24"/>
                <w:lang w:val="en-US" w:eastAsia="zh-CN"/>
              </w:rPr>
              <w:fldChar w:fldCharType="separate"/>
            </w:r>
            <w:r>
              <w:rPr>
                <w:rFonts w:hint="default" w:ascii="Times New Roman" w:hAnsi="Times New Roman" w:eastAsia="宋体" w:cs="Times New Roman"/>
                <w:color w:val="000000"/>
                <w:sz w:val="24"/>
                <w:szCs w:val="24"/>
                <w:lang w:val="en-US" w:eastAsia="zh-CN"/>
              </w:rPr>
              <w:t>日照</w:t>
            </w:r>
            <w:r>
              <w:rPr>
                <w:rFonts w:hint="default" w:ascii="Times New Roman" w:hAnsi="Times New Roman" w:eastAsia="宋体" w:cs="Times New Roman"/>
                <w:color w:val="000000"/>
                <w:sz w:val="24"/>
                <w:szCs w:val="24"/>
                <w:lang w:val="en-US" w:eastAsia="zh-CN"/>
              </w:rPr>
              <w:fldChar w:fldCharType="end"/>
            </w:r>
            <w:r>
              <w:rPr>
                <w:rFonts w:hint="default" w:ascii="Times New Roman" w:hAnsi="Times New Roman" w:eastAsia="宋体" w:cs="Times New Roman"/>
                <w:color w:val="000000"/>
                <w:sz w:val="24"/>
                <w:szCs w:val="24"/>
                <w:lang w:val="en-US" w:eastAsia="zh-CN"/>
              </w:rPr>
              <w:t>2407.7小时，年均无霜期200.5天，适于农作物生长。</w:t>
            </w:r>
          </w:p>
          <w:p>
            <w:pPr>
              <w:keepNext w:val="0"/>
              <w:keepLines w:val="0"/>
              <w:pageBreakBefore w:val="0"/>
              <w:widowControl/>
              <w:kinsoku/>
              <w:wordWrap/>
              <w:overflowPunct/>
              <w:topLinePunct w:val="0"/>
              <w:autoSpaceDE/>
              <w:autoSpaceDN/>
              <w:bidi w:val="0"/>
              <w:adjustRightInd w:val="0"/>
              <w:snapToGrid w:val="0"/>
              <w:spacing w:line="360" w:lineRule="auto"/>
              <w:ind w:leftChars="0"/>
              <w:jc w:val="left"/>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4、水文</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shd w:val="clear" w:color="auto" w:fill="FFFFFF"/>
              </w:rPr>
            </w:pPr>
            <w:r>
              <w:rPr>
                <w:rFonts w:hint="default" w:ascii="Times New Roman" w:hAnsi="Times New Roman" w:eastAsia="宋体" w:cs="Times New Roman"/>
                <w:color w:val="000000"/>
                <w:sz w:val="24"/>
              </w:rPr>
              <w:t>新乡县境内河渠主要有</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"http://baike.baidu.com/view/232851.htm"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卫河</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、东孟姜女河、西孟姜女河、共产主义渠、</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"http://baike.baidu.com/view/895167.htm"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人民胜利渠</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等5条大的河渠和17条小河渠，除人民胜利渠定时引用</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"http://baike.baidu.com/view/4479.htm"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黄河</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水外，其他河流源头水枯，过境水多为季节性排放。</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离</w:t>
            </w:r>
            <w:r>
              <w:rPr>
                <w:rFonts w:hint="default" w:ascii="Times New Roman" w:hAnsi="Times New Roman" w:eastAsia="宋体" w:cs="Times New Roman"/>
                <w:color w:val="auto"/>
                <w:sz w:val="24"/>
                <w:lang w:eastAsia="zh-CN"/>
              </w:rPr>
              <w:t>本</w:t>
            </w:r>
            <w:r>
              <w:rPr>
                <w:rFonts w:hint="default" w:ascii="Times New Roman" w:hAnsi="Times New Roman" w:eastAsia="宋体" w:cs="Times New Roman"/>
                <w:color w:val="auto"/>
                <w:sz w:val="24"/>
              </w:rPr>
              <w:t>项目最近的河流为</w:t>
            </w:r>
            <w:r>
              <w:rPr>
                <w:rFonts w:hint="eastAsia" w:ascii="Times New Roman" w:hAnsi="Times New Roman" w:eastAsia="宋体" w:cs="Times New Roman"/>
                <w:color w:val="auto"/>
                <w:sz w:val="24"/>
                <w:lang w:eastAsia="zh-CN"/>
              </w:rPr>
              <w:t>西</w:t>
            </w:r>
            <w:r>
              <w:rPr>
                <w:rFonts w:hint="default" w:ascii="Times New Roman" w:hAnsi="Times New Roman" w:eastAsia="宋体" w:cs="Times New Roman"/>
                <w:color w:val="auto"/>
                <w:sz w:val="24"/>
              </w:rPr>
              <w:t>侧</w:t>
            </w:r>
            <w:r>
              <w:rPr>
                <w:rFonts w:hint="default" w:ascii="Times New Roman" w:hAnsi="Times New Roman" w:eastAsia="宋体" w:cs="Times New Roman"/>
                <w:color w:val="auto"/>
                <w:sz w:val="24"/>
                <w:lang w:eastAsia="zh-CN"/>
              </w:rPr>
              <w:t>约</w:t>
            </w:r>
            <w:r>
              <w:rPr>
                <w:rFonts w:hint="default"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val="en-US" w:eastAsia="zh-CN"/>
              </w:rPr>
              <w:t>460</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rPr>
              <w:t>处的</w:t>
            </w:r>
            <w:r>
              <w:rPr>
                <w:rFonts w:hint="default" w:ascii="Times New Roman" w:hAnsi="Times New Roman" w:eastAsia="宋体" w:cs="Times New Roman"/>
                <w:color w:val="auto"/>
                <w:sz w:val="24"/>
                <w:lang w:eastAsia="zh-CN"/>
              </w:rPr>
              <w:t>共产主义渠</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本项目废水仅为职工生活污水，经厂内化粪池处理后定期清运不外排，对地表水影响较小</w:t>
            </w:r>
            <w:r>
              <w:rPr>
                <w:rFonts w:hint="default" w:ascii="Times New Roman" w:hAnsi="Times New Roman" w:eastAsia="宋体" w:cs="Times New Roman"/>
                <w:color w:val="auto"/>
                <w:sz w:val="24"/>
              </w:rPr>
              <w:t>。</w:t>
            </w:r>
          </w:p>
          <w:p>
            <w:pPr>
              <w:keepNext w:val="0"/>
              <w:keepLines w:val="0"/>
              <w:pageBreakBefore w:val="0"/>
              <w:widowControl/>
              <w:kinsoku/>
              <w:wordWrap/>
              <w:overflowPunct/>
              <w:topLinePunct w:val="0"/>
              <w:autoSpaceDE/>
              <w:autoSpaceDN/>
              <w:bidi w:val="0"/>
              <w:adjustRightInd w:val="0"/>
              <w:snapToGrid w:val="0"/>
              <w:spacing w:line="360" w:lineRule="auto"/>
              <w:ind w:leftChars="0"/>
              <w:jc w:val="left"/>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5、土壤状况</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新乡县境地处</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"http://baike.baidu.com/view/29666.htm"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华北平原</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，为燕山运动以后下沉的地区。土壤母质系</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"http://baike.baidu.com/view/1542551.htm"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新生界</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第四系，为</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"http://baike.baidu.com/view/27555.htm"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太行山</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前冲洪积物与黄河、沁河冲积物沉积而成。形成县境内砂质、壤质、粘质三级土壤，组成6个母质机械类型。境内</w:t>
            </w:r>
            <w:r>
              <w:rPr>
                <w:rFonts w:hint="default" w:ascii="Times New Roman" w:hAnsi="Times New Roman" w:eastAsia="宋体" w:cs="Times New Roman"/>
                <w:color w:val="000000"/>
                <w:sz w:val="24"/>
              </w:rPr>
              <w:fldChar w:fldCharType="begin"/>
            </w:r>
            <w:r>
              <w:rPr>
                <w:rFonts w:hint="default" w:ascii="Times New Roman" w:hAnsi="Times New Roman" w:eastAsia="宋体" w:cs="Times New Roman"/>
                <w:color w:val="000000"/>
                <w:sz w:val="24"/>
              </w:rPr>
              <w:instrText xml:space="preserve">HYPERLINK "http://baike.baidu.com/view/788990.htm" \t "_blank"</w:instrText>
            </w:r>
            <w:r>
              <w:rPr>
                <w:rFonts w:hint="default" w:ascii="Times New Roman" w:hAnsi="Times New Roman" w:eastAsia="宋体" w:cs="Times New Roman"/>
                <w:color w:val="000000"/>
                <w:sz w:val="24"/>
              </w:rPr>
              <w:fldChar w:fldCharType="separate"/>
            </w:r>
            <w:r>
              <w:rPr>
                <w:rFonts w:hint="default" w:ascii="Times New Roman" w:hAnsi="Times New Roman" w:eastAsia="宋体" w:cs="Times New Roman"/>
                <w:color w:val="000000"/>
                <w:sz w:val="24"/>
              </w:rPr>
              <w:t>黄河故道</w:t>
            </w:r>
            <w:r>
              <w:rPr>
                <w:rFonts w:hint="default" w:ascii="Times New Roman" w:hAnsi="Times New Roman" w:eastAsia="宋体" w:cs="Times New Roman"/>
                <w:color w:val="000000"/>
                <w:sz w:val="24"/>
              </w:rPr>
              <w:fldChar w:fldCharType="end"/>
            </w:r>
            <w:r>
              <w:rPr>
                <w:rFonts w:hint="default" w:ascii="Times New Roman" w:hAnsi="Times New Roman" w:eastAsia="宋体" w:cs="Times New Roman"/>
                <w:color w:val="000000"/>
                <w:sz w:val="24"/>
              </w:rPr>
              <w:t>为沉砂组成，系砂土和砂壤土。黄河故道以北系黄河滩地，土质为褐土化小两合、褐土化两合土，并间有不同的其他类型。古阳堤以北地势低洼，地下水渗入形成潮化，土壤为小两合、两合土，间有不同的其他类型。</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项目周边500m范围内无列入《国家重点保护野生植物名录》和《国家重点保护野生动物名录》的动植物。</w:t>
            </w:r>
          </w:p>
          <w:p>
            <w:pPr>
              <w:keepNext w:val="0"/>
              <w:keepLines w:val="0"/>
              <w:pageBreakBefore w:val="0"/>
              <w:widowControl/>
              <w:numPr>
                <w:ilvl w:val="0"/>
                <w:numId w:val="2"/>
              </w:numPr>
              <w:kinsoku/>
              <w:wordWrap/>
              <w:overflowPunct/>
              <w:topLinePunct w:val="0"/>
              <w:autoSpaceDE/>
              <w:autoSpaceDN/>
              <w:bidi w:val="0"/>
              <w:adjustRightInd w:val="0"/>
              <w:snapToGrid w:val="0"/>
              <w:spacing w:line="360" w:lineRule="auto"/>
              <w:ind w:leftChars="0"/>
              <w:jc w:val="left"/>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与新乡市集中水源地及村镇集中水井保护区相符性分析</w:t>
            </w:r>
          </w:p>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right="0" w:rightChars="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四水厂地下水饮用水源保护区（共21眼井）</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一级保护区：西曹和东曹村北以北，2号井和11号井连线向北150米以南,22号井向东150米以西，12</w:t>
            </w:r>
            <w:r>
              <w:rPr>
                <w:rFonts w:hint="default" w:ascii="Times New Roman" w:hAnsi="Times New Roman" w:eastAsia="宋体" w:cs="Times New Roman"/>
                <w:sz w:val="24"/>
                <w:lang w:val="en-US" w:eastAsia="zh-CN"/>
              </w:rPr>
              <w:t>-</w:t>
            </w:r>
            <w:r>
              <w:rPr>
                <w:rFonts w:hint="default" w:ascii="Times New Roman" w:hAnsi="Times New Roman" w:eastAsia="宋体" w:cs="Times New Roman"/>
                <w:sz w:val="24"/>
              </w:rPr>
              <w:t>1号井西150米以东以及输水管线两侧10米的区域。</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二级保护区：西曹、中曹村和余庄南及七里营村北以北，西石碑和董事碑村南及高村和西贾城村北以南，21号桥以西，敦留店村西以东的区域。</w:t>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新乡县郎公庙镇水厂地下水井群（共3眼井）</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一级保护区范围：水厂厂区及外围东45米、西8米、南8米、北45米的区域（1号取水井），2、3号取水井外围50米至229省道的区域。</w:t>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3</w:t>
            </w:r>
            <w:r>
              <w:rPr>
                <w:rFonts w:hint="default" w:ascii="Times New Roman" w:hAnsi="Times New Roman" w:eastAsia="宋体" w:cs="Times New Roman"/>
                <w:sz w:val="24"/>
              </w:rPr>
              <w:t>）新乡县古固寨镇水厂地下水井群（共2眼井）</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一级保护区范围：水厂厂区及外围东15米、西45米、南35米、北10米的区域（1号取水井），2号取水井外围50米的区域。</w:t>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4</w:t>
            </w:r>
            <w:r>
              <w:rPr>
                <w:rFonts w:hint="default" w:ascii="Times New Roman" w:hAnsi="Times New Roman" w:eastAsia="宋体" w:cs="Times New Roman"/>
                <w:sz w:val="24"/>
              </w:rPr>
              <w:t>）新乡县大召营镇水厂地下水井群（共2眼井）</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一级保护区范围：水厂厂区及外围西45米、南30米、北20米、东25米的区域（1号取水井），2号取水井外围50米的区域。</w:t>
            </w:r>
          </w:p>
          <w:p>
            <w:pPr>
              <w:keepNext w:val="0"/>
              <w:keepLines w:val="0"/>
              <w:pageBreakBefore w:val="0"/>
              <w:widowControl/>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5</w:t>
            </w:r>
            <w:r>
              <w:rPr>
                <w:rFonts w:hint="default" w:ascii="Times New Roman" w:hAnsi="Times New Roman" w:eastAsia="宋体" w:cs="Times New Roman"/>
                <w:sz w:val="24"/>
              </w:rPr>
              <w:t>）新乡县翟坡镇水厂地下水井群（共3眼井）</w:t>
            </w:r>
          </w:p>
          <w:p>
            <w:pPr>
              <w:keepNext w:val="0"/>
              <w:keepLines w:val="0"/>
              <w:pageBreakBefore w:val="0"/>
              <w:widowControl/>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一级保护区范围：取水井外围50米的区</w:t>
            </w:r>
          </w:p>
          <w:p>
            <w:pPr>
              <w:pStyle w:val="21"/>
              <w:keepNext w:val="0"/>
              <w:keepLines w:val="0"/>
              <w:pageBreakBefore w:val="0"/>
              <w:widowControl/>
              <w:kinsoku/>
              <w:wordWrap/>
              <w:overflowPunct/>
              <w:topLinePunct w:val="0"/>
              <w:autoSpaceDE/>
              <w:autoSpaceDN/>
              <w:bidi w:val="0"/>
              <w:adjustRightInd w:val="0"/>
              <w:snapToGrid w:val="0"/>
              <w:ind w:left="0" w:leftChars="0" w:firstLine="480" w:firstLineChars="200"/>
              <w:textAlignment w:val="auto"/>
              <w:rPr>
                <w:rFonts w:hint="eastAsia" w:eastAsia="宋体"/>
                <w:color w:val="auto"/>
                <w:sz w:val="24"/>
                <w:lang w:eastAsia="zh-CN"/>
              </w:rPr>
            </w:pPr>
            <w:r>
              <w:rPr>
                <w:rFonts w:hint="default" w:ascii="Times New Roman" w:hAnsi="Times New Roman" w:eastAsia="宋体" w:cs="Times New Roman"/>
                <w:b w:val="0"/>
                <w:bCs w:val="0"/>
                <w:i w:val="0"/>
                <w:iCs w:val="0"/>
                <w:sz w:val="24"/>
                <w:szCs w:val="24"/>
                <w:u w:val="none"/>
                <w:lang w:val="en-US" w:eastAsia="zh-CN"/>
              </w:rPr>
              <w:t>本项目位于新乡县合河乡新王线东北永康路口南100米，同新乡市集中水源地保护区范围图对照（见附图六），该项目不在新乡市集中水源地保护区范围内，也不在各村镇集中水井保护区范围内。</w:t>
            </w:r>
          </w:p>
        </w:tc>
      </w:tr>
    </w:tbl>
    <w:p>
      <w:pPr>
        <w:adjustRightInd w:val="0"/>
        <w:snapToGrid w:val="0"/>
        <w:spacing w:line="520" w:lineRule="exact"/>
        <w:rPr>
          <w:rFonts w:hint="eastAsia" w:ascii="宋体" w:hAnsi="宋体" w:eastAsia="宋体" w:cs="宋体"/>
          <w:b/>
          <w:color w:val="auto"/>
          <w:sz w:val="30"/>
        </w:rPr>
      </w:pPr>
      <w:r>
        <w:rPr>
          <w:rFonts w:hint="eastAsia" w:ascii="宋体" w:hAnsi="宋体" w:eastAsia="宋体" w:cs="宋体"/>
          <w:b/>
          <w:color w:val="auto"/>
          <w:sz w:val="30"/>
        </w:rPr>
        <w:t>环境质量状况</w:t>
      </w:r>
    </w:p>
    <w:tbl>
      <w:tblPr>
        <w:tblStyle w:val="15"/>
        <w:tblW w:w="8946" w:type="dxa"/>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946" w:type="dxa"/>
            <w:noWrap w:val="0"/>
            <w:vAlign w:val="top"/>
          </w:tcPr>
          <w:p>
            <w:pPr>
              <w:adjustRightInd w:val="0"/>
              <w:snapToGrid w:val="0"/>
              <w:spacing w:line="360" w:lineRule="auto"/>
              <w:rPr>
                <w:b/>
                <w:color w:val="auto"/>
                <w:sz w:val="28"/>
                <w:szCs w:val="28"/>
              </w:rPr>
            </w:pPr>
            <w:r>
              <w:rPr>
                <w:b/>
                <w:color w:val="auto"/>
                <w:sz w:val="28"/>
                <w:szCs w:val="28"/>
              </w:rPr>
              <w:t>建设项目所在地区域环境质量现状及主要环境问题（环境空气、地表水、声环境、生态环境等）</w:t>
            </w:r>
          </w:p>
          <w:p>
            <w:pPr>
              <w:adjustRightInd w:val="0"/>
              <w:snapToGrid w:val="0"/>
              <w:spacing w:line="360" w:lineRule="auto"/>
              <w:jc w:val="left"/>
              <w:rPr>
                <w:b/>
                <w:color w:val="auto"/>
                <w:sz w:val="24"/>
              </w:rPr>
            </w:pPr>
            <w:r>
              <w:rPr>
                <w:b/>
                <w:color w:val="auto"/>
                <w:sz w:val="24"/>
              </w:rPr>
              <w:t>1、环境空气质量现状</w:t>
            </w:r>
          </w:p>
          <w:p>
            <w:pPr>
              <w:adjustRightInd w:val="0"/>
              <w:snapToGrid w:val="0"/>
              <w:spacing w:line="360" w:lineRule="auto"/>
              <w:ind w:firstLine="480" w:firstLineChars="200"/>
              <w:rPr>
                <w:color w:val="auto"/>
              </w:rPr>
            </w:pPr>
            <w:r>
              <w:rPr>
                <w:rFonts w:hint="eastAsia"/>
                <w:color w:val="auto"/>
                <w:sz w:val="24"/>
                <w:lang w:eastAsia="zh-CN"/>
              </w:rPr>
              <w:t>本</w:t>
            </w:r>
            <w:r>
              <w:rPr>
                <w:color w:val="auto"/>
                <w:sz w:val="24"/>
              </w:rPr>
              <w:t>项目位于</w:t>
            </w:r>
            <w:r>
              <w:rPr>
                <w:rFonts w:hint="eastAsia"/>
                <w:color w:val="auto"/>
                <w:sz w:val="24"/>
                <w:lang w:eastAsia="zh-CN"/>
              </w:rPr>
              <w:t>新乡市新乡县合河乡新王线东北永康路口南100米</w:t>
            </w:r>
            <w:r>
              <w:rPr>
                <w:color w:val="auto"/>
                <w:sz w:val="24"/>
              </w:rPr>
              <w:t>，</w:t>
            </w:r>
            <w:r>
              <w:rPr>
                <w:rFonts w:hint="eastAsia" w:ascii="Times New Roman" w:hAnsi="Times New Roman"/>
                <w:color w:val="auto"/>
                <w:sz w:val="24"/>
              </w:rPr>
              <w:t>按环境空气质量功能区的分类及标准分级，本项目大气环境质量评价区域属二类区，故</w:t>
            </w:r>
            <w:r>
              <w:rPr>
                <w:rFonts w:hint="default" w:ascii="Times New Roman" w:hAnsi="Times New Roman" w:cs="Times New Roman"/>
                <w:color w:val="auto"/>
                <w:sz w:val="24"/>
                <w:szCs w:val="24"/>
                <w:highlight w:val="none"/>
              </w:rPr>
              <w:t>环境空气质量应执行</w:t>
            </w:r>
            <w:r>
              <w:rPr>
                <w:rFonts w:hint="eastAsia" w:ascii="Times New Roman" w:hAnsi="Times New Roman"/>
                <w:color w:val="auto"/>
                <w:sz w:val="24"/>
              </w:rPr>
              <w:t>《环境空气质量标准》(GB3095-2012)及 2018 年修改单中的二级标准。</w:t>
            </w:r>
          </w:p>
          <w:p>
            <w:pPr>
              <w:adjustRightInd w:val="0"/>
              <w:snapToGrid w:val="0"/>
              <w:spacing w:line="360" w:lineRule="auto"/>
              <w:ind w:firstLine="480" w:firstLineChars="200"/>
              <w:rPr>
                <w:rFonts w:hint="eastAsia" w:ascii="Times New Roman" w:hAnsi="Times New Roman"/>
                <w:color w:val="auto"/>
                <w:sz w:val="24"/>
                <w:lang w:eastAsia="zh-CN"/>
              </w:rPr>
            </w:pPr>
            <w:r>
              <w:rPr>
                <w:rFonts w:hint="eastAsia" w:ascii="Times New Roman" w:hAnsi="Times New Roman"/>
                <w:color w:val="auto"/>
                <w:sz w:val="24"/>
              </w:rPr>
              <w:t>根据《环境影响评价技术导则 大气环境》（HJ2.2-2018），项目所在区域达标判定，基本污染物环境质量现状数据优先采用国家或地方生态环境主管部门公开发布的评价基准年环境质量公报或环境质量报告中的数据或结论。</w:t>
            </w:r>
            <w:r>
              <w:rPr>
                <w:rFonts w:hint="default" w:ascii="Times New Roman" w:hAnsi="Times New Roman" w:cs="Times New Roman"/>
                <w:b w:val="0"/>
                <w:bCs w:val="0"/>
                <w:color w:val="auto"/>
                <w:sz w:val="24"/>
                <w:highlight w:val="none"/>
                <w:u w:val="none"/>
                <w:lang w:eastAsia="zh-CN"/>
              </w:rPr>
              <w:t>本报告采用《20</w:t>
            </w:r>
            <w:r>
              <w:rPr>
                <w:rFonts w:hint="eastAsia" w:cs="Times New Roman"/>
                <w:b w:val="0"/>
                <w:bCs w:val="0"/>
                <w:color w:val="auto"/>
                <w:sz w:val="24"/>
                <w:highlight w:val="none"/>
                <w:u w:val="none"/>
                <w:lang w:val="en-US" w:eastAsia="zh-CN"/>
              </w:rPr>
              <w:t>18</w:t>
            </w:r>
            <w:r>
              <w:rPr>
                <w:rFonts w:hint="default" w:ascii="Times New Roman" w:hAnsi="Times New Roman" w:cs="Times New Roman"/>
                <w:b w:val="0"/>
                <w:bCs w:val="0"/>
                <w:color w:val="auto"/>
                <w:sz w:val="24"/>
                <w:highlight w:val="none"/>
                <w:u w:val="none"/>
                <w:lang w:eastAsia="zh-CN"/>
              </w:rPr>
              <w:t>年</w:t>
            </w:r>
            <w:r>
              <w:rPr>
                <w:rFonts w:hint="eastAsia" w:ascii="Times New Roman" w:hAnsi="Times New Roman" w:cs="Times New Roman"/>
                <w:b w:val="0"/>
                <w:bCs w:val="0"/>
                <w:color w:val="auto"/>
                <w:sz w:val="24"/>
                <w:highlight w:val="none"/>
                <w:u w:val="none"/>
                <w:lang w:val="en-US" w:eastAsia="zh-CN"/>
              </w:rPr>
              <w:t>新乡市</w:t>
            </w:r>
            <w:r>
              <w:rPr>
                <w:rFonts w:hint="default" w:ascii="Times New Roman" w:hAnsi="Times New Roman" w:cs="Times New Roman"/>
                <w:b w:val="0"/>
                <w:bCs w:val="0"/>
                <w:color w:val="auto"/>
                <w:sz w:val="24"/>
                <w:highlight w:val="none"/>
                <w:u w:val="none"/>
                <w:lang w:eastAsia="zh-CN"/>
              </w:rPr>
              <w:t>市环境空气质量状况》环境</w:t>
            </w:r>
            <w:r>
              <w:rPr>
                <w:rFonts w:hint="eastAsia" w:ascii="Times New Roman" w:hAnsi="Times New Roman" w:cs="Times New Roman"/>
                <w:b w:val="0"/>
                <w:bCs w:val="0"/>
                <w:color w:val="auto"/>
                <w:sz w:val="24"/>
                <w:highlight w:val="none"/>
                <w:u w:val="none"/>
                <w:lang w:eastAsia="zh-CN"/>
              </w:rPr>
              <w:t>质量年</w:t>
            </w:r>
            <w:r>
              <w:rPr>
                <w:rFonts w:hint="default" w:ascii="Times New Roman" w:hAnsi="Times New Roman" w:cs="Times New Roman"/>
                <w:b w:val="0"/>
                <w:bCs w:val="0"/>
                <w:color w:val="auto"/>
                <w:sz w:val="24"/>
                <w:highlight w:val="none"/>
                <w:u w:val="none"/>
                <w:lang w:eastAsia="zh-CN"/>
              </w:rPr>
              <w:t>报。201</w:t>
            </w:r>
            <w:r>
              <w:rPr>
                <w:rFonts w:hint="eastAsia" w:cs="Times New Roman"/>
                <w:b w:val="0"/>
                <w:bCs w:val="0"/>
                <w:color w:val="auto"/>
                <w:sz w:val="24"/>
                <w:highlight w:val="none"/>
                <w:u w:val="none"/>
                <w:lang w:val="en-US" w:eastAsia="zh-CN"/>
              </w:rPr>
              <w:t>8</w:t>
            </w:r>
            <w:r>
              <w:rPr>
                <w:rFonts w:hint="default" w:ascii="Times New Roman" w:hAnsi="Times New Roman" w:cs="Times New Roman"/>
                <w:b w:val="0"/>
                <w:bCs w:val="0"/>
                <w:color w:val="auto"/>
                <w:sz w:val="24"/>
                <w:highlight w:val="none"/>
                <w:u w:val="none"/>
                <w:lang w:eastAsia="zh-CN"/>
              </w:rPr>
              <w:t>年</w:t>
            </w:r>
            <w:r>
              <w:rPr>
                <w:rFonts w:hint="eastAsia" w:ascii="Times New Roman" w:hAnsi="Times New Roman" w:cs="Times New Roman"/>
                <w:b w:val="0"/>
                <w:bCs w:val="0"/>
                <w:color w:val="auto"/>
                <w:sz w:val="24"/>
                <w:highlight w:val="none"/>
                <w:u w:val="none"/>
                <w:lang w:val="en-US" w:eastAsia="zh-CN"/>
              </w:rPr>
              <w:t>新乡市</w:t>
            </w:r>
            <w:r>
              <w:rPr>
                <w:rFonts w:hint="default" w:ascii="Times New Roman" w:hAnsi="Times New Roman" w:cs="Times New Roman"/>
                <w:b w:val="0"/>
                <w:bCs w:val="0"/>
                <w:color w:val="auto"/>
                <w:sz w:val="24"/>
                <w:highlight w:val="none"/>
                <w:u w:val="none"/>
                <w:lang w:eastAsia="zh-CN"/>
              </w:rPr>
              <w:t>环境空气质量主要指标如下表所示：</w:t>
            </w:r>
          </w:p>
          <w:p>
            <w:pPr>
              <w:adjustRightInd w:val="0"/>
              <w:snapToGrid w:val="0"/>
              <w:spacing w:line="240" w:lineRule="auto"/>
              <w:ind w:firstLine="480" w:firstLineChars="200"/>
              <w:jc w:val="center"/>
              <w:rPr>
                <w:rFonts w:hint="eastAsia" w:ascii="Times New Roman" w:hAnsi="Times New Roman"/>
                <w:b w:val="0"/>
                <w:bCs w:val="0"/>
                <w:color w:val="auto"/>
                <w:sz w:val="24"/>
                <w:lang w:val="en-US" w:eastAsia="zh-CN"/>
              </w:rPr>
            </w:pPr>
            <w:r>
              <w:rPr>
                <w:rFonts w:hint="eastAsia" w:ascii="Times New Roman" w:hAnsi="Times New Roman"/>
                <w:b w:val="0"/>
                <w:bCs w:val="0"/>
                <w:color w:val="auto"/>
                <w:sz w:val="24"/>
                <w:lang w:eastAsia="zh-CN"/>
              </w:rPr>
              <w:t>表</w:t>
            </w:r>
            <w:r>
              <w:rPr>
                <w:rFonts w:hint="eastAsia" w:ascii="Times New Roman" w:hAnsi="Times New Roman"/>
                <w:b w:val="0"/>
                <w:bCs w:val="0"/>
                <w:color w:val="auto"/>
                <w:sz w:val="24"/>
                <w:lang w:val="en-US" w:eastAsia="zh-CN"/>
              </w:rPr>
              <w:t>1</w:t>
            </w:r>
            <w:r>
              <w:rPr>
                <w:rFonts w:hint="eastAsia"/>
                <w:b w:val="0"/>
                <w:bCs w:val="0"/>
                <w:color w:val="auto"/>
                <w:sz w:val="24"/>
                <w:lang w:val="en-US" w:eastAsia="zh-CN"/>
              </w:rPr>
              <w:t>1</w:t>
            </w:r>
            <w:r>
              <w:rPr>
                <w:rFonts w:hint="eastAsia" w:ascii="Times New Roman" w:hAnsi="Times New Roman"/>
                <w:b w:val="0"/>
                <w:bCs w:val="0"/>
                <w:color w:val="auto"/>
                <w:sz w:val="24"/>
                <w:lang w:eastAsia="zh-CN"/>
              </w:rPr>
              <w:t xml:space="preserve">   </w:t>
            </w:r>
            <w:r>
              <w:rPr>
                <w:rFonts w:hint="eastAsia" w:ascii="Times New Roman" w:hAnsi="Times New Roman"/>
                <w:b w:val="0"/>
                <w:bCs w:val="0"/>
                <w:color w:val="auto"/>
                <w:sz w:val="24"/>
                <w:lang w:val="en-US" w:eastAsia="zh-CN"/>
              </w:rPr>
              <w:t xml:space="preserve"> </w:t>
            </w:r>
            <w:r>
              <w:rPr>
                <w:rFonts w:hint="eastAsia" w:ascii="Times New Roman" w:hAnsi="Times New Roman"/>
                <w:b w:val="0"/>
                <w:bCs w:val="0"/>
                <w:color w:val="auto"/>
                <w:sz w:val="24"/>
                <w:lang w:eastAsia="zh-CN"/>
              </w:rPr>
              <w:t xml:space="preserve"> 项目区域环境空气质量监测结果 </w:t>
            </w:r>
          </w:p>
          <w:tbl>
            <w:tblPr>
              <w:tblStyle w:val="16"/>
              <w:tblW w:w="8700"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53"/>
              <w:gridCol w:w="1252"/>
              <w:gridCol w:w="1016"/>
              <w:gridCol w:w="1153"/>
              <w:gridCol w:w="1974"/>
              <w:gridCol w:w="942"/>
              <w:gridCol w:w="11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监测项目</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单位</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年均值</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标准限值</w:t>
                  </w:r>
                </w:p>
              </w:tc>
              <w:tc>
                <w:tcPr>
                  <w:tcW w:w="1974"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执行标准</w:t>
                  </w: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评价</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超标倍数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SO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19</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60</w:t>
                  </w:r>
                </w:p>
              </w:tc>
              <w:tc>
                <w:tcPr>
                  <w:tcW w:w="1974" w:type="dxa"/>
                  <w:vMerge w:val="restart"/>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24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default" w:ascii="Times New Roman" w:hAnsi="Times New Roman" w:eastAsia="宋体" w:cs="Times New Roman"/>
                      <w:b w:val="0"/>
                      <w:bCs w:val="0"/>
                      <w:color w:val="auto"/>
                      <w:sz w:val="21"/>
                      <w:szCs w:val="21"/>
                      <w:u w:val="none"/>
                    </w:rPr>
                    <w:t>GB3095-2012</w:t>
                  </w: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NO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49</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10</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105</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70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0.50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90" w:hRule="atLeast"/>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2.5</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61</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35</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0.74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CO</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eastAsia="宋体" w:cs="Times New Roman"/>
                      <w:b w:val="0"/>
                      <w:bCs w:val="0"/>
                      <w:color w:val="auto"/>
                      <w:sz w:val="21"/>
                      <w:szCs w:val="21"/>
                      <w:highlight w:val="none"/>
                      <w:u w:val="none"/>
                      <w:lang w:val="en-US" w:eastAsia="zh-CN"/>
                    </w:rPr>
                    <w:t>m</w:t>
                  </w:r>
                  <w:r>
                    <w:rPr>
                      <w:rFonts w:hint="default" w:ascii="Times New Roman" w:hAnsi="Times New Roman" w:cs="Times New Roman"/>
                      <w:b w:val="0"/>
                      <w:bCs w:val="0"/>
                      <w:color w:val="auto"/>
                      <w:sz w:val="21"/>
                      <w:szCs w:val="21"/>
                      <w:highlight w:val="none"/>
                      <w:u w:val="none"/>
                    </w:rPr>
                    <w:t>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2.30</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eastAsia"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O</w:t>
                  </w:r>
                  <w:r>
                    <w:rPr>
                      <w:rFonts w:hint="eastAsia" w:ascii="Times New Roman" w:hAnsi="Times New Roman" w:cs="Times New Roman"/>
                      <w:b w:val="0"/>
                      <w:bCs w:val="0"/>
                      <w:color w:val="auto"/>
                      <w:spacing w:val="-2"/>
                      <w:sz w:val="21"/>
                      <w:szCs w:val="21"/>
                      <w:highlight w:val="none"/>
                      <w:u w:val="none"/>
                      <w:vertAlign w:val="subscript"/>
                      <w:lang w:val="en-US" w:eastAsia="zh-CN"/>
                    </w:rPr>
                    <w:t>3</w:t>
                  </w:r>
                </w:p>
              </w:tc>
              <w:tc>
                <w:tcPr>
                  <w:tcW w:w="125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202</w:t>
                  </w:r>
                </w:p>
              </w:tc>
              <w:tc>
                <w:tcPr>
                  <w:tcW w:w="1153"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160</w:t>
                  </w:r>
                </w:p>
              </w:tc>
              <w:tc>
                <w:tcPr>
                  <w:tcW w:w="1974" w:type="dxa"/>
                  <w:vMerge w:val="continue"/>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yellow"/>
                      <w:u w:val="none"/>
                      <w:vertAlign w:val="baseline"/>
                      <w:lang w:val="en-US" w:eastAsia="zh-CN"/>
                    </w:rPr>
                  </w:pPr>
                </w:p>
              </w:tc>
              <w:tc>
                <w:tcPr>
                  <w:tcW w:w="942"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1"/>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eastAsia" w:ascii="Times New Roman" w:hAnsi="Times New Roman" w:cs="Times New Roman"/>
                      <w:b w:val="0"/>
                      <w:bCs w:val="0"/>
                      <w:color w:val="auto"/>
                      <w:spacing w:val="-2"/>
                      <w:sz w:val="21"/>
                      <w:szCs w:val="21"/>
                      <w:highlight w:val="none"/>
                      <w:u w:val="none"/>
                      <w:vertAlign w:val="baseline"/>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8700" w:type="dxa"/>
                  <w:gridSpan w:val="7"/>
                  <w:tcBorders>
                    <w:tl2br w:val="nil"/>
                    <w:tr2bl w:val="nil"/>
                  </w:tcBorders>
                  <w:noWrap w:val="0"/>
                  <w:vAlign w:val="top"/>
                </w:tcPr>
                <w:p>
                  <w:pPr>
                    <w:spacing w:before="0" w:line="265" w:lineRule="exact"/>
                    <w:ind w:right="0" w:firstLine="420" w:firstLineChars="200"/>
                    <w:jc w:val="left"/>
                    <w:rPr>
                      <w:rFonts w:ascii="宋体" w:hAnsi="宋体" w:eastAsia="宋体" w:cs="宋体"/>
                      <w:color w:val="auto"/>
                      <w:position w:val="2"/>
                      <w:sz w:val="21"/>
                      <w:szCs w:val="21"/>
                    </w:rPr>
                  </w:pPr>
                  <w:r>
                    <w:rPr>
                      <w:rFonts w:ascii="宋体" w:hAnsi="宋体" w:eastAsia="宋体" w:cs="宋体"/>
                      <w:color w:val="auto"/>
                      <w:sz w:val="21"/>
                      <w:szCs w:val="21"/>
                    </w:rPr>
                    <w:t>注：一氧化碳（</w:t>
                  </w:r>
                  <w:r>
                    <w:rPr>
                      <w:rFonts w:ascii="Times New Roman" w:hAnsi="Times New Roman" w:eastAsia="Times New Roman" w:cs="Times New Roman"/>
                      <w:color w:val="auto"/>
                      <w:sz w:val="21"/>
                      <w:szCs w:val="21"/>
                    </w:rPr>
                    <w:t>CO</w:t>
                  </w:r>
                  <w:r>
                    <w:rPr>
                      <w:rFonts w:ascii="宋体" w:hAnsi="宋体" w:eastAsia="宋体" w:cs="宋体"/>
                      <w:color w:val="auto"/>
                      <w:sz w:val="21"/>
                      <w:szCs w:val="21"/>
                    </w:rPr>
                    <w:t>）：一氧化碳日均值第</w:t>
                  </w:r>
                  <w:r>
                    <w:rPr>
                      <w:rFonts w:ascii="宋体" w:hAnsi="宋体" w:eastAsia="宋体" w:cs="宋体"/>
                      <w:color w:val="auto"/>
                      <w:spacing w:val="-79"/>
                      <w:sz w:val="21"/>
                      <w:szCs w:val="21"/>
                    </w:rPr>
                    <w:t xml:space="preserve"> </w:t>
                  </w:r>
                  <w:r>
                    <w:rPr>
                      <w:rFonts w:ascii="Times New Roman" w:hAnsi="Times New Roman" w:eastAsia="Times New Roman" w:cs="Times New Roman"/>
                      <w:color w:val="auto"/>
                      <w:sz w:val="21"/>
                      <w:szCs w:val="21"/>
                    </w:rPr>
                    <w:t>95</w:t>
                  </w:r>
                  <w:r>
                    <w:rPr>
                      <w:rFonts w:ascii="Times New Roman" w:hAnsi="Times New Roman" w:eastAsia="Times New Roman" w:cs="Times New Roman"/>
                      <w:color w:val="auto"/>
                      <w:spacing w:val="-28"/>
                      <w:sz w:val="21"/>
                      <w:szCs w:val="21"/>
                    </w:rPr>
                    <w:t xml:space="preserve"> </w:t>
                  </w:r>
                  <w:r>
                    <w:rPr>
                      <w:rFonts w:ascii="宋体" w:hAnsi="宋体" w:eastAsia="宋体" w:cs="宋体"/>
                      <w:color w:val="auto"/>
                      <w:sz w:val="21"/>
                      <w:szCs w:val="21"/>
                    </w:rPr>
                    <w:t>百分位数浓度；</w:t>
                  </w:r>
                  <w:r>
                    <w:rPr>
                      <w:rFonts w:ascii="宋体" w:hAnsi="宋体" w:eastAsia="宋体" w:cs="宋体"/>
                      <w:color w:val="auto"/>
                      <w:position w:val="2"/>
                      <w:sz w:val="21"/>
                      <w:szCs w:val="21"/>
                    </w:rPr>
                    <w:t>臭氧（</w:t>
                  </w:r>
                  <w:r>
                    <w:rPr>
                      <w:rFonts w:ascii="Times New Roman" w:hAnsi="Times New Roman" w:eastAsia="Times New Roman" w:cs="Times New Roman"/>
                      <w:color w:val="auto"/>
                      <w:position w:val="2"/>
                      <w:sz w:val="21"/>
                      <w:szCs w:val="21"/>
                    </w:rPr>
                    <w:t>O</w:t>
                  </w:r>
                  <w:r>
                    <w:rPr>
                      <w:rFonts w:ascii="Times New Roman" w:hAnsi="Times New Roman" w:eastAsia="Times New Roman" w:cs="Times New Roman"/>
                      <w:color w:val="auto"/>
                      <w:sz w:val="13"/>
                      <w:szCs w:val="13"/>
                    </w:rPr>
                    <w:t>3</w:t>
                  </w:r>
                  <w:r>
                    <w:rPr>
                      <w:rFonts w:ascii="宋体" w:hAnsi="宋体" w:eastAsia="宋体" w:cs="宋体"/>
                      <w:color w:val="auto"/>
                      <w:position w:val="2"/>
                      <w:sz w:val="21"/>
                      <w:szCs w:val="21"/>
                    </w:rPr>
                    <w:t>）：臭氧日最大</w:t>
                  </w:r>
                  <w:r>
                    <w:rPr>
                      <w:rFonts w:ascii="宋体" w:hAnsi="宋体" w:eastAsia="宋体" w:cs="宋体"/>
                      <w:color w:val="auto"/>
                      <w:spacing w:val="-65"/>
                      <w:position w:val="2"/>
                      <w:sz w:val="21"/>
                      <w:szCs w:val="21"/>
                    </w:rPr>
                    <w:t xml:space="preserve"> </w:t>
                  </w:r>
                  <w:r>
                    <w:rPr>
                      <w:rFonts w:ascii="Times New Roman" w:hAnsi="Times New Roman" w:eastAsia="Times New Roman" w:cs="Times New Roman"/>
                      <w:color w:val="auto"/>
                      <w:position w:val="2"/>
                      <w:sz w:val="21"/>
                      <w:szCs w:val="21"/>
                    </w:rPr>
                    <w:t>8</w:t>
                  </w:r>
                  <w:r>
                    <w:rPr>
                      <w:rFonts w:ascii="宋体" w:hAnsi="宋体" w:eastAsia="宋体" w:cs="宋体"/>
                      <w:color w:val="auto"/>
                      <w:position w:val="2"/>
                      <w:sz w:val="21"/>
                      <w:szCs w:val="21"/>
                    </w:rPr>
                    <w:t>小时均值第</w:t>
                  </w:r>
                  <w:r>
                    <w:rPr>
                      <w:rFonts w:ascii="宋体" w:hAnsi="宋体" w:eastAsia="宋体" w:cs="宋体"/>
                      <w:color w:val="auto"/>
                      <w:spacing w:val="-65"/>
                      <w:position w:val="2"/>
                      <w:sz w:val="21"/>
                      <w:szCs w:val="21"/>
                    </w:rPr>
                    <w:t xml:space="preserve"> </w:t>
                  </w:r>
                  <w:r>
                    <w:rPr>
                      <w:rFonts w:ascii="Times New Roman" w:hAnsi="Times New Roman" w:eastAsia="Times New Roman" w:cs="Times New Roman"/>
                      <w:color w:val="auto"/>
                      <w:position w:val="2"/>
                      <w:sz w:val="21"/>
                      <w:szCs w:val="21"/>
                    </w:rPr>
                    <w:t>90</w:t>
                  </w:r>
                  <w:r>
                    <w:rPr>
                      <w:rFonts w:ascii="Times New Roman" w:hAnsi="Times New Roman" w:eastAsia="Times New Roman" w:cs="Times New Roman"/>
                      <w:color w:val="auto"/>
                      <w:spacing w:val="-11"/>
                      <w:position w:val="2"/>
                      <w:sz w:val="21"/>
                      <w:szCs w:val="21"/>
                    </w:rPr>
                    <w:t xml:space="preserve"> </w:t>
                  </w:r>
                  <w:r>
                    <w:rPr>
                      <w:rFonts w:ascii="宋体" w:hAnsi="宋体" w:eastAsia="宋体" w:cs="宋体"/>
                      <w:color w:val="auto"/>
                      <w:position w:val="2"/>
                      <w:sz w:val="21"/>
                      <w:szCs w:val="21"/>
                    </w:rPr>
                    <w:t>百分位数浓度。</w:t>
                  </w:r>
                </w:p>
              </w:tc>
            </w:tr>
          </w:tbl>
          <w:p>
            <w:pPr>
              <w:keepNext w:val="0"/>
              <w:keepLines w:val="0"/>
              <w:widowControl/>
              <w:suppressLineNumbers w:val="0"/>
              <w:spacing w:line="360" w:lineRule="auto"/>
              <w:ind w:firstLine="472" w:firstLineChars="200"/>
              <w:jc w:val="left"/>
              <w:rPr>
                <w:color w:val="auto"/>
                <w:sz w:val="24"/>
              </w:rPr>
            </w:pPr>
            <w:r>
              <w:rPr>
                <w:rFonts w:hint="default" w:ascii="Times New Roman" w:hAnsi="Times New Roman" w:cs="Times New Roman"/>
                <w:b w:val="0"/>
                <w:bCs w:val="0"/>
                <w:color w:val="auto"/>
                <w:spacing w:val="-2"/>
                <w:sz w:val="24"/>
                <w:szCs w:val="24"/>
                <w:highlight w:val="none"/>
                <w:u w:val="none"/>
                <w:lang w:val="en-US" w:eastAsia="zh-CN"/>
              </w:rPr>
              <w:t>根据《环境影响评价技术导则 大气环境》（HJ2.2-2018），城市环境空气质量达标情况评价指标为：SO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、NO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10</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2.5</w:t>
            </w:r>
            <w:r>
              <w:rPr>
                <w:rFonts w:hint="default" w:ascii="Times New Roman" w:hAnsi="Times New Roman" w:cs="Times New Roman"/>
                <w:b w:val="0"/>
                <w:bCs w:val="0"/>
                <w:color w:val="auto"/>
                <w:spacing w:val="-2"/>
                <w:sz w:val="24"/>
                <w:szCs w:val="24"/>
                <w:highlight w:val="none"/>
                <w:u w:val="none"/>
                <w:lang w:val="en-US" w:eastAsia="zh-CN"/>
              </w:rPr>
              <w:t>、CO、O</w:t>
            </w:r>
            <w:r>
              <w:rPr>
                <w:rFonts w:hint="default" w:ascii="Times New Roman" w:hAnsi="Times New Roman" w:cs="Times New Roman"/>
                <w:b w:val="0"/>
                <w:bCs w:val="0"/>
                <w:color w:val="auto"/>
                <w:spacing w:val="-2"/>
                <w:sz w:val="24"/>
                <w:szCs w:val="24"/>
                <w:highlight w:val="none"/>
                <w:u w:val="none"/>
                <w:vertAlign w:val="subscript"/>
                <w:lang w:val="en-US" w:eastAsia="zh-CN"/>
              </w:rPr>
              <w:t>3</w:t>
            </w:r>
            <w:r>
              <w:rPr>
                <w:rFonts w:hint="default" w:ascii="Times New Roman" w:hAnsi="Times New Roman" w:cs="Times New Roman"/>
                <w:b w:val="0"/>
                <w:bCs w:val="0"/>
                <w:color w:val="auto"/>
                <w:spacing w:val="-2"/>
                <w:sz w:val="24"/>
                <w:szCs w:val="24"/>
                <w:highlight w:val="none"/>
                <w:u w:val="none"/>
                <w:lang w:val="en-US" w:eastAsia="zh-CN"/>
              </w:rPr>
              <w:t>，六项污染物全部达标即为城市环境质量达标。根据监测结果，监测项目中 NO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10</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2.5</w:t>
            </w:r>
            <w:r>
              <w:rPr>
                <w:rFonts w:hint="default" w:ascii="Times New Roman" w:hAnsi="Times New Roman" w:cs="Times New Roman"/>
                <w:b w:val="0"/>
                <w:bCs w:val="0"/>
                <w:color w:val="auto"/>
                <w:spacing w:val="-2"/>
                <w:sz w:val="24"/>
                <w:szCs w:val="24"/>
                <w:highlight w:val="none"/>
                <w:u w:val="none"/>
                <w:lang w:val="en-US" w:eastAsia="zh-CN"/>
              </w:rPr>
              <w:t>、O</w:t>
            </w:r>
            <w:r>
              <w:rPr>
                <w:rFonts w:hint="default" w:ascii="Times New Roman" w:hAnsi="Times New Roman" w:cs="Times New Roman"/>
                <w:b w:val="0"/>
                <w:bCs w:val="0"/>
                <w:color w:val="auto"/>
                <w:spacing w:val="-2"/>
                <w:sz w:val="24"/>
                <w:szCs w:val="24"/>
                <w:highlight w:val="none"/>
                <w:u w:val="none"/>
                <w:vertAlign w:val="subscript"/>
                <w:lang w:val="en-US" w:eastAsia="zh-CN"/>
              </w:rPr>
              <w:t>3</w:t>
            </w:r>
            <w:r>
              <w:rPr>
                <w:rFonts w:hint="default" w:ascii="Times New Roman" w:hAnsi="Times New Roman" w:cs="Times New Roman"/>
                <w:b w:val="0"/>
                <w:bCs w:val="0"/>
                <w:color w:val="auto"/>
                <w:spacing w:val="-2"/>
                <w:sz w:val="24"/>
                <w:szCs w:val="24"/>
                <w:highlight w:val="none"/>
                <w:u w:val="none"/>
                <w:lang w:val="en-US" w:eastAsia="zh-CN"/>
              </w:rPr>
              <w:t>的年均浓度值不符合《环境空气质量标准》(GB3095-2012) 及其修改单（2018 年）中的二级标准</w:t>
            </w:r>
            <w:r>
              <w:rPr>
                <w:rFonts w:hint="eastAsia" w:ascii="Times New Roman" w:hAnsi="Times New Roman" w:cs="Times New Roman"/>
                <w:b w:val="0"/>
                <w:bCs w:val="0"/>
                <w:color w:val="auto"/>
                <w:spacing w:val="-2"/>
                <w:sz w:val="24"/>
                <w:szCs w:val="24"/>
                <w:highlight w:val="none"/>
                <w:u w:val="none"/>
                <w:lang w:val="en-US" w:eastAsia="zh-CN"/>
              </w:rPr>
              <w:t>，</w:t>
            </w:r>
            <w:r>
              <w:rPr>
                <w:rFonts w:hint="default" w:ascii="Times New Roman" w:hAnsi="Times New Roman" w:cs="Times New Roman"/>
                <w:b w:val="0"/>
                <w:bCs w:val="0"/>
                <w:color w:val="auto"/>
                <w:spacing w:val="-2"/>
                <w:sz w:val="24"/>
                <w:szCs w:val="24"/>
                <w:highlight w:val="none"/>
                <w:u w:val="none"/>
                <w:lang w:val="en-US" w:eastAsia="zh-CN"/>
              </w:rPr>
              <w:t>因此，项目所在区域为不达标区域</w:t>
            </w:r>
            <w:r>
              <w:rPr>
                <w:rFonts w:hint="eastAsia" w:ascii="Times New Roman" w:hAnsi="Times New Roman" w:cs="Times New Roman"/>
                <w:b w:val="0"/>
                <w:bCs w:val="0"/>
                <w:color w:val="auto"/>
                <w:spacing w:val="-2"/>
                <w:sz w:val="24"/>
                <w:szCs w:val="24"/>
                <w:highlight w:val="none"/>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auto"/>
                <w:spacing w:val="-2"/>
                <w:sz w:val="24"/>
                <w:szCs w:val="24"/>
                <w:highlight w:val="none"/>
                <w:u w:val="none"/>
                <w:lang w:val="en-US" w:eastAsia="zh-CN"/>
              </w:rPr>
            </w:pPr>
            <w:r>
              <w:rPr>
                <w:rFonts w:hint="eastAsia" w:ascii="Times New Roman" w:hAnsi="Times New Roman" w:cs="Times New Roman"/>
                <w:b w:val="0"/>
                <w:bCs w:val="0"/>
                <w:color w:val="auto"/>
                <w:spacing w:val="-2"/>
                <w:sz w:val="24"/>
                <w:szCs w:val="24"/>
                <w:highlight w:val="none"/>
                <w:u w:val="none"/>
                <w:lang w:val="en-US" w:eastAsia="zh-CN"/>
              </w:rPr>
              <w:t>根据</w:t>
            </w:r>
            <w:r>
              <w:rPr>
                <w:rFonts w:hint="default" w:ascii="Times New Roman" w:hAnsi="Times New Roman" w:cs="Times New Roman"/>
                <w:color w:val="auto"/>
                <w:kern w:val="0"/>
                <w:sz w:val="24"/>
                <w:szCs w:val="24"/>
              </w:rPr>
              <w:t>新乡市人民政府</w:t>
            </w:r>
            <w:r>
              <w:rPr>
                <w:rFonts w:hint="default" w:ascii="Times New Roman" w:hAnsi="Times New Roman" w:cs="Times New Roman"/>
                <w:b w:val="0"/>
                <w:bCs w:val="0"/>
                <w:color w:val="auto"/>
                <w:spacing w:val="-2"/>
                <w:sz w:val="24"/>
                <w:szCs w:val="24"/>
                <w:highlight w:val="none"/>
                <w:u w:val="none"/>
                <w:lang w:val="en-US" w:eastAsia="zh-CN"/>
              </w:rPr>
              <w:t>针对空气质量问题</w:t>
            </w:r>
            <w:r>
              <w:rPr>
                <w:rFonts w:hint="eastAsia" w:ascii="宋体" w:hAnsi="宋体" w:eastAsia="宋体" w:cs="宋体"/>
                <w:color w:val="auto"/>
                <w:kern w:val="0"/>
                <w:sz w:val="24"/>
                <w:szCs w:val="24"/>
                <w:lang w:eastAsia="zh-CN"/>
              </w:rPr>
              <w:t>发布的《新乡</w:t>
            </w:r>
            <w:r>
              <w:rPr>
                <w:rFonts w:hint="default" w:ascii="Times New Roman" w:hAnsi="Times New Roman" w:eastAsia="宋体" w:cs="Times New Roman"/>
                <w:color w:val="auto"/>
                <w:kern w:val="0"/>
                <w:sz w:val="24"/>
                <w:szCs w:val="24"/>
                <w:lang w:eastAsia="zh-CN"/>
              </w:rPr>
              <w:t>市2018年</w:t>
            </w:r>
            <w:r>
              <w:rPr>
                <w:rFonts w:hint="eastAsia" w:ascii="宋体" w:hAnsi="宋体" w:eastAsia="宋体" w:cs="宋体"/>
                <w:color w:val="auto"/>
                <w:kern w:val="0"/>
                <w:sz w:val="24"/>
                <w:szCs w:val="24"/>
                <w:lang w:eastAsia="zh-CN"/>
              </w:rPr>
              <w:t>大气污染防治攻坚战实施方案的通知》以及</w:t>
            </w:r>
            <w:r>
              <w:rPr>
                <w:rFonts w:hint="eastAsia" w:ascii="Times New Roman" w:hAnsi="Times New Roman" w:eastAsia="宋体" w:cs="Times New Roman"/>
                <w:color w:val="auto"/>
                <w:kern w:val="0"/>
                <w:sz w:val="24"/>
                <w:szCs w:val="24"/>
                <w:lang w:val="en-US" w:eastAsia="zh-CN"/>
              </w:rPr>
              <w:t>《新乡市环境污染攻坚战三年行动实施方案（2018-2020年）》（新政[2018]11号）文件</w:t>
            </w:r>
            <w:r>
              <w:rPr>
                <w:rFonts w:hint="default" w:ascii="Times New Roman" w:hAnsi="Times New Roman" w:cs="Times New Roman"/>
                <w:b w:val="0"/>
                <w:bCs w:val="0"/>
                <w:color w:val="auto"/>
                <w:spacing w:val="-2"/>
                <w:sz w:val="24"/>
                <w:szCs w:val="24"/>
                <w:highlight w:val="none"/>
                <w:u w:val="none"/>
                <w:lang w:val="en-US" w:eastAsia="zh-CN"/>
              </w:rPr>
              <w:t>，区域内的环境空气质量将会得到改善。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eastAsia" w:eastAsia="宋体"/>
                <w:b w:val="0"/>
                <w:bCs/>
                <w:color w:val="auto"/>
                <w:sz w:val="24"/>
                <w:lang w:eastAsia="zh-CN"/>
              </w:rPr>
            </w:pPr>
            <w:r>
              <w:rPr>
                <w:rFonts w:hint="eastAsia"/>
                <w:b w:val="0"/>
                <w:bCs/>
                <w:color w:val="auto"/>
                <w:sz w:val="24"/>
                <w:lang w:eastAsia="zh-CN"/>
              </w:rPr>
              <w:t>本项目无废气产生，对环境空气质量无影响。</w:t>
            </w:r>
          </w:p>
          <w:p>
            <w:pPr>
              <w:adjustRightInd w:val="0"/>
              <w:snapToGrid w:val="0"/>
              <w:spacing w:line="360" w:lineRule="auto"/>
              <w:jc w:val="left"/>
              <w:rPr>
                <w:b/>
                <w:color w:val="auto"/>
                <w:sz w:val="24"/>
              </w:rPr>
            </w:pPr>
            <w:r>
              <w:rPr>
                <w:b/>
                <w:color w:val="auto"/>
                <w:sz w:val="24"/>
              </w:rPr>
              <w:t>2、水环境质量现状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highlight w:val="yellow"/>
                <w:lang w:val="en-US" w:eastAsia="zh-CN"/>
              </w:rPr>
            </w:pPr>
            <w:r>
              <w:rPr>
                <w:rFonts w:hint="default" w:ascii="Times New Roman" w:hAnsi="Times New Roman" w:eastAsia="宋体" w:cs="Times New Roman"/>
                <w:color w:val="auto"/>
                <w:sz w:val="24"/>
                <w:lang w:eastAsia="zh-CN"/>
              </w:rPr>
              <w:t>距离本项目最近的河流为</w:t>
            </w:r>
            <w:r>
              <w:rPr>
                <w:rFonts w:hint="eastAsia" w:cs="Times New Roman"/>
                <w:color w:val="auto"/>
                <w:sz w:val="24"/>
                <w:lang w:eastAsia="zh-CN"/>
              </w:rPr>
              <w:t>西</w:t>
            </w:r>
            <w:r>
              <w:rPr>
                <w:rFonts w:hint="default" w:ascii="Times New Roman" w:hAnsi="Times New Roman" w:eastAsia="宋体" w:cs="Times New Roman"/>
                <w:color w:val="auto"/>
                <w:sz w:val="24"/>
                <w:lang w:eastAsia="zh-CN"/>
              </w:rPr>
              <w:t>侧的</w:t>
            </w:r>
            <w:r>
              <w:rPr>
                <w:rFonts w:hint="eastAsia" w:ascii="Times New Roman" w:hAnsi="Times New Roman" w:eastAsia="宋体" w:cs="Times New Roman"/>
                <w:color w:val="auto"/>
                <w:sz w:val="24"/>
                <w:lang w:eastAsia="zh-CN"/>
              </w:rPr>
              <w:t>共产主义渠</w:t>
            </w:r>
            <w:r>
              <w:rPr>
                <w:rFonts w:hint="default" w:ascii="Times New Roman" w:hAnsi="Times New Roman" w:eastAsia="宋体" w:cs="Times New Roman"/>
                <w:color w:val="auto"/>
                <w:sz w:val="24"/>
                <w:lang w:eastAsia="zh-CN"/>
              </w:rPr>
              <w:t>。根据河南省水环境功能区划，共产主义渠应执行《地表水环境质量标准》（GB3838-2002）Ⅴ类标准</w:t>
            </w:r>
            <w:r>
              <w:rPr>
                <w:rFonts w:hint="default" w:ascii="Times New Roman" w:hAnsi="Times New Roman" w:eastAsia="宋体" w:cs="Times New Roman"/>
                <w:color w:val="auto"/>
                <w:sz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b w:val="0"/>
                <w:bCs w:val="0"/>
                <w:color w:val="auto"/>
                <w:sz w:val="24"/>
                <w:u w:val="none"/>
              </w:rPr>
            </w:pPr>
            <w:r>
              <w:rPr>
                <w:rFonts w:hint="default" w:ascii="Times New Roman" w:hAnsi="Times New Roman" w:eastAsia="宋体" w:cs="Times New Roman"/>
                <w:b w:val="0"/>
                <w:bCs w:val="0"/>
                <w:color w:val="auto"/>
                <w:sz w:val="24"/>
                <w:u w:val="none"/>
              </w:rPr>
              <w:t>本项目</w:t>
            </w:r>
            <w:r>
              <w:rPr>
                <w:rFonts w:hint="default" w:ascii="Times New Roman" w:hAnsi="Times New Roman" w:eastAsia="宋体" w:cs="Times New Roman"/>
                <w:b w:val="0"/>
                <w:bCs w:val="0"/>
                <w:color w:val="auto"/>
                <w:sz w:val="24"/>
                <w:highlight w:val="none"/>
                <w:u w:val="none"/>
              </w:rPr>
              <w:t>地表水的监测数据引用</w:t>
            </w:r>
            <w:r>
              <w:rPr>
                <w:rFonts w:hint="default" w:ascii="Times New Roman" w:hAnsi="Times New Roman" w:eastAsia="宋体" w:cs="Times New Roman"/>
                <w:b w:val="0"/>
                <w:bCs w:val="0"/>
                <w:color w:val="auto"/>
                <w:sz w:val="24"/>
                <w:highlight w:val="none"/>
                <w:u w:val="none"/>
                <w:lang w:val="en-US" w:eastAsia="zh-CN"/>
              </w:rPr>
              <w:t>2018年12月份新乡市责任目标断面水质状况中</w:t>
            </w:r>
            <w:r>
              <w:rPr>
                <w:rFonts w:hint="default" w:ascii="Times New Roman" w:hAnsi="Times New Roman" w:eastAsia="宋体" w:cs="Times New Roman"/>
                <w:b w:val="0"/>
                <w:bCs w:val="0"/>
                <w:color w:val="auto"/>
                <w:sz w:val="24"/>
                <w:u w:val="none"/>
                <w:lang w:eastAsia="zh-CN"/>
              </w:rPr>
              <w:t>卫辉</w:t>
            </w:r>
            <w:r>
              <w:rPr>
                <w:rFonts w:hint="eastAsia" w:ascii="Times New Roman" w:hAnsi="Times New Roman" w:eastAsia="宋体" w:cs="Times New Roman"/>
                <w:b w:val="0"/>
                <w:bCs w:val="0"/>
                <w:color w:val="auto"/>
                <w:sz w:val="24"/>
                <w:u w:val="none"/>
                <w:lang w:eastAsia="zh-CN"/>
              </w:rPr>
              <w:t>下马营</w:t>
            </w:r>
            <w:r>
              <w:rPr>
                <w:rFonts w:hint="default" w:ascii="Times New Roman" w:hAnsi="Times New Roman" w:eastAsia="宋体" w:cs="Times New Roman"/>
                <w:b w:val="0"/>
                <w:bCs w:val="0"/>
                <w:color w:val="auto"/>
                <w:sz w:val="24"/>
                <w:u w:val="none"/>
                <w:lang w:eastAsia="zh-CN"/>
              </w:rPr>
              <w:t>断面</w:t>
            </w:r>
            <w:r>
              <w:rPr>
                <w:rFonts w:hint="default" w:ascii="Times New Roman" w:hAnsi="Times New Roman" w:eastAsia="宋体" w:cs="Times New Roman"/>
                <w:b w:val="0"/>
                <w:bCs w:val="0"/>
                <w:color w:val="auto"/>
                <w:sz w:val="24"/>
                <w:u w:val="none"/>
              </w:rPr>
              <w:t>的监测数据。地表水环境质量监测结果见表</w:t>
            </w:r>
            <w:r>
              <w:rPr>
                <w:rFonts w:hint="default" w:ascii="Times New Roman" w:hAnsi="Times New Roman" w:eastAsia="宋体" w:cs="Times New Roman"/>
                <w:b w:val="0"/>
                <w:bCs w:val="0"/>
                <w:color w:val="auto"/>
                <w:sz w:val="24"/>
                <w:u w:val="none"/>
                <w:lang w:val="en-US" w:eastAsia="zh-CN"/>
              </w:rPr>
              <w:t>1</w:t>
            </w:r>
            <w:r>
              <w:rPr>
                <w:rFonts w:hint="eastAsia" w:cs="Times New Roman"/>
                <w:b w:val="0"/>
                <w:bCs w:val="0"/>
                <w:color w:val="auto"/>
                <w:sz w:val="24"/>
                <w:u w:val="none"/>
                <w:lang w:val="en-US" w:eastAsia="zh-CN"/>
              </w:rPr>
              <w:t>2</w:t>
            </w:r>
            <w:r>
              <w:rPr>
                <w:rFonts w:hint="default" w:ascii="Times New Roman" w:hAnsi="Times New Roman" w:eastAsia="宋体" w:cs="Times New Roman"/>
                <w:b w:val="0"/>
                <w:bCs w:val="0"/>
                <w:color w:val="auto"/>
                <w:sz w:val="24"/>
                <w:u w:val="none"/>
                <w:lang w:val="en-US" w:eastAsia="zh-CN"/>
              </w:rPr>
              <w:t>。</w:t>
            </w:r>
          </w:p>
          <w:p>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color w:val="auto"/>
                <w:sz w:val="24"/>
                <w:u w:val="none"/>
              </w:rPr>
            </w:pPr>
            <w:r>
              <w:rPr>
                <w:rFonts w:hint="default" w:ascii="Times New Roman" w:hAnsi="Times New Roman" w:eastAsia="宋体" w:cs="Times New Roman"/>
                <w:b w:val="0"/>
                <w:bCs w:val="0"/>
                <w:color w:val="auto"/>
                <w:sz w:val="24"/>
                <w:u w:val="none"/>
              </w:rPr>
              <w:t>表</w:t>
            </w:r>
            <w:r>
              <w:rPr>
                <w:rFonts w:hint="default" w:ascii="Times New Roman" w:hAnsi="Times New Roman" w:eastAsia="宋体" w:cs="Times New Roman"/>
                <w:b w:val="0"/>
                <w:bCs w:val="0"/>
                <w:color w:val="auto"/>
                <w:sz w:val="24"/>
                <w:u w:val="none"/>
                <w:lang w:val="en-US" w:eastAsia="zh-CN"/>
              </w:rPr>
              <w:t>1</w:t>
            </w:r>
            <w:r>
              <w:rPr>
                <w:rFonts w:hint="eastAsia" w:cs="Times New Roman"/>
                <w:b w:val="0"/>
                <w:bCs w:val="0"/>
                <w:color w:val="auto"/>
                <w:sz w:val="24"/>
                <w:u w:val="none"/>
                <w:lang w:val="en-US" w:eastAsia="zh-CN"/>
              </w:rPr>
              <w:t>2</w:t>
            </w:r>
            <w:r>
              <w:rPr>
                <w:rFonts w:hint="default" w:ascii="Times New Roman" w:hAnsi="Times New Roman" w:eastAsia="宋体" w:cs="Times New Roman"/>
                <w:b w:val="0"/>
                <w:bCs w:val="0"/>
                <w:color w:val="auto"/>
                <w:sz w:val="24"/>
                <w:u w:val="none"/>
                <w:lang w:val="en-US" w:eastAsia="zh-CN"/>
              </w:rPr>
              <w:t xml:space="preserve">         卫辉</w:t>
            </w:r>
            <w:r>
              <w:rPr>
                <w:rFonts w:hint="eastAsia" w:ascii="Times New Roman" w:hAnsi="Times New Roman" w:eastAsia="宋体" w:cs="Times New Roman"/>
                <w:b w:val="0"/>
                <w:bCs w:val="0"/>
                <w:color w:val="auto"/>
                <w:sz w:val="24"/>
                <w:u w:val="none"/>
                <w:lang w:val="en-US" w:eastAsia="zh-CN"/>
              </w:rPr>
              <w:t>下马营</w:t>
            </w:r>
            <w:r>
              <w:rPr>
                <w:rFonts w:hint="default" w:ascii="Times New Roman" w:hAnsi="Times New Roman" w:eastAsia="宋体" w:cs="Times New Roman"/>
                <w:b w:val="0"/>
                <w:bCs w:val="0"/>
                <w:color w:val="auto"/>
                <w:sz w:val="24"/>
                <w:u w:val="none"/>
                <w:lang w:eastAsia="zh-CN"/>
              </w:rPr>
              <w:t>断面</w:t>
            </w:r>
          </w:p>
          <w:tbl>
            <w:tblPr>
              <w:tblStyle w:val="15"/>
              <w:tblW w:w="870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60"/>
              <w:gridCol w:w="1980"/>
              <w:gridCol w:w="22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项目</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监测值（</w:t>
                  </w:r>
                  <w:r>
                    <w:rPr>
                      <w:rFonts w:hint="default" w:ascii="Times New Roman" w:hAnsi="Times New Roman" w:eastAsia="宋体" w:cs="Times New Roman"/>
                      <w:b w:val="0"/>
                      <w:bCs w:val="0"/>
                      <w:color w:val="auto"/>
                      <w:sz w:val="24"/>
                      <w:u w:val="none"/>
                    </w:rPr>
                    <w:t>mg/L</w:t>
                  </w:r>
                  <w:r>
                    <w:rPr>
                      <w:rFonts w:hint="default" w:ascii="Times New Roman" w:hAnsi="Times New Roman" w:eastAsia="宋体" w:cs="Times New Roman"/>
                      <w:b w:val="0"/>
                      <w:bCs w:val="0"/>
                      <w:color w:val="auto"/>
                      <w:sz w:val="21"/>
                      <w:szCs w:val="21"/>
                      <w:u w:val="none"/>
                      <w:lang w:eastAsia="zh-CN"/>
                    </w:rPr>
                    <w:t>）</w:t>
                  </w:r>
                </w:p>
              </w:tc>
              <w:tc>
                <w:tcPr>
                  <w:tcW w:w="1980"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达标率</w:t>
                  </w:r>
                </w:p>
              </w:tc>
              <w:tc>
                <w:tcPr>
                  <w:tcW w:w="2242"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评价标准</w:t>
                  </w:r>
                  <w:r>
                    <w:rPr>
                      <w:rFonts w:hint="default" w:ascii="Times New Roman" w:hAnsi="Times New Roman" w:eastAsia="宋体" w:cs="Times New Roman"/>
                      <w:b w:val="0"/>
                      <w:bCs w:val="0"/>
                      <w:color w:val="auto"/>
                      <w:sz w:val="21"/>
                      <w:szCs w:val="21"/>
                      <w:u w:val="none"/>
                      <w:lang w:eastAsia="zh-CN"/>
                    </w:rPr>
                    <w:t>（</w:t>
                  </w:r>
                  <w:r>
                    <w:rPr>
                      <w:rFonts w:hint="default" w:ascii="Times New Roman" w:hAnsi="Times New Roman" w:eastAsia="宋体" w:cs="Times New Roman"/>
                      <w:b w:val="0"/>
                      <w:bCs w:val="0"/>
                      <w:color w:val="auto"/>
                      <w:sz w:val="24"/>
                      <w:u w:val="none"/>
                    </w:rPr>
                    <w:t>mg/L</w:t>
                  </w:r>
                  <w:r>
                    <w:rPr>
                      <w:rFonts w:hint="default" w:ascii="Times New Roman" w:hAnsi="Times New Roman" w:eastAsia="宋体" w:cs="Times New Roman"/>
                      <w:b w:val="0"/>
                      <w:bCs w:val="0"/>
                      <w:color w:val="auto"/>
                      <w:sz w:val="21"/>
                      <w:szCs w:val="21"/>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2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COD</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33</w:t>
                  </w:r>
                  <w:r>
                    <w:rPr>
                      <w:rFonts w:hint="default" w:ascii="Times New Roman" w:hAnsi="Times New Roman" w:eastAsia="宋体" w:cs="Times New Roman"/>
                      <w:b w:val="0"/>
                      <w:bCs w:val="0"/>
                      <w:color w:val="auto"/>
                      <w:sz w:val="21"/>
                      <w:szCs w:val="21"/>
                      <w:u w:val="none"/>
                      <w:lang w:val="en-US" w:eastAsia="zh-CN"/>
                    </w:rPr>
                    <w:t>.0</w:t>
                  </w:r>
                </w:p>
              </w:tc>
              <w:tc>
                <w:tcPr>
                  <w:tcW w:w="1980" w:type="dxa"/>
                  <w:noWrap w:val="0"/>
                  <w:vAlign w:val="center"/>
                </w:tcPr>
                <w:p>
                  <w:pPr>
                    <w:widowControl/>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100%</w:t>
                  </w:r>
                </w:p>
              </w:tc>
              <w:tc>
                <w:tcPr>
                  <w:tcW w:w="2242" w:type="dxa"/>
                  <w:noWrap w:val="0"/>
                  <w:vAlign w:val="center"/>
                </w:tcPr>
                <w:p>
                  <w:pPr>
                    <w:widowControl/>
                    <w:jc w:val="center"/>
                    <w:rPr>
                      <w:rFonts w:hint="default" w:ascii="Times New Roman" w:hAnsi="Times New Roman" w:eastAsia="宋体" w:cs="Times New Roman"/>
                      <w:b w:val="0"/>
                      <w:bCs w:val="0"/>
                      <w:color w:val="auto"/>
                      <w:sz w:val="21"/>
                      <w:szCs w:val="21"/>
                      <w:u w:val="none"/>
                      <w:lang w:val="en-US"/>
                    </w:rPr>
                  </w:pPr>
                  <w:r>
                    <w:rPr>
                      <w:rFonts w:hint="default" w:ascii="Times New Roman" w:hAnsi="Times New Roman" w:eastAsia="宋体" w:cs="Times New Roman"/>
                      <w:b w:val="0"/>
                      <w:bCs w:val="0"/>
                      <w:color w:val="auto"/>
                      <w:sz w:val="21"/>
                      <w:szCs w:val="21"/>
                      <w:u w:val="none"/>
                    </w:rPr>
                    <w:t>≤</w:t>
                  </w:r>
                  <w:r>
                    <w:rPr>
                      <w:rFonts w:hint="default" w:ascii="Times New Roman" w:hAnsi="Times New Roman" w:eastAsia="宋体" w:cs="Times New Roman"/>
                      <w:b w:val="0"/>
                      <w:bCs w:val="0"/>
                      <w:color w:val="auto"/>
                      <w:sz w:val="21"/>
                      <w:szCs w:val="21"/>
                      <w:u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氨氮</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0.9</w:t>
                  </w:r>
                  <w:r>
                    <w:rPr>
                      <w:rFonts w:hint="default" w:ascii="Times New Roman" w:hAnsi="Times New Roman" w:eastAsia="宋体" w:cs="Times New Roman"/>
                      <w:b w:val="0"/>
                      <w:bCs w:val="0"/>
                      <w:color w:val="auto"/>
                      <w:sz w:val="21"/>
                      <w:szCs w:val="21"/>
                      <w:u w:val="none"/>
                      <w:lang w:val="en-US" w:eastAsia="zh-CN"/>
                    </w:rPr>
                    <w:t>0</w:t>
                  </w:r>
                </w:p>
              </w:tc>
              <w:tc>
                <w:tcPr>
                  <w:tcW w:w="1980" w:type="dxa"/>
                  <w:noWrap w:val="0"/>
                  <w:vAlign w:val="center"/>
                </w:tcPr>
                <w:p>
                  <w:pPr>
                    <w:widowControl/>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lang w:val="en-US" w:eastAsia="zh-CN"/>
                    </w:rPr>
                    <w:t>100%</w:t>
                  </w:r>
                </w:p>
              </w:tc>
              <w:tc>
                <w:tcPr>
                  <w:tcW w:w="2242" w:type="dxa"/>
                  <w:noWrap w:val="0"/>
                  <w:vAlign w:val="center"/>
                </w:tcPr>
                <w:p>
                  <w:pPr>
                    <w:widowControl/>
                    <w:jc w:val="center"/>
                    <w:rPr>
                      <w:rFonts w:hint="default" w:ascii="Times New Roman" w:hAnsi="Times New Roman" w:eastAsia="宋体" w:cs="Times New Roman"/>
                      <w:b w:val="0"/>
                      <w:bCs w:val="0"/>
                      <w:color w:val="auto"/>
                      <w:sz w:val="21"/>
                      <w:szCs w:val="21"/>
                      <w:u w:val="none"/>
                      <w:lang w:val="en-US"/>
                    </w:rPr>
                  </w:pPr>
                  <w:r>
                    <w:rPr>
                      <w:rFonts w:hint="default" w:ascii="Times New Roman" w:hAnsi="Times New Roman" w:eastAsia="宋体" w:cs="Times New Roman"/>
                      <w:b w:val="0"/>
                      <w:bCs w:val="0"/>
                      <w:color w:val="auto"/>
                      <w:sz w:val="21"/>
                      <w:szCs w:val="21"/>
                      <w:u w:val="none"/>
                    </w:rPr>
                    <w:t>≤</w:t>
                  </w:r>
                  <w:r>
                    <w:rPr>
                      <w:rFonts w:hint="default" w:ascii="Times New Roman" w:hAnsi="Times New Roman" w:eastAsia="宋体" w:cs="Times New Roman"/>
                      <w:b w:val="0"/>
                      <w:bCs w:val="0"/>
                      <w:color w:val="auto"/>
                      <w:sz w:val="21"/>
                      <w:szCs w:val="21"/>
                      <w:u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总磷</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color w:val="auto"/>
                      <w:sz w:val="21"/>
                      <w:szCs w:val="21"/>
                      <w:u w:val="none"/>
                      <w:lang w:val="en-US"/>
                    </w:rPr>
                  </w:pPr>
                  <w:r>
                    <w:rPr>
                      <w:rFonts w:hint="default" w:ascii="Times New Roman" w:hAnsi="Times New Roman" w:eastAsia="宋体" w:cs="Times New Roman"/>
                      <w:b w:val="0"/>
                      <w:bCs w:val="0"/>
                      <w:color w:val="auto"/>
                      <w:sz w:val="21"/>
                      <w:szCs w:val="21"/>
                      <w:u w:val="none"/>
                      <w:lang w:val="en-US" w:eastAsia="zh-CN"/>
                    </w:rPr>
                    <w:t>0</w:t>
                  </w:r>
                  <w:r>
                    <w:rPr>
                      <w:rFonts w:hint="eastAsia" w:ascii="Times New Roman" w:hAnsi="Times New Roman" w:eastAsia="宋体" w:cs="Times New Roman"/>
                      <w:b w:val="0"/>
                      <w:bCs w:val="0"/>
                      <w:color w:val="auto"/>
                      <w:sz w:val="21"/>
                      <w:szCs w:val="21"/>
                      <w:u w:val="none"/>
                      <w:lang w:val="en-US" w:eastAsia="zh-CN"/>
                    </w:rPr>
                    <w:t>.17</w:t>
                  </w:r>
                </w:p>
              </w:tc>
              <w:tc>
                <w:tcPr>
                  <w:tcW w:w="1980" w:type="dxa"/>
                  <w:noWrap w:val="0"/>
                  <w:vAlign w:val="center"/>
                </w:tcPr>
                <w:p>
                  <w:pPr>
                    <w:widowControl/>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lang w:val="en-US" w:eastAsia="zh-CN"/>
                    </w:rPr>
                    <w:t>100%</w:t>
                  </w:r>
                </w:p>
              </w:tc>
              <w:tc>
                <w:tcPr>
                  <w:tcW w:w="2242" w:type="dxa"/>
                  <w:noWrap w:val="0"/>
                  <w:vAlign w:val="center"/>
                </w:tcPr>
                <w:p>
                  <w:pPr>
                    <w:widowControl/>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w:t>
                  </w:r>
                  <w:r>
                    <w:rPr>
                      <w:rFonts w:hint="default" w:ascii="Times New Roman" w:hAnsi="Times New Roman" w:eastAsia="宋体" w:cs="Times New Roman"/>
                      <w:b w:val="0"/>
                      <w:bCs w:val="0"/>
                      <w:color w:val="auto"/>
                      <w:sz w:val="21"/>
                      <w:szCs w:val="21"/>
                      <w:u w:val="none"/>
                      <w:lang w:val="en-US" w:eastAsia="zh-CN"/>
                    </w:rPr>
                    <w:t>0.4</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right="0" w:rightChars="0" w:firstLine="480" w:firstLineChars="200"/>
              <w:jc w:val="both"/>
              <w:textAlignment w:val="auto"/>
              <w:outlineLvl w:val="9"/>
              <w:rPr>
                <w:rFonts w:hint="default" w:ascii="Times New Roman" w:hAnsi="Times New Roman" w:eastAsia="宋体" w:cs="Times New Roman"/>
                <w:b/>
                <w:color w:val="auto"/>
                <w:sz w:val="24"/>
              </w:rPr>
            </w:pPr>
            <w:r>
              <w:rPr>
                <w:rFonts w:hint="default" w:ascii="Times New Roman" w:hAnsi="Times New Roman" w:eastAsia="宋体" w:cs="Times New Roman"/>
                <w:color w:val="auto"/>
                <w:sz w:val="24"/>
                <w:lang w:eastAsia="zh-CN"/>
              </w:rPr>
              <w:t>由统计结果可知，COD、氨氮和总磷能满足《地表水环境质量标准》（GB3838-2002）V类水质标准。本</w:t>
            </w:r>
            <w:r>
              <w:rPr>
                <w:rFonts w:hint="default" w:ascii="Times New Roman" w:hAnsi="Times New Roman" w:eastAsia="宋体" w:cs="Times New Roman"/>
                <w:bCs/>
                <w:color w:val="auto"/>
                <w:sz w:val="24"/>
                <w:lang w:eastAsia="zh-CN"/>
              </w:rPr>
              <w:t>项目</w:t>
            </w:r>
            <w:r>
              <w:rPr>
                <w:rFonts w:hint="default" w:ascii="Times New Roman" w:hAnsi="Times New Roman" w:eastAsia="宋体" w:cs="Times New Roman"/>
                <w:b w:val="0"/>
                <w:bCs w:val="0"/>
                <w:color w:val="auto"/>
                <w:sz w:val="24"/>
                <w:u w:val="none"/>
              </w:rPr>
              <w:t>的</w:t>
            </w:r>
            <w:r>
              <w:rPr>
                <w:rFonts w:hint="default" w:ascii="Times New Roman" w:hAnsi="Times New Roman" w:eastAsia="宋体" w:cs="Times New Roman"/>
                <w:b w:val="0"/>
                <w:bCs w:val="0"/>
                <w:color w:val="auto"/>
                <w:sz w:val="24"/>
                <w:u w:val="none"/>
                <w:lang w:eastAsia="zh-CN"/>
              </w:rPr>
              <w:t>用</w:t>
            </w:r>
            <w:r>
              <w:rPr>
                <w:rFonts w:hint="default" w:ascii="Times New Roman" w:hAnsi="Times New Roman" w:eastAsia="宋体" w:cs="Times New Roman"/>
                <w:b w:val="0"/>
                <w:bCs w:val="0"/>
                <w:color w:val="auto"/>
                <w:sz w:val="24"/>
                <w:u w:val="none"/>
              </w:rPr>
              <w:t>水主要为职工生活用水</w:t>
            </w:r>
            <w:r>
              <w:rPr>
                <w:rFonts w:hint="default" w:ascii="Times New Roman" w:hAnsi="Times New Roman" w:eastAsia="宋体" w:cs="Times New Roman"/>
                <w:b w:val="0"/>
                <w:bCs w:val="0"/>
                <w:color w:val="auto"/>
                <w:sz w:val="24"/>
                <w:u w:val="none"/>
                <w:lang w:eastAsia="zh-CN"/>
              </w:rPr>
              <w:t>，其中生活污水经厂内化粪池处理后定期清运，不外排，对地表水环境影响较小。</w:t>
            </w:r>
          </w:p>
          <w:p>
            <w:pPr>
              <w:adjustRightInd w:val="0"/>
              <w:snapToGrid w:val="0"/>
              <w:spacing w:line="360" w:lineRule="auto"/>
              <w:jc w:val="left"/>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3、声环境质量现状</w:t>
            </w:r>
          </w:p>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根据《声环境功能区划技术规范》（</w:t>
            </w:r>
            <w:r>
              <w:rPr>
                <w:rFonts w:hint="default" w:ascii="Times New Roman" w:hAnsi="Times New Roman" w:eastAsia="宋体" w:cs="Times New Roman"/>
                <w:color w:val="000000" w:themeColor="text1"/>
                <w:sz w:val="24"/>
                <w:lang w:val="en-US" w:eastAsia="zh-CN"/>
                <w14:textFill>
                  <w14:solidFill>
                    <w14:schemeClr w14:val="tx1"/>
                  </w14:solidFill>
                </w14:textFill>
              </w:rPr>
              <w:t>GB/T15190-2014</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建设项目所在区域为</w:t>
            </w:r>
            <w:r>
              <w:rPr>
                <w:rFonts w:hint="eastAsia"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类区，</w:t>
            </w:r>
            <w:r>
              <w:rPr>
                <w:rFonts w:hint="default" w:ascii="Times New Roman" w:hAnsi="Times New Roman" w:eastAsia="宋体" w:cs="Times New Roman"/>
                <w:b w:val="0"/>
                <w:bCs w:val="0"/>
                <w:color w:val="000000" w:themeColor="text1"/>
                <w:sz w:val="24"/>
                <w:lang w:eastAsia="zh-CN"/>
                <w14:textFill>
                  <w14:solidFill>
                    <w14:schemeClr w14:val="tx1"/>
                  </w14:solidFill>
                </w14:textFill>
              </w:rPr>
              <w:t>故</w:t>
            </w:r>
            <w:r>
              <w:rPr>
                <w:rFonts w:hint="default" w:ascii="Times New Roman" w:hAnsi="Times New Roman" w:eastAsia="宋体" w:cs="Times New Roman"/>
                <w:color w:val="000000" w:themeColor="text1"/>
                <w:sz w:val="24"/>
                <w14:textFill>
                  <w14:solidFill>
                    <w14:schemeClr w14:val="tx1"/>
                  </w14:solidFill>
                </w14:textFill>
              </w:rPr>
              <w:t>厂区</w:t>
            </w:r>
            <w:r>
              <w:rPr>
                <w:rFonts w:hint="default" w:ascii="Times New Roman" w:hAnsi="Times New Roman" w:eastAsia="宋体" w:cs="Times New Roman"/>
                <w:color w:val="000000" w:themeColor="text1"/>
                <w:sz w:val="24"/>
                <w:lang w:eastAsia="zh-CN"/>
                <w14:textFill>
                  <w14:solidFill>
                    <w14:schemeClr w14:val="tx1"/>
                  </w14:solidFill>
                </w14:textFill>
              </w:rPr>
              <w:t>四周</w:t>
            </w:r>
            <w:r>
              <w:rPr>
                <w:rFonts w:hint="default" w:ascii="Times New Roman" w:hAnsi="Times New Roman" w:eastAsia="宋体" w:cs="Times New Roman"/>
                <w:color w:val="000000" w:themeColor="text1"/>
                <w:sz w:val="24"/>
                <w14:textFill>
                  <w14:solidFill>
                    <w14:schemeClr w14:val="tx1"/>
                  </w14:solidFill>
                </w14:textFill>
              </w:rPr>
              <w:t>边界</w:t>
            </w:r>
            <w:r>
              <w:rPr>
                <w:rFonts w:hint="default" w:ascii="Times New Roman" w:hAnsi="Times New Roman" w:eastAsia="宋体" w:cs="Times New Roman"/>
                <w:color w:val="000000" w:themeColor="text1"/>
                <w:sz w:val="24"/>
                <w:lang w:eastAsia="zh-CN"/>
                <w14:textFill>
                  <w14:solidFill>
                    <w14:schemeClr w14:val="tx1"/>
                  </w14:solidFill>
                </w14:textFill>
              </w:rPr>
              <w:t>均</w:t>
            </w:r>
            <w:r>
              <w:rPr>
                <w:rFonts w:hint="default" w:ascii="Times New Roman" w:hAnsi="Times New Roman" w:eastAsia="宋体" w:cs="Times New Roman"/>
                <w:color w:val="000000" w:themeColor="text1"/>
                <w:sz w:val="24"/>
                <w14:textFill>
                  <w14:solidFill>
                    <w14:schemeClr w14:val="tx1"/>
                  </w14:solidFill>
                </w14:textFill>
              </w:rPr>
              <w:t>应执行《声环境质量标准》（GB3096-2008）</w:t>
            </w:r>
            <w:r>
              <w:rPr>
                <w:rFonts w:hint="eastAsia"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类标准。</w:t>
            </w:r>
            <w:r>
              <w:rPr>
                <w:rFonts w:hint="default" w:ascii="Times New Roman" w:hAnsi="Times New Roman" w:eastAsia="宋体" w:cs="Times New Roman"/>
                <w:color w:val="000000" w:themeColor="text1"/>
                <w:sz w:val="24"/>
                <w:lang w:val="en-US" w:eastAsia="zh-CN"/>
                <w14:textFill>
                  <w14:solidFill>
                    <w14:schemeClr w14:val="tx1"/>
                  </w14:solidFill>
                </w14:textFill>
              </w:rPr>
              <w:t>201</w:t>
            </w:r>
            <w:r>
              <w:rPr>
                <w:rFonts w:hint="eastAsia" w:cs="Times New Roman"/>
                <w:color w:val="000000" w:themeColor="text1"/>
                <w:sz w:val="24"/>
                <w:lang w:val="en-US" w:eastAsia="zh-CN"/>
                <w14:textFill>
                  <w14:solidFill>
                    <w14:schemeClr w14:val="tx1"/>
                  </w14:solidFill>
                </w14:textFill>
              </w:rPr>
              <w:t>9</w:t>
            </w:r>
            <w:r>
              <w:rPr>
                <w:rFonts w:hint="default" w:ascii="Times New Roman" w:hAnsi="Times New Roman" w:eastAsia="宋体" w:cs="Times New Roman"/>
                <w:color w:val="000000" w:themeColor="text1"/>
                <w:sz w:val="24"/>
                <w:lang w:val="en-US" w:eastAsia="zh-CN"/>
                <w14:textFill>
                  <w14:solidFill>
                    <w14:schemeClr w14:val="tx1"/>
                  </w14:solidFill>
                </w14:textFill>
              </w:rPr>
              <w:t>年</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hd w:val="clear" w:color="auto" w:fill="auto"/>
                <w14:textFill>
                  <w14:solidFill>
                    <w14:schemeClr w14:val="tx1"/>
                  </w14:solidFill>
                </w14:textFill>
              </w:rPr>
              <w:t>月</w:t>
            </w:r>
            <w:r>
              <w:rPr>
                <w:rFonts w:hint="eastAsia" w:cs="Times New Roman"/>
                <w:b w:val="0"/>
                <w:bCs/>
                <w:color w:val="000000" w:themeColor="text1"/>
                <w:sz w:val="24"/>
                <w:shd w:val="clear" w:color="auto" w:fill="auto"/>
                <w:lang w:val="en-US" w:eastAsia="zh-CN"/>
                <w14:textFill>
                  <w14:solidFill>
                    <w14:schemeClr w14:val="tx1"/>
                  </w14:solidFill>
                </w14:textFill>
              </w:rPr>
              <w:t>14</w:t>
            </w:r>
            <w:r>
              <w:rPr>
                <w:rFonts w:hint="default" w:ascii="Times New Roman" w:hAnsi="Times New Roman" w:eastAsia="宋体" w:cs="Times New Roman"/>
                <w:b w:val="0"/>
                <w:bCs/>
                <w:color w:val="000000" w:themeColor="text1"/>
                <w:sz w:val="24"/>
                <w:shd w:val="clear" w:color="auto" w:fill="auto"/>
                <w14:textFill>
                  <w14:solidFill>
                    <w14:schemeClr w14:val="tx1"/>
                  </w14:solidFill>
                </w14:textFill>
              </w:rPr>
              <w:t>日-</w:t>
            </w:r>
            <w:r>
              <w:rPr>
                <w:rFonts w:hint="eastAsia" w:cs="Times New Roman"/>
                <w:b w:val="0"/>
                <w:bCs/>
                <w:color w:val="000000" w:themeColor="text1"/>
                <w:sz w:val="24"/>
                <w:shd w:val="clear" w:color="auto" w:fill="auto"/>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hd w:val="clear" w:color="auto" w:fill="auto"/>
                <w14:textFill>
                  <w14:solidFill>
                    <w14:schemeClr w14:val="tx1"/>
                  </w14:solidFill>
                </w14:textFill>
              </w:rPr>
              <w:t>月</w:t>
            </w:r>
            <w:r>
              <w:rPr>
                <w:rFonts w:hint="eastAsia" w:cs="Times New Roman"/>
                <w:b w:val="0"/>
                <w:bCs/>
                <w:color w:val="000000" w:themeColor="text1"/>
                <w:sz w:val="24"/>
                <w:shd w:val="clear" w:color="auto" w:fill="auto"/>
                <w:lang w:val="en-US" w:eastAsia="zh-CN"/>
                <w14:textFill>
                  <w14:solidFill>
                    <w14:schemeClr w14:val="tx1"/>
                  </w14:solidFill>
                </w14:textFill>
              </w:rPr>
              <w:t>15</w:t>
            </w:r>
            <w:r>
              <w:rPr>
                <w:rFonts w:hint="default" w:ascii="Times New Roman" w:hAnsi="Times New Roman" w:eastAsia="宋体" w:cs="Times New Roman"/>
                <w:b w:val="0"/>
                <w:bCs/>
                <w:color w:val="000000" w:themeColor="text1"/>
                <w:sz w:val="24"/>
                <w14:textFill>
                  <w14:solidFill>
                    <w14:schemeClr w14:val="tx1"/>
                  </w14:solidFill>
                </w14:textFill>
              </w:rPr>
              <w:t>日</w:t>
            </w:r>
            <w:r>
              <w:rPr>
                <w:rFonts w:hint="default" w:ascii="Times New Roman" w:hAnsi="Times New Roman" w:eastAsia="宋体" w:cs="Times New Roman"/>
                <w:bCs/>
                <w:color w:val="000000" w:themeColor="text1"/>
                <w:sz w:val="24"/>
                <w14:textFill>
                  <w14:solidFill>
                    <w14:schemeClr w14:val="tx1"/>
                  </w14:solidFill>
                </w14:textFill>
              </w:rPr>
              <w:t>通过对项目</w:t>
            </w:r>
            <w:r>
              <w:rPr>
                <w:rFonts w:hint="default" w:ascii="Times New Roman" w:hAnsi="Times New Roman" w:eastAsia="宋体" w:cs="Times New Roman"/>
                <w:bCs/>
                <w:color w:val="000000" w:themeColor="text1"/>
                <w:sz w:val="24"/>
                <w:lang w:eastAsia="zh-CN"/>
                <w14:textFill>
                  <w14:solidFill>
                    <w14:schemeClr w14:val="tx1"/>
                  </w14:solidFill>
                </w14:textFill>
              </w:rPr>
              <w:t>厂界</w:t>
            </w:r>
            <w:r>
              <w:rPr>
                <w:rFonts w:hint="default" w:ascii="Times New Roman" w:hAnsi="Times New Roman" w:eastAsia="宋体" w:cs="Times New Roman"/>
                <w:bCs/>
                <w:color w:val="000000" w:themeColor="text1"/>
                <w:sz w:val="24"/>
                <w14:textFill>
                  <w14:solidFill>
                    <w14:schemeClr w14:val="tx1"/>
                  </w14:solidFill>
                </w14:textFill>
              </w:rPr>
              <w:t>声环境质量现场</w:t>
            </w:r>
            <w:r>
              <w:rPr>
                <w:rFonts w:hint="default" w:ascii="Times New Roman" w:hAnsi="Times New Roman" w:eastAsia="宋体" w:cs="Times New Roman"/>
                <w:bCs/>
                <w:color w:val="000000" w:themeColor="text1"/>
                <w:sz w:val="24"/>
                <w:lang w:eastAsia="zh-CN"/>
                <w14:textFill>
                  <w14:solidFill>
                    <w14:schemeClr w14:val="tx1"/>
                  </w14:solidFill>
                </w14:textFill>
              </w:rPr>
              <w:t>调查</w:t>
            </w:r>
            <w:r>
              <w:rPr>
                <w:rFonts w:hint="default" w:ascii="Times New Roman" w:hAnsi="Times New Roman" w:eastAsia="宋体" w:cs="Times New Roman"/>
                <w:bCs/>
                <w:color w:val="000000" w:themeColor="text1"/>
                <w:sz w:val="24"/>
                <w14:textFill>
                  <w14:solidFill>
                    <w14:schemeClr w14:val="tx1"/>
                  </w14:solidFill>
                </w14:textFill>
              </w:rPr>
              <w:t>，现场</w:t>
            </w:r>
            <w:r>
              <w:rPr>
                <w:rFonts w:hint="default" w:ascii="Times New Roman" w:hAnsi="Times New Roman" w:eastAsia="宋体" w:cs="Times New Roman"/>
                <w:bCs/>
                <w:color w:val="000000" w:themeColor="text1"/>
                <w:sz w:val="24"/>
                <w:lang w:eastAsia="zh-CN"/>
                <w14:textFill>
                  <w14:solidFill>
                    <w14:schemeClr w14:val="tx1"/>
                  </w14:solidFill>
                </w14:textFill>
              </w:rPr>
              <w:t>调查</w:t>
            </w:r>
            <w:r>
              <w:rPr>
                <w:rFonts w:hint="default" w:ascii="Times New Roman" w:hAnsi="Times New Roman" w:eastAsia="宋体" w:cs="Times New Roman"/>
                <w:bCs/>
                <w:color w:val="000000" w:themeColor="text1"/>
                <w:sz w:val="24"/>
                <w14:textFill>
                  <w14:solidFill>
                    <w14:schemeClr w14:val="tx1"/>
                  </w14:solidFill>
                </w14:textFill>
              </w:rPr>
              <w:t>结果见表</w:t>
            </w:r>
            <w:r>
              <w:rPr>
                <w:rFonts w:hint="default" w:ascii="Times New Roman" w:hAnsi="Times New Roman" w:eastAsia="宋体" w:cs="Times New Roman"/>
                <w:bCs/>
                <w:color w:val="000000" w:themeColor="text1"/>
                <w:sz w:val="24"/>
                <w:lang w:val="en-US" w:eastAsia="zh-CN"/>
                <w14:textFill>
                  <w14:solidFill>
                    <w14:schemeClr w14:val="tx1"/>
                  </w14:solidFill>
                </w14:textFill>
              </w:rPr>
              <w:t>1</w:t>
            </w:r>
            <w:r>
              <w:rPr>
                <w:rFonts w:hint="eastAsia" w:cs="Times New Roman"/>
                <w:bCs/>
                <w:color w:val="000000" w:themeColor="text1"/>
                <w:sz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14:textFill>
                  <w14:solidFill>
                    <w14:schemeClr w14:val="tx1"/>
                  </w14:solidFill>
                </w14:textFill>
              </w:rPr>
              <w:t>。</w:t>
            </w:r>
          </w:p>
          <w:p>
            <w:pPr>
              <w:adjustRightInd w:val="0"/>
              <w:snapToGrid w:val="0"/>
              <w:spacing w:line="240" w:lineRule="auto"/>
              <w:ind w:firstLine="1200" w:firstLineChars="500"/>
              <w:rPr>
                <w:bCs/>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1</w:t>
            </w:r>
            <w:r>
              <w:rPr>
                <w:rFonts w:hint="eastAsia" w:cs="Times New Roman"/>
                <w:color w:val="auto"/>
                <w:sz w:val="24"/>
                <w:lang w:val="en-US" w:eastAsia="zh-CN"/>
              </w:rPr>
              <w:t>3</w:t>
            </w:r>
            <w:r>
              <w:rPr>
                <w:rFonts w:hint="default" w:ascii="Times New Roman" w:hAnsi="Times New Roman" w:eastAsia="宋体" w:cs="Times New Roman"/>
                <w:color w:val="auto"/>
                <w:sz w:val="24"/>
              </w:rPr>
              <w:t xml:space="preserve">   </w:t>
            </w:r>
            <w:r>
              <w:rPr>
                <w:rFonts w:hint="default" w:ascii="Times New Roman" w:hAnsi="Times New Roman" w:cs="Times New Roman"/>
                <w:color w:val="auto"/>
                <w:sz w:val="24"/>
              </w:rPr>
              <w:t xml:space="preserve"> </w:t>
            </w:r>
            <w:r>
              <w:rPr>
                <w:rFonts w:hint="default"/>
                <w:color w:val="auto"/>
                <w:sz w:val="24"/>
              </w:rPr>
              <w:t xml:space="preserve">   </w:t>
            </w:r>
            <w:r>
              <w:rPr>
                <w:rFonts w:hint="default"/>
                <w:color w:val="auto"/>
                <w:sz w:val="24"/>
                <w:lang w:val="en-US" w:eastAsia="zh-CN"/>
              </w:rPr>
              <w:t xml:space="preserve"> </w:t>
            </w:r>
            <w:r>
              <w:rPr>
                <w:rFonts w:hint="default"/>
                <w:color w:val="auto"/>
                <w:sz w:val="24"/>
              </w:rPr>
              <w:t>项</w:t>
            </w:r>
            <w:r>
              <w:rPr>
                <w:rFonts w:hint="default"/>
                <w:color w:val="auto"/>
                <w:sz w:val="24"/>
                <w:highlight w:val="none"/>
              </w:rPr>
              <w:t>目区声环境现状</w:t>
            </w:r>
            <w:r>
              <w:rPr>
                <w:rFonts w:hint="eastAsia"/>
                <w:color w:val="auto"/>
                <w:sz w:val="24"/>
                <w:lang w:eastAsia="zh-CN"/>
              </w:rPr>
              <w:t>调查</w:t>
            </w:r>
            <w:r>
              <w:rPr>
                <w:rFonts w:hint="default"/>
                <w:color w:val="auto"/>
                <w:sz w:val="24"/>
              </w:rPr>
              <w:t>结果一览表</w:t>
            </w:r>
          </w:p>
          <w:tbl>
            <w:tblPr>
              <w:tblStyle w:val="15"/>
              <w:tblW w:w="87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1707"/>
              <w:gridCol w:w="1733"/>
              <w:gridCol w:w="1499"/>
              <w:gridCol w:w="16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112" w:type="dxa"/>
                  <w:vMerge w:val="restart"/>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方位</w:t>
                  </w:r>
                </w:p>
              </w:tc>
              <w:tc>
                <w:tcPr>
                  <w:tcW w:w="3440" w:type="dxa"/>
                  <w:gridSpan w:val="2"/>
                  <w:noWrap w:val="0"/>
                  <w:vAlign w:val="center"/>
                </w:tcPr>
                <w:p>
                  <w:pPr>
                    <w:jc w:val="center"/>
                    <w:rPr>
                      <w:rFonts w:hint="default" w:ascii="Times New Roman" w:hAnsi="Times New Roman" w:eastAsia="宋体" w:cs="Times New Roman"/>
                      <w:bCs/>
                      <w:color w:val="auto"/>
                      <w:szCs w:val="21"/>
                      <w:lang w:eastAsia="zh-CN"/>
                    </w:rPr>
                  </w:pPr>
                  <w:r>
                    <w:rPr>
                      <w:rFonts w:hint="default" w:ascii="Times New Roman" w:hAnsi="Times New Roman" w:cs="Times New Roman"/>
                      <w:bCs/>
                      <w:color w:val="auto"/>
                      <w:szCs w:val="21"/>
                    </w:rPr>
                    <w:t>昼间</w:t>
                  </w:r>
                </w:p>
              </w:tc>
              <w:tc>
                <w:tcPr>
                  <w:tcW w:w="3148" w:type="dxa"/>
                  <w:gridSpan w:val="2"/>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jc w:val="center"/>
              </w:trPr>
              <w:tc>
                <w:tcPr>
                  <w:tcW w:w="2112" w:type="dxa"/>
                  <w:vMerge w:val="continue"/>
                  <w:noWrap w:val="0"/>
                  <w:vAlign w:val="center"/>
                </w:tcPr>
                <w:p>
                  <w:pPr>
                    <w:jc w:val="center"/>
                    <w:rPr>
                      <w:rFonts w:hint="default" w:ascii="Times New Roman" w:hAnsi="Times New Roman" w:cs="Times New Roman"/>
                      <w:bCs/>
                      <w:color w:val="auto"/>
                      <w:szCs w:val="21"/>
                    </w:rPr>
                  </w:pPr>
                </w:p>
              </w:tc>
              <w:tc>
                <w:tcPr>
                  <w:tcW w:w="1707"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测量值dB（A）</w:t>
                  </w:r>
                </w:p>
              </w:tc>
              <w:tc>
                <w:tcPr>
                  <w:tcW w:w="1733"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标准值dB（A）</w:t>
                  </w:r>
                </w:p>
              </w:tc>
              <w:tc>
                <w:tcPr>
                  <w:tcW w:w="1499" w:type="dxa"/>
                  <w:noWrap w:val="0"/>
                  <w:vAlign w:val="center"/>
                </w:tcPr>
                <w:p>
                  <w:pPr>
                    <w:jc w:val="center"/>
                    <w:rPr>
                      <w:rFonts w:hint="default" w:ascii="Times New Roman" w:hAnsi="Times New Roman" w:eastAsia="宋体" w:cs="Times New Roman"/>
                      <w:bCs/>
                      <w:color w:val="auto"/>
                      <w:szCs w:val="21"/>
                      <w:lang w:eastAsia="zh-CN"/>
                    </w:rPr>
                  </w:pPr>
                  <w:r>
                    <w:rPr>
                      <w:rFonts w:hint="default" w:ascii="Times New Roman" w:hAnsi="Times New Roman" w:cs="Times New Roman"/>
                      <w:bCs/>
                      <w:color w:val="auto"/>
                      <w:szCs w:val="21"/>
                    </w:rPr>
                    <w:t>测量值dB（A）</w:t>
                  </w:r>
                </w:p>
              </w:tc>
              <w:tc>
                <w:tcPr>
                  <w:tcW w:w="1649" w:type="dxa"/>
                  <w:noWrap w:val="0"/>
                  <w:vAlign w:val="center"/>
                </w:tcPr>
                <w:p>
                  <w:pPr>
                    <w:jc w:val="center"/>
                    <w:rPr>
                      <w:rFonts w:hint="default" w:ascii="Times New Roman" w:hAnsi="Times New Roman" w:eastAsia="宋体" w:cs="Times New Roman"/>
                      <w:bCs/>
                      <w:color w:val="auto"/>
                      <w:szCs w:val="21"/>
                      <w:lang w:eastAsia="zh-CN"/>
                    </w:rPr>
                  </w:pPr>
                  <w:r>
                    <w:rPr>
                      <w:rFonts w:hint="default" w:ascii="Times New Roman" w:hAnsi="Times New Roman" w:cs="Times New Roman"/>
                      <w:bCs/>
                      <w:color w:val="auto"/>
                      <w:szCs w:val="21"/>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2112"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东厂界</w:t>
                  </w:r>
                </w:p>
              </w:tc>
              <w:tc>
                <w:tcPr>
                  <w:tcW w:w="1707" w:type="dxa"/>
                  <w:noWrap w:val="0"/>
                  <w:vAlign w:val="center"/>
                </w:tcPr>
                <w:p>
                  <w:pPr>
                    <w:spacing w:line="240" w:lineRule="atLeast"/>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1.8</w:t>
                  </w:r>
                  <w:r>
                    <w:rPr>
                      <w:rFonts w:hint="default" w:ascii="Times New Roman" w:hAnsi="Times New Roman" w:cs="Times New Roman"/>
                      <w:b w:val="0"/>
                      <w:bCs/>
                      <w:color w:val="auto"/>
                      <w:kern w:val="24"/>
                      <w:sz w:val="21"/>
                      <w:szCs w:val="21"/>
                    </w:rPr>
                    <w:t>~52.</w:t>
                  </w:r>
                  <w:r>
                    <w:rPr>
                      <w:rFonts w:hint="default" w:ascii="Times New Roman" w:hAnsi="Times New Roman" w:cs="Times New Roman"/>
                      <w:b w:val="0"/>
                      <w:bCs/>
                      <w:color w:val="auto"/>
                      <w:kern w:val="24"/>
                      <w:sz w:val="21"/>
                      <w:szCs w:val="21"/>
                      <w:lang w:val="en-US" w:eastAsia="zh-CN"/>
                    </w:rPr>
                    <w:t>2</w:t>
                  </w:r>
                </w:p>
              </w:tc>
              <w:tc>
                <w:tcPr>
                  <w:tcW w:w="1733" w:type="dxa"/>
                  <w:vMerge w:val="restart"/>
                  <w:noWrap w:val="0"/>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6</w:t>
                  </w:r>
                  <w:r>
                    <w:rPr>
                      <w:rFonts w:hint="eastAsia" w:cs="Times New Roman"/>
                      <w:bCs/>
                      <w:color w:val="auto"/>
                      <w:szCs w:val="21"/>
                      <w:lang w:val="en-US" w:eastAsia="zh-CN"/>
                    </w:rPr>
                    <w:t>0</w:t>
                  </w:r>
                </w:p>
              </w:tc>
              <w:tc>
                <w:tcPr>
                  <w:tcW w:w="1499" w:type="dxa"/>
                  <w:noWrap w:val="0"/>
                  <w:vAlign w:val="center"/>
                </w:tcPr>
                <w:p>
                  <w:pPr>
                    <w:spacing w:line="240" w:lineRule="atLeast"/>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 w:val="0"/>
                      <w:bCs/>
                      <w:color w:val="auto"/>
                      <w:kern w:val="24"/>
                      <w:sz w:val="21"/>
                      <w:szCs w:val="21"/>
                    </w:rPr>
                    <w:t>4</w:t>
                  </w:r>
                  <w:r>
                    <w:rPr>
                      <w:rFonts w:hint="default" w:ascii="Times New Roman" w:hAnsi="Times New Roman" w:cs="Times New Roman"/>
                      <w:b w:val="0"/>
                      <w:bCs/>
                      <w:color w:val="auto"/>
                      <w:kern w:val="24"/>
                      <w:sz w:val="21"/>
                      <w:szCs w:val="21"/>
                      <w:lang w:val="en-US" w:eastAsia="zh-CN"/>
                    </w:rPr>
                    <w:t>3</w:t>
                  </w:r>
                  <w:r>
                    <w:rPr>
                      <w:rFonts w:hint="default" w:ascii="Times New Roman" w:hAnsi="Times New Roman" w:cs="Times New Roman"/>
                      <w:b w:val="0"/>
                      <w:bCs/>
                      <w:color w:val="auto"/>
                      <w:kern w:val="24"/>
                      <w:sz w:val="21"/>
                      <w:szCs w:val="21"/>
                    </w:rPr>
                    <w:t>.4~4</w:t>
                  </w:r>
                  <w:r>
                    <w:rPr>
                      <w:rFonts w:hint="default" w:ascii="Times New Roman" w:hAnsi="Times New Roman" w:cs="Times New Roman"/>
                      <w:b w:val="0"/>
                      <w:bCs/>
                      <w:color w:val="auto"/>
                      <w:kern w:val="24"/>
                      <w:sz w:val="21"/>
                      <w:szCs w:val="21"/>
                      <w:lang w:val="en-US" w:eastAsia="zh-CN"/>
                    </w:rPr>
                    <w:t>5</w:t>
                  </w:r>
                  <w:r>
                    <w:rPr>
                      <w:rFonts w:hint="default" w:ascii="Times New Roman" w:hAnsi="Times New Roman" w:cs="Times New Roman"/>
                      <w:b w:val="0"/>
                      <w:bCs/>
                      <w:color w:val="auto"/>
                      <w:kern w:val="24"/>
                      <w:sz w:val="21"/>
                      <w:szCs w:val="21"/>
                    </w:rPr>
                    <w:t>.9</w:t>
                  </w:r>
                </w:p>
              </w:tc>
              <w:tc>
                <w:tcPr>
                  <w:tcW w:w="1649" w:type="dxa"/>
                  <w:vMerge w:val="restart"/>
                  <w:noWrap w:val="0"/>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5</w:t>
                  </w:r>
                  <w:r>
                    <w:rPr>
                      <w:rFonts w:hint="eastAsia" w:cs="Times New Roman"/>
                      <w:bCs/>
                      <w:color w:val="auto"/>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2112"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南厂界</w:t>
                  </w:r>
                </w:p>
              </w:tc>
              <w:tc>
                <w:tcPr>
                  <w:tcW w:w="1707" w:type="dxa"/>
                  <w:noWrap w:val="0"/>
                  <w:vAlign w:val="center"/>
                </w:tcPr>
                <w:p>
                  <w:pPr>
                    <w:spacing w:line="240" w:lineRule="atLeast"/>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4.4</w:t>
                  </w: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4</w:t>
                  </w:r>
                  <w:r>
                    <w:rPr>
                      <w:rFonts w:hint="default" w:ascii="Times New Roman" w:hAnsi="Times New Roman" w:cs="Times New Roman"/>
                      <w:b w:val="0"/>
                      <w:bCs/>
                      <w:color w:val="auto"/>
                      <w:kern w:val="24"/>
                      <w:sz w:val="21"/>
                      <w:szCs w:val="21"/>
                    </w:rPr>
                    <w:t>.6</w:t>
                  </w:r>
                </w:p>
              </w:tc>
              <w:tc>
                <w:tcPr>
                  <w:tcW w:w="1733" w:type="dxa"/>
                  <w:vMerge w:val="continue"/>
                  <w:noWrap w:val="0"/>
                  <w:vAlign w:val="center"/>
                </w:tcPr>
                <w:p>
                  <w:pPr>
                    <w:jc w:val="center"/>
                    <w:rPr>
                      <w:rFonts w:hint="default" w:ascii="Times New Roman" w:hAnsi="Times New Roman" w:eastAsia="宋体" w:cs="Times New Roman"/>
                      <w:bCs/>
                      <w:color w:val="auto"/>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color w:val="auto"/>
                      <w:szCs w:val="21"/>
                      <w:lang w:val="en-US" w:eastAsia="zh-CN"/>
                    </w:rPr>
                  </w:pPr>
                  <w:r>
                    <w:rPr>
                      <w:rFonts w:hint="default" w:ascii="Times New Roman" w:hAnsi="Times New Roman" w:cs="Times New Roman"/>
                      <w:b w:val="0"/>
                      <w:bCs/>
                      <w:color w:val="auto"/>
                      <w:kern w:val="24"/>
                      <w:sz w:val="21"/>
                      <w:szCs w:val="21"/>
                    </w:rPr>
                    <w:t>4</w:t>
                  </w:r>
                  <w:r>
                    <w:rPr>
                      <w:rFonts w:hint="default" w:ascii="Times New Roman" w:hAnsi="Times New Roman" w:cs="Times New Roman"/>
                      <w:b w:val="0"/>
                      <w:bCs/>
                      <w:color w:val="auto"/>
                      <w:kern w:val="24"/>
                      <w:sz w:val="21"/>
                      <w:szCs w:val="21"/>
                      <w:lang w:val="en-US" w:eastAsia="zh-CN"/>
                    </w:rPr>
                    <w:t>2</w:t>
                  </w:r>
                  <w:r>
                    <w:rPr>
                      <w:rFonts w:hint="default" w:ascii="Times New Roman" w:hAnsi="Times New Roman" w:cs="Times New Roman"/>
                      <w:b w:val="0"/>
                      <w:bCs/>
                      <w:color w:val="auto"/>
                      <w:kern w:val="24"/>
                      <w:sz w:val="21"/>
                      <w:szCs w:val="21"/>
                    </w:rPr>
                    <w:t>.3~4</w:t>
                  </w:r>
                  <w:r>
                    <w:rPr>
                      <w:rFonts w:hint="default" w:ascii="Times New Roman" w:hAnsi="Times New Roman" w:cs="Times New Roman"/>
                      <w:b w:val="0"/>
                      <w:bCs/>
                      <w:color w:val="auto"/>
                      <w:kern w:val="24"/>
                      <w:sz w:val="21"/>
                      <w:szCs w:val="21"/>
                      <w:lang w:val="en-US" w:eastAsia="zh-CN"/>
                    </w:rPr>
                    <w:t>4</w:t>
                  </w:r>
                  <w:r>
                    <w:rPr>
                      <w:rFonts w:hint="default" w:ascii="Times New Roman" w:hAnsi="Times New Roman" w:cs="Times New Roman"/>
                      <w:b w:val="0"/>
                      <w:bCs/>
                      <w:color w:val="auto"/>
                      <w:kern w:val="24"/>
                      <w:sz w:val="21"/>
                      <w:szCs w:val="21"/>
                    </w:rPr>
                    <w:t>.1</w:t>
                  </w:r>
                </w:p>
              </w:tc>
              <w:tc>
                <w:tcPr>
                  <w:tcW w:w="1649" w:type="dxa"/>
                  <w:vMerge w:val="continue"/>
                  <w:noWrap w:val="0"/>
                  <w:vAlign w:val="center"/>
                </w:tcPr>
                <w:p>
                  <w:pPr>
                    <w:jc w:val="center"/>
                    <w:rPr>
                      <w:rFonts w:hint="default" w:ascii="Times New Roman" w:hAnsi="Times New Roman" w:eastAsia="宋体" w:cs="Times New Roman"/>
                      <w:bCs/>
                      <w:color w:val="auto"/>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2112"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西厂界</w:t>
                  </w:r>
                </w:p>
              </w:tc>
              <w:tc>
                <w:tcPr>
                  <w:tcW w:w="1707" w:type="dxa"/>
                  <w:noWrap w:val="0"/>
                  <w:vAlign w:val="center"/>
                </w:tcPr>
                <w:p>
                  <w:pPr>
                    <w:spacing w:line="240" w:lineRule="atLeast"/>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1.7</w:t>
                  </w: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2.3</w:t>
                  </w:r>
                </w:p>
              </w:tc>
              <w:tc>
                <w:tcPr>
                  <w:tcW w:w="1733" w:type="dxa"/>
                  <w:vMerge w:val="continue"/>
                  <w:noWrap w:val="0"/>
                  <w:vAlign w:val="center"/>
                </w:tcPr>
                <w:p>
                  <w:pPr>
                    <w:jc w:val="center"/>
                    <w:rPr>
                      <w:rFonts w:hint="default" w:ascii="Times New Roman" w:hAnsi="Times New Roman" w:eastAsia="宋体" w:cs="Times New Roman"/>
                      <w:bCs/>
                      <w:color w:val="auto"/>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color w:val="auto"/>
                      <w:szCs w:val="21"/>
                      <w:lang w:val="en-US" w:eastAsia="zh-CN"/>
                    </w:rPr>
                  </w:pPr>
                  <w:r>
                    <w:rPr>
                      <w:rFonts w:hint="default" w:ascii="Times New Roman" w:hAnsi="Times New Roman" w:cs="Times New Roman"/>
                      <w:b w:val="0"/>
                      <w:bCs/>
                      <w:color w:val="auto"/>
                      <w:kern w:val="24"/>
                      <w:sz w:val="21"/>
                      <w:szCs w:val="21"/>
                    </w:rPr>
                    <w:t>4</w:t>
                  </w:r>
                  <w:r>
                    <w:rPr>
                      <w:rFonts w:hint="default" w:ascii="Times New Roman" w:hAnsi="Times New Roman" w:cs="Times New Roman"/>
                      <w:b w:val="0"/>
                      <w:bCs/>
                      <w:color w:val="auto"/>
                      <w:kern w:val="24"/>
                      <w:sz w:val="21"/>
                      <w:szCs w:val="21"/>
                      <w:lang w:val="en-US" w:eastAsia="zh-CN"/>
                    </w:rPr>
                    <w:t>5</w:t>
                  </w:r>
                  <w:r>
                    <w:rPr>
                      <w:rFonts w:hint="default" w:ascii="Times New Roman" w:hAnsi="Times New Roman" w:cs="Times New Roman"/>
                      <w:b w:val="0"/>
                      <w:bCs/>
                      <w:color w:val="auto"/>
                      <w:kern w:val="24"/>
                      <w:sz w:val="21"/>
                      <w:szCs w:val="21"/>
                    </w:rPr>
                    <w:t>.8~4</w:t>
                  </w:r>
                  <w:r>
                    <w:rPr>
                      <w:rFonts w:hint="default" w:ascii="Times New Roman" w:hAnsi="Times New Roman" w:cs="Times New Roman"/>
                      <w:b w:val="0"/>
                      <w:bCs/>
                      <w:color w:val="auto"/>
                      <w:kern w:val="24"/>
                      <w:sz w:val="21"/>
                      <w:szCs w:val="21"/>
                      <w:lang w:val="en-US" w:eastAsia="zh-CN"/>
                    </w:rPr>
                    <w:t>6</w:t>
                  </w:r>
                  <w:r>
                    <w:rPr>
                      <w:rFonts w:hint="default" w:ascii="Times New Roman" w:hAnsi="Times New Roman" w:cs="Times New Roman"/>
                      <w:b w:val="0"/>
                      <w:bCs/>
                      <w:color w:val="auto"/>
                      <w:kern w:val="24"/>
                      <w:sz w:val="21"/>
                      <w:szCs w:val="21"/>
                    </w:rPr>
                    <w:t>.1</w:t>
                  </w:r>
                </w:p>
              </w:tc>
              <w:tc>
                <w:tcPr>
                  <w:tcW w:w="1649" w:type="dxa"/>
                  <w:vMerge w:val="continue"/>
                  <w:noWrap w:val="0"/>
                  <w:vAlign w:val="center"/>
                </w:tcPr>
                <w:p>
                  <w:pPr>
                    <w:jc w:val="center"/>
                    <w:rPr>
                      <w:rFonts w:hint="default" w:ascii="Times New Roman" w:hAnsi="Times New Roman" w:eastAsia="宋体" w:cs="Times New Roman"/>
                      <w:bCs/>
                      <w:color w:val="auto"/>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112"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北厂界</w:t>
                  </w:r>
                </w:p>
              </w:tc>
              <w:tc>
                <w:tcPr>
                  <w:tcW w:w="1707" w:type="dxa"/>
                  <w:noWrap w:val="0"/>
                  <w:vAlign w:val="center"/>
                </w:tcPr>
                <w:p>
                  <w:pPr>
                    <w:spacing w:line="240" w:lineRule="atLeast"/>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 w:val="0"/>
                      <w:bCs/>
                      <w:color w:val="auto"/>
                      <w:kern w:val="24"/>
                      <w:sz w:val="21"/>
                      <w:szCs w:val="21"/>
                    </w:rPr>
                    <w:t>5</w:t>
                  </w:r>
                  <w:r>
                    <w:rPr>
                      <w:rFonts w:hint="default" w:ascii="Times New Roman" w:hAnsi="Times New Roman" w:cs="Times New Roman"/>
                      <w:b w:val="0"/>
                      <w:bCs/>
                      <w:color w:val="auto"/>
                      <w:kern w:val="24"/>
                      <w:sz w:val="21"/>
                      <w:szCs w:val="21"/>
                      <w:lang w:val="en-US" w:eastAsia="zh-CN"/>
                    </w:rPr>
                    <w:t>3.1</w:t>
                  </w:r>
                  <w:r>
                    <w:rPr>
                      <w:rFonts w:hint="default" w:ascii="Times New Roman" w:hAnsi="Times New Roman" w:cs="Times New Roman"/>
                      <w:b w:val="0"/>
                      <w:bCs/>
                      <w:color w:val="auto"/>
                      <w:kern w:val="24"/>
                      <w:sz w:val="21"/>
                      <w:szCs w:val="21"/>
                    </w:rPr>
                    <w:t>~53.5</w:t>
                  </w:r>
                </w:p>
              </w:tc>
              <w:tc>
                <w:tcPr>
                  <w:tcW w:w="1733" w:type="dxa"/>
                  <w:vMerge w:val="continue"/>
                  <w:noWrap w:val="0"/>
                  <w:vAlign w:val="center"/>
                </w:tcPr>
                <w:p>
                  <w:pPr>
                    <w:jc w:val="center"/>
                    <w:rPr>
                      <w:rFonts w:hint="default" w:ascii="Times New Roman" w:hAnsi="Times New Roman" w:cs="Times New Roman"/>
                      <w:bCs/>
                      <w:color w:val="auto"/>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color w:val="auto"/>
                      <w:szCs w:val="21"/>
                      <w:lang w:val="en-US" w:eastAsia="zh-CN"/>
                    </w:rPr>
                  </w:pPr>
                  <w:r>
                    <w:rPr>
                      <w:rFonts w:hint="default" w:ascii="Times New Roman" w:hAnsi="Times New Roman" w:cs="Times New Roman"/>
                      <w:b w:val="0"/>
                      <w:bCs/>
                      <w:color w:val="auto"/>
                      <w:kern w:val="24"/>
                      <w:sz w:val="21"/>
                      <w:szCs w:val="21"/>
                    </w:rPr>
                    <w:t>4</w:t>
                  </w:r>
                  <w:r>
                    <w:rPr>
                      <w:rFonts w:hint="default" w:ascii="Times New Roman" w:hAnsi="Times New Roman" w:cs="Times New Roman"/>
                      <w:b w:val="0"/>
                      <w:bCs/>
                      <w:color w:val="auto"/>
                      <w:kern w:val="24"/>
                      <w:sz w:val="21"/>
                      <w:szCs w:val="21"/>
                      <w:lang w:val="en-US" w:eastAsia="zh-CN"/>
                    </w:rPr>
                    <w:t>4</w:t>
                  </w:r>
                  <w:r>
                    <w:rPr>
                      <w:rFonts w:hint="default" w:ascii="Times New Roman" w:hAnsi="Times New Roman" w:cs="Times New Roman"/>
                      <w:b w:val="0"/>
                      <w:bCs/>
                      <w:color w:val="auto"/>
                      <w:kern w:val="24"/>
                      <w:sz w:val="21"/>
                      <w:szCs w:val="21"/>
                    </w:rPr>
                    <w:t>.4~45.8</w:t>
                  </w:r>
                </w:p>
              </w:tc>
              <w:tc>
                <w:tcPr>
                  <w:tcW w:w="1649" w:type="dxa"/>
                  <w:vMerge w:val="continue"/>
                  <w:noWrap w:val="0"/>
                  <w:vAlign w:val="center"/>
                </w:tcPr>
                <w:p>
                  <w:pPr>
                    <w:jc w:val="center"/>
                    <w:rPr>
                      <w:rFonts w:hint="default" w:ascii="Times New Roman" w:hAnsi="Times New Roman" w:cs="Times New Roman"/>
                      <w:bCs/>
                      <w:color w:val="auto"/>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112" w:type="dxa"/>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eastAsia="zh-CN"/>
                    </w:rPr>
                    <w:t>东北永康新型社区</w:t>
                  </w:r>
                </w:p>
              </w:tc>
              <w:tc>
                <w:tcPr>
                  <w:tcW w:w="1707" w:type="dxa"/>
                  <w:noWrap w:val="0"/>
                  <w:vAlign w:val="center"/>
                </w:tcPr>
                <w:p>
                  <w:pPr>
                    <w:spacing w:line="240" w:lineRule="atLeast"/>
                    <w:jc w:val="center"/>
                    <w:rPr>
                      <w:rFonts w:hint="default" w:ascii="Times New Roman" w:hAnsi="Times New Roman" w:cs="Times New Roman"/>
                      <w:b w:val="0"/>
                      <w:bCs/>
                      <w:color w:val="auto"/>
                      <w:kern w:val="24"/>
                      <w:sz w:val="21"/>
                      <w:szCs w:val="21"/>
                    </w:rPr>
                  </w:pPr>
                  <w:r>
                    <w:rPr>
                      <w:rFonts w:hint="eastAsia" w:ascii="Times New Roman" w:hAnsi="Times New Roman" w:cs="Times New Roman"/>
                      <w:b w:val="0"/>
                      <w:bCs/>
                      <w:color w:val="auto"/>
                      <w:kern w:val="24"/>
                      <w:sz w:val="21"/>
                      <w:szCs w:val="21"/>
                      <w:lang w:val="en-US" w:eastAsia="zh-CN"/>
                    </w:rPr>
                    <w:t>49</w:t>
                  </w:r>
                  <w:r>
                    <w:rPr>
                      <w:rFonts w:hint="default" w:ascii="Times New Roman" w:hAnsi="Times New Roman" w:cs="Times New Roman"/>
                      <w:b w:val="0"/>
                      <w:bCs/>
                      <w:color w:val="auto"/>
                      <w:kern w:val="24"/>
                      <w:sz w:val="21"/>
                      <w:szCs w:val="21"/>
                      <w:lang w:val="en-US" w:eastAsia="zh-CN"/>
                    </w:rPr>
                    <w:t>.</w:t>
                  </w:r>
                  <w:r>
                    <w:rPr>
                      <w:rFonts w:hint="eastAsia" w:ascii="Times New Roman" w:hAnsi="Times New Roman" w:cs="Times New Roman"/>
                      <w:b w:val="0"/>
                      <w:bCs/>
                      <w:color w:val="auto"/>
                      <w:kern w:val="24"/>
                      <w:sz w:val="21"/>
                      <w:szCs w:val="21"/>
                      <w:lang w:val="en-US" w:eastAsia="zh-CN"/>
                    </w:rPr>
                    <w:t>4</w:t>
                  </w:r>
                  <w:r>
                    <w:rPr>
                      <w:rFonts w:hint="default" w:ascii="Times New Roman" w:hAnsi="Times New Roman" w:cs="Times New Roman"/>
                      <w:b w:val="0"/>
                      <w:bCs/>
                      <w:color w:val="auto"/>
                      <w:kern w:val="24"/>
                      <w:sz w:val="21"/>
                      <w:szCs w:val="21"/>
                    </w:rPr>
                    <w:t>~5</w:t>
                  </w:r>
                  <w:r>
                    <w:rPr>
                      <w:rFonts w:hint="eastAsia" w:ascii="Times New Roman" w:hAnsi="Times New Roman" w:cs="Times New Roman"/>
                      <w:b w:val="0"/>
                      <w:bCs/>
                      <w:color w:val="auto"/>
                      <w:kern w:val="24"/>
                      <w:sz w:val="21"/>
                      <w:szCs w:val="21"/>
                      <w:lang w:val="en-US" w:eastAsia="zh-CN"/>
                    </w:rPr>
                    <w:t>1</w:t>
                  </w:r>
                  <w:r>
                    <w:rPr>
                      <w:rFonts w:hint="default" w:ascii="Times New Roman" w:hAnsi="Times New Roman" w:cs="Times New Roman"/>
                      <w:b w:val="0"/>
                      <w:bCs/>
                      <w:color w:val="auto"/>
                      <w:kern w:val="24"/>
                      <w:sz w:val="21"/>
                      <w:szCs w:val="21"/>
                      <w:lang w:val="en-US" w:eastAsia="zh-CN"/>
                    </w:rPr>
                    <w:t>.3</w:t>
                  </w:r>
                </w:p>
              </w:tc>
              <w:tc>
                <w:tcPr>
                  <w:tcW w:w="1733" w:type="dxa"/>
                  <w:noWrap w:val="0"/>
                  <w:vAlign w:val="center"/>
                </w:tcPr>
                <w:p>
                  <w:pPr>
                    <w:jc w:val="center"/>
                    <w:rPr>
                      <w:rFonts w:hint="default" w:ascii="Times New Roman" w:hAnsi="Times New Roman" w:cs="Times New Roman"/>
                      <w:bCs/>
                      <w:color w:val="auto"/>
                      <w:szCs w:val="21"/>
                      <w:lang w:val="en-US" w:eastAsia="zh-CN"/>
                    </w:rPr>
                  </w:pPr>
                </w:p>
              </w:tc>
              <w:tc>
                <w:tcPr>
                  <w:tcW w:w="1499" w:type="dxa"/>
                  <w:noWrap w:val="0"/>
                  <w:vAlign w:val="center"/>
                </w:tcPr>
                <w:p>
                  <w:pPr>
                    <w:spacing w:line="240" w:lineRule="atLeast"/>
                    <w:jc w:val="center"/>
                    <w:rPr>
                      <w:rFonts w:hint="default" w:ascii="Times New Roman" w:hAnsi="Times New Roman" w:cs="Times New Roman"/>
                      <w:b w:val="0"/>
                      <w:bCs/>
                      <w:color w:val="auto"/>
                      <w:kern w:val="24"/>
                      <w:sz w:val="21"/>
                      <w:szCs w:val="21"/>
                    </w:rPr>
                  </w:pPr>
                  <w:r>
                    <w:rPr>
                      <w:rFonts w:hint="default" w:ascii="Times New Roman" w:hAnsi="Times New Roman" w:cs="Times New Roman"/>
                      <w:b w:val="0"/>
                      <w:bCs/>
                      <w:color w:val="auto"/>
                      <w:kern w:val="24"/>
                      <w:sz w:val="21"/>
                      <w:szCs w:val="21"/>
                    </w:rPr>
                    <w:t>4</w:t>
                  </w:r>
                  <w:r>
                    <w:rPr>
                      <w:rFonts w:hint="eastAsia" w:ascii="Times New Roman" w:hAnsi="Times New Roman" w:cs="Times New Roman"/>
                      <w:b w:val="0"/>
                      <w:bCs/>
                      <w:color w:val="auto"/>
                      <w:kern w:val="24"/>
                      <w:sz w:val="21"/>
                      <w:szCs w:val="21"/>
                      <w:lang w:val="en-US" w:eastAsia="zh-CN"/>
                    </w:rPr>
                    <w:t>0</w:t>
                  </w:r>
                  <w:r>
                    <w:rPr>
                      <w:rFonts w:hint="default" w:ascii="Times New Roman" w:hAnsi="Times New Roman" w:cs="Times New Roman"/>
                      <w:b w:val="0"/>
                      <w:bCs/>
                      <w:color w:val="auto"/>
                      <w:kern w:val="24"/>
                      <w:sz w:val="21"/>
                      <w:szCs w:val="21"/>
                    </w:rPr>
                    <w:t>.3~4</w:t>
                  </w:r>
                  <w:r>
                    <w:rPr>
                      <w:rFonts w:hint="eastAsia" w:ascii="Times New Roman" w:hAnsi="Times New Roman" w:cs="Times New Roman"/>
                      <w:b w:val="0"/>
                      <w:bCs/>
                      <w:color w:val="auto"/>
                      <w:kern w:val="24"/>
                      <w:sz w:val="21"/>
                      <w:szCs w:val="21"/>
                      <w:lang w:val="en-US" w:eastAsia="zh-CN"/>
                    </w:rPr>
                    <w:t>2</w:t>
                  </w:r>
                  <w:r>
                    <w:rPr>
                      <w:rFonts w:hint="default" w:ascii="Times New Roman" w:hAnsi="Times New Roman" w:cs="Times New Roman"/>
                      <w:b w:val="0"/>
                      <w:bCs/>
                      <w:color w:val="auto"/>
                      <w:kern w:val="24"/>
                      <w:sz w:val="21"/>
                      <w:szCs w:val="21"/>
                    </w:rPr>
                    <w:t>.1</w:t>
                  </w:r>
                </w:p>
              </w:tc>
              <w:tc>
                <w:tcPr>
                  <w:tcW w:w="1649" w:type="dxa"/>
                  <w:noWrap w:val="0"/>
                  <w:vAlign w:val="center"/>
                </w:tcPr>
                <w:p>
                  <w:pPr>
                    <w:jc w:val="center"/>
                    <w:rPr>
                      <w:rFonts w:hint="default" w:ascii="Times New Roman" w:hAnsi="Times New Roman" w:cs="Times New Roman"/>
                      <w:bCs/>
                      <w:color w:val="auto"/>
                      <w:szCs w:val="21"/>
                      <w:lang w:val="en-US" w:eastAsia="zh-CN"/>
                    </w:rPr>
                  </w:pPr>
                </w:p>
              </w:tc>
            </w:tr>
          </w:tbl>
          <w:p>
            <w:pPr>
              <w:adjustRightInd w:val="0"/>
              <w:snapToGrid w:val="0"/>
              <w:spacing w:line="360" w:lineRule="auto"/>
              <w:ind w:firstLine="480" w:firstLineChars="200"/>
              <w:rPr>
                <w:rFonts w:hint="default" w:ascii="Times New Roman" w:hAnsi="Times New Roman" w:cs="Times New Roman"/>
                <w:color w:val="auto"/>
                <w:sz w:val="24"/>
              </w:rPr>
            </w:pPr>
            <w:r>
              <w:rPr>
                <w:rFonts w:ascii="Times New Roman" w:hAnsi="Times New Roman"/>
                <w:color w:val="auto"/>
                <w:sz w:val="24"/>
              </w:rPr>
              <w:t>从上表调查结果表明，项目各厂界</w:t>
            </w:r>
            <w:r>
              <w:rPr>
                <w:rFonts w:hint="eastAsia" w:ascii="Times New Roman" w:hAnsi="Times New Roman"/>
                <w:color w:val="auto"/>
                <w:sz w:val="24"/>
                <w:lang w:eastAsia="zh-CN"/>
              </w:rPr>
              <w:t>和敏感点</w:t>
            </w:r>
            <w:r>
              <w:rPr>
                <w:rFonts w:ascii="Times New Roman" w:hAnsi="Times New Roman"/>
                <w:color w:val="auto"/>
                <w:sz w:val="24"/>
              </w:rPr>
              <w:t>噪声值均满足</w:t>
            </w:r>
            <w:r>
              <w:rPr>
                <w:rFonts w:hint="default" w:ascii="Times New Roman" w:hAnsi="Times New Roman" w:cs="Times New Roman"/>
                <w:color w:val="auto"/>
                <w:sz w:val="24"/>
                <w:lang w:eastAsia="zh-CN"/>
              </w:rPr>
              <w:t>《声环境质量标准》（</w:t>
            </w:r>
            <w:r>
              <w:rPr>
                <w:rFonts w:hint="default" w:ascii="Times New Roman" w:hAnsi="Times New Roman" w:cs="Times New Roman"/>
                <w:color w:val="auto"/>
                <w:sz w:val="24"/>
                <w:lang w:val="en-US" w:eastAsia="zh-CN"/>
              </w:rPr>
              <w:t>GB3096-2008</w:t>
            </w:r>
            <w:r>
              <w:rPr>
                <w:rFonts w:hint="default" w:ascii="Times New Roman" w:hAnsi="Times New Roman" w:cs="Times New Roman"/>
                <w:color w:val="auto"/>
                <w:sz w:val="24"/>
                <w:lang w:eastAsia="zh-CN"/>
              </w:rPr>
              <w:t>）</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类标准</w:t>
            </w:r>
            <w:r>
              <w:rPr>
                <w:rFonts w:hint="eastAsia" w:cs="Times New Roman"/>
                <w:color w:val="auto"/>
                <w:sz w:val="24"/>
                <w:lang w:val="en-US" w:eastAsia="zh-CN"/>
              </w:rPr>
              <w:t>要求</w:t>
            </w:r>
            <w:r>
              <w:rPr>
                <w:rFonts w:hint="default" w:ascii="Times New Roman" w:hAnsi="Times New Roman" w:cs="Times New Roman"/>
                <w:color w:val="auto"/>
                <w:sz w:val="24"/>
                <w:lang w:val="en-US" w:eastAsia="zh-CN"/>
              </w:rPr>
              <w:t>，</w:t>
            </w:r>
            <w:r>
              <w:rPr>
                <w:rFonts w:ascii="Times New Roman" w:hAnsi="Times New Roman"/>
                <w:color w:val="auto"/>
                <w:sz w:val="24"/>
              </w:rPr>
              <w:t>评价区域内声环境质量较好。</w:t>
            </w:r>
          </w:p>
          <w:p>
            <w:pPr>
              <w:adjustRightInd w:val="0"/>
              <w:snapToGrid w:val="0"/>
              <w:spacing w:line="360" w:lineRule="auto"/>
              <w:rPr>
                <w:b/>
                <w:bCs/>
                <w:color w:val="auto"/>
                <w:sz w:val="24"/>
              </w:rPr>
            </w:pPr>
            <w:r>
              <w:rPr>
                <w:b/>
                <w:color w:val="auto"/>
                <w:sz w:val="24"/>
              </w:rPr>
              <w:t>4、生态环境现状</w:t>
            </w:r>
          </w:p>
          <w:p>
            <w:pPr>
              <w:adjustRightInd w:val="0"/>
              <w:snapToGrid w:val="0"/>
              <w:spacing w:line="360" w:lineRule="auto"/>
              <w:ind w:firstLine="480" w:firstLineChars="200"/>
              <w:rPr>
                <w:color w:val="auto"/>
                <w:sz w:val="24"/>
              </w:rPr>
            </w:pPr>
            <w:r>
              <w:rPr>
                <w:iCs/>
                <w:color w:val="auto"/>
                <w:sz w:val="24"/>
              </w:rPr>
              <w:t>本项目</w:t>
            </w:r>
            <w:r>
              <w:rPr>
                <w:rFonts w:hint="eastAsia"/>
                <w:iCs/>
                <w:color w:val="auto"/>
                <w:sz w:val="24"/>
                <w:lang w:eastAsia="zh-CN"/>
              </w:rPr>
              <w:t>周围主要为农田和企业，</w:t>
            </w:r>
            <w:r>
              <w:rPr>
                <w:rFonts w:hint="eastAsia"/>
                <w:iCs/>
                <w:color w:val="auto"/>
                <w:sz w:val="24"/>
              </w:rPr>
              <w:t>周边500m范围内</w:t>
            </w:r>
            <w:r>
              <w:rPr>
                <w:color w:val="auto"/>
                <w:sz w:val="24"/>
              </w:rPr>
              <w:t>无重点保护的野生动植物、风景名胜区、自然保护区及文化遗产等特殊保护目标。</w:t>
            </w:r>
          </w:p>
          <w:p>
            <w:pPr>
              <w:adjustRightInd w:val="0"/>
              <w:snapToGrid w:val="0"/>
              <w:spacing w:line="360" w:lineRule="auto"/>
              <w:rPr>
                <w:b/>
                <w:color w:val="auto"/>
                <w:sz w:val="24"/>
              </w:rPr>
            </w:pPr>
            <w:r>
              <w:rPr>
                <w:b/>
                <w:color w:val="auto"/>
                <w:sz w:val="24"/>
              </w:rPr>
              <w:t>主要环境保护目标(列出名单及保护级别)：</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color w:val="auto"/>
                <w:sz w:val="24"/>
              </w:rPr>
            </w:pPr>
            <w:r>
              <w:rPr>
                <w:color w:val="auto"/>
                <w:sz w:val="24"/>
              </w:rPr>
              <w:t>本项目周围环境保护</w:t>
            </w:r>
            <w:r>
              <w:rPr>
                <w:rFonts w:hint="default" w:ascii="Times New Roman" w:hAnsi="Times New Roman" w:cs="Times New Roman"/>
                <w:color w:val="auto"/>
                <w:sz w:val="24"/>
              </w:rPr>
              <w:t>目标及其距离见下表</w:t>
            </w:r>
            <w:r>
              <w:rPr>
                <w:rFonts w:hint="default" w:ascii="Times New Roman" w:hAnsi="Times New Roman" w:cs="Times New Roman"/>
                <w:color w:val="auto"/>
                <w:sz w:val="24"/>
                <w:lang w:val="en-US" w:eastAsia="zh-CN"/>
              </w:rPr>
              <w:t>1</w:t>
            </w:r>
            <w:r>
              <w:rPr>
                <w:rFonts w:hint="eastAsia" w:cs="Times New Roman"/>
                <w:color w:val="auto"/>
                <w:sz w:val="24"/>
                <w:lang w:val="en-US" w:eastAsia="zh-CN"/>
              </w:rPr>
              <w:t>4</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440" w:firstLineChars="600"/>
              <w:jc w:val="both"/>
              <w:textAlignment w:val="auto"/>
              <w:outlineLvl w:val="9"/>
              <w:rPr>
                <w:bCs/>
                <w:color w:val="auto"/>
                <w:sz w:val="24"/>
                <w:highlight w:val="none"/>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1</w:t>
            </w:r>
            <w:r>
              <w:rPr>
                <w:rFonts w:hint="eastAsia" w:cs="Times New Roman"/>
                <w:bCs/>
                <w:color w:val="auto"/>
                <w:sz w:val="24"/>
                <w:lang w:val="en-US" w:eastAsia="zh-CN"/>
              </w:rPr>
              <w:t>4</w:t>
            </w:r>
            <w:r>
              <w:rPr>
                <w:rFonts w:hint="default" w:ascii="Times New Roman" w:hAnsi="Times New Roman" w:cs="Times New Roman"/>
                <w:bCs/>
                <w:color w:val="auto"/>
                <w:sz w:val="24"/>
              </w:rPr>
              <w:t xml:space="preserve">    </w:t>
            </w:r>
            <w:r>
              <w:rPr>
                <w:rFonts w:hint="default" w:ascii="Times New Roman" w:hAnsi="Times New Roman" w:cs="Times New Roman"/>
                <w:bCs/>
                <w:color w:val="auto"/>
                <w:sz w:val="24"/>
                <w:lang w:val="en-US" w:eastAsia="zh-CN"/>
              </w:rPr>
              <w:t xml:space="preserve">  </w:t>
            </w:r>
            <w:r>
              <w:rPr>
                <w:rFonts w:hint="default" w:ascii="Times New Roman" w:hAnsi="Times New Roman" w:cs="Times New Roman"/>
                <w:bCs/>
                <w:color w:val="auto"/>
                <w:sz w:val="24"/>
                <w:highlight w:val="none"/>
              </w:rPr>
              <w:t xml:space="preserve">  本</w:t>
            </w:r>
            <w:r>
              <w:rPr>
                <w:bCs/>
                <w:color w:val="auto"/>
                <w:sz w:val="24"/>
                <w:highlight w:val="none"/>
              </w:rPr>
              <w:t>项目周围环境保护目标及其距离</w:t>
            </w:r>
          </w:p>
          <w:tbl>
            <w:tblPr>
              <w:tblStyle w:val="15"/>
              <w:tblpPr w:leftFromText="180" w:rightFromText="180" w:vertAnchor="text" w:tblpXSpec="center" w:tblpY="1"/>
              <w:tblOverlap w:val="never"/>
              <w:tblW w:w="870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077"/>
              <w:gridCol w:w="710"/>
              <w:gridCol w:w="745"/>
              <w:gridCol w:w="1042"/>
              <w:gridCol w:w="1065"/>
              <w:gridCol w:w="1502"/>
              <w:gridCol w:w="829"/>
              <w:gridCol w:w="9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9" w:hRule="atLeast"/>
              </w:trPr>
              <w:tc>
                <w:tcPr>
                  <w:tcW w:w="761"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保护类别</w:t>
                  </w:r>
                </w:p>
              </w:tc>
              <w:tc>
                <w:tcPr>
                  <w:tcW w:w="1077" w:type="dxa"/>
                  <w:vMerge w:val="restart"/>
                  <w:tcBorders>
                    <w:tl2br w:val="nil"/>
                    <w:tr2bl w:val="nil"/>
                  </w:tcBorders>
                  <w:noWrap w:val="0"/>
                  <w:vAlign w:val="center"/>
                </w:tcPr>
                <w:p>
                  <w:pPr>
                    <w:adjustRightInd w:val="0"/>
                    <w:snapToGrid w:val="0"/>
                    <w:spacing w:line="240" w:lineRule="auto"/>
                    <w:jc w:val="center"/>
                    <w:rPr>
                      <w:rFonts w:hint="eastAsia" w:ascii="Times New Roman" w:hAnsi="Times New Roman" w:eastAsia="Calibri"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保护目标名称</w:t>
                  </w:r>
                </w:p>
              </w:tc>
              <w:tc>
                <w:tcPr>
                  <w:tcW w:w="1455" w:type="dxa"/>
                  <w:gridSpan w:val="2"/>
                  <w:tcBorders>
                    <w:tl2br w:val="nil"/>
                    <w:tr2bl w:val="nil"/>
                  </w:tcBorders>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坐标</w:t>
                  </w: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/m</w:t>
                  </w:r>
                </w:p>
              </w:tc>
              <w:tc>
                <w:tcPr>
                  <w:tcW w:w="1042" w:type="dxa"/>
                  <w:vMerge w:val="restart"/>
                  <w:tcBorders>
                    <w:tl2br w:val="nil"/>
                    <w:tr2bl w:val="nil"/>
                  </w:tcBorders>
                  <w:noWrap w:val="0"/>
                  <w:vAlign w:val="center"/>
                </w:tcPr>
                <w:p>
                  <w:pPr>
                    <w:adjustRightInd w:val="0"/>
                    <w:snapToGrid w:val="0"/>
                    <w:spacing w:line="240" w:lineRule="auto"/>
                    <w:jc w:val="center"/>
                    <w:rPr>
                      <w:rFonts w:hint="eastAsia" w:ascii="Times New Roman" w:hAnsi="Times New Roman" w:eastAsia="Calibri"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保护对象</w:t>
                  </w:r>
                </w:p>
              </w:tc>
              <w:tc>
                <w:tcPr>
                  <w:tcW w:w="1065" w:type="dxa"/>
                  <w:vMerge w:val="restart"/>
                  <w:tcBorders>
                    <w:tl2br w:val="nil"/>
                    <w:tr2bl w:val="nil"/>
                  </w:tcBorders>
                  <w:noWrap w:val="0"/>
                  <w:vAlign w:val="center"/>
                </w:tcPr>
                <w:p>
                  <w:pPr>
                    <w:adjustRightInd w:val="0"/>
                    <w:snapToGrid w:val="0"/>
                    <w:spacing w:line="240" w:lineRule="auto"/>
                    <w:jc w:val="center"/>
                    <w:rPr>
                      <w:rFonts w:hint="eastAsia" w:ascii="Times New Roman" w:hAnsi="Times New Roman" w:eastAsia="Calibri"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保护内容</w:t>
                  </w:r>
                </w:p>
              </w:tc>
              <w:tc>
                <w:tcPr>
                  <w:tcW w:w="1502" w:type="dxa"/>
                  <w:vMerge w:val="restart"/>
                  <w:tcBorders>
                    <w:tl2br w:val="nil"/>
                    <w:tr2bl w:val="nil"/>
                  </w:tcBorders>
                  <w:noWrap w:val="0"/>
                  <w:vAlign w:val="center"/>
                </w:tcPr>
                <w:p>
                  <w:pPr>
                    <w:adjustRightInd w:val="0"/>
                    <w:snapToGrid w:val="0"/>
                    <w:spacing w:line="240" w:lineRule="auto"/>
                    <w:jc w:val="center"/>
                    <w:rPr>
                      <w:rFonts w:hint="eastAsia" w:ascii="Times New Roman" w:hAnsi="Times New Roman" w:eastAsia="Calibri"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环境功能区</w:t>
                  </w:r>
                </w:p>
              </w:tc>
              <w:tc>
                <w:tcPr>
                  <w:tcW w:w="829"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相对厂址</w:t>
                  </w:r>
                  <w:r>
                    <w:rPr>
                      <w:rFonts w:hint="default" w:ascii="Times New Roman" w:hAnsi="Times New Roman" w:cs="Times New Roman"/>
                      <w:color w:val="000000" w:themeColor="text1"/>
                      <w14:textFill>
                        <w14:solidFill>
                          <w14:schemeClr w14:val="tx1"/>
                        </w14:solidFill>
                      </w14:textFill>
                    </w:rPr>
                    <w:t>方位</w:t>
                  </w:r>
                </w:p>
              </w:tc>
              <w:tc>
                <w:tcPr>
                  <w:tcW w:w="969"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相对厂界</w:t>
                  </w:r>
                  <w:r>
                    <w:rPr>
                      <w:rFonts w:hint="default" w:ascii="Times New Roman" w:hAnsi="Times New Roman" w:cs="Times New Roman"/>
                      <w:color w:val="000000" w:themeColor="text1"/>
                      <w14:textFill>
                        <w14:solidFill>
                          <w14:schemeClr w14:val="tx1"/>
                        </w14:solidFill>
                      </w14:textFill>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trPr>
              <w:tc>
                <w:tcPr>
                  <w:tcW w:w="761" w:type="dxa"/>
                  <w:vMerge w:val="continue"/>
                  <w:tcBorders>
                    <w:tl2br w:val="nil"/>
                    <w:tr2bl w:val="nil"/>
                  </w:tcBorders>
                  <w:noWrap w:val="0"/>
                  <w:vAlign w:val="center"/>
                </w:tcPr>
                <w:p>
                  <w:pPr>
                    <w:spacing w:line="240" w:lineRule="auto"/>
                    <w:jc w:val="center"/>
                    <w:rPr>
                      <w:rFonts w:hint="default" w:ascii="Times New Roman" w:hAnsi="Times New Roman" w:cs="Times New Roman"/>
                      <w:color w:val="FF0000"/>
                    </w:rPr>
                  </w:pPr>
                </w:p>
              </w:tc>
              <w:tc>
                <w:tcPr>
                  <w:tcW w:w="1077"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FF0000"/>
                    </w:rPr>
                  </w:pPr>
                </w:p>
              </w:tc>
              <w:tc>
                <w:tcPr>
                  <w:tcW w:w="710" w:type="dxa"/>
                  <w:tcBorders>
                    <w:tl2br w:val="nil"/>
                    <w:tr2bl w:val="nil"/>
                  </w:tcBorders>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X</w:t>
                  </w:r>
                </w:p>
              </w:tc>
              <w:tc>
                <w:tcPr>
                  <w:tcW w:w="745" w:type="dxa"/>
                  <w:tcBorders>
                    <w:tl2br w:val="nil"/>
                    <w:tr2bl w:val="nil"/>
                  </w:tcBorders>
                  <w:noWrap w:val="0"/>
                  <w:vAlign w:val="center"/>
                </w:tcPr>
                <w:p>
                  <w:pPr>
                    <w:pStyle w:val="3"/>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Y</w:t>
                  </w:r>
                </w:p>
              </w:tc>
              <w:tc>
                <w:tcPr>
                  <w:tcW w:w="1042"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FF0000"/>
                    </w:rPr>
                  </w:pPr>
                </w:p>
              </w:tc>
              <w:tc>
                <w:tcPr>
                  <w:tcW w:w="1065" w:type="dxa"/>
                  <w:vMerge w:val="continue"/>
                  <w:tcBorders>
                    <w:tl2br w:val="nil"/>
                    <w:tr2bl w:val="nil"/>
                  </w:tcBorders>
                  <w:noWrap w:val="0"/>
                  <w:vAlign w:val="center"/>
                </w:tcPr>
                <w:p>
                  <w:pPr>
                    <w:spacing w:line="240" w:lineRule="auto"/>
                    <w:jc w:val="center"/>
                    <w:rPr>
                      <w:rFonts w:hint="default" w:ascii="Times New Roman" w:hAnsi="Times New Roman" w:cs="Times New Roman"/>
                      <w:color w:val="FF0000"/>
                    </w:rPr>
                  </w:pPr>
                </w:p>
              </w:tc>
              <w:tc>
                <w:tcPr>
                  <w:tcW w:w="1502" w:type="dxa"/>
                  <w:vMerge w:val="continue"/>
                  <w:tcBorders>
                    <w:tl2br w:val="nil"/>
                    <w:tr2bl w:val="nil"/>
                  </w:tcBorders>
                  <w:noWrap w:val="0"/>
                  <w:vAlign w:val="center"/>
                </w:tcPr>
                <w:p>
                  <w:pPr>
                    <w:spacing w:line="240" w:lineRule="auto"/>
                    <w:jc w:val="center"/>
                    <w:rPr>
                      <w:rFonts w:hint="default" w:ascii="Times New Roman" w:hAnsi="Times New Roman" w:cs="Times New Roman"/>
                      <w:color w:val="FF0000"/>
                    </w:rPr>
                  </w:pPr>
                </w:p>
              </w:tc>
              <w:tc>
                <w:tcPr>
                  <w:tcW w:w="829"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FF0000"/>
                    </w:rPr>
                  </w:pPr>
                </w:p>
              </w:tc>
              <w:tc>
                <w:tcPr>
                  <w:tcW w:w="969"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FF000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大气环境</w:t>
                  </w: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color w:val="FF0000"/>
                      <w:sz w:val="21"/>
                      <w:szCs w:val="21"/>
                    </w:rPr>
                  </w:pPr>
                  <w:r>
                    <w:rPr>
                      <w:rFonts w:hint="default" w:ascii="Times New Roman" w:hAnsi="Times New Roman" w:cs="Times New Roman"/>
                      <w:sz w:val="21"/>
                      <w:szCs w:val="21"/>
                      <w:lang w:eastAsia="zh-CN"/>
                    </w:rPr>
                    <w:t>东北永康村</w:t>
                  </w:r>
                </w:p>
              </w:tc>
              <w:tc>
                <w:tcPr>
                  <w:tcW w:w="71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-6</w:t>
                  </w:r>
                </w:p>
              </w:tc>
              <w:tc>
                <w:tcPr>
                  <w:tcW w:w="74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380</w:t>
                  </w:r>
                </w:p>
              </w:tc>
              <w:tc>
                <w:tcPr>
                  <w:tcW w:w="1042"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21</w:t>
                  </w:r>
                  <w:r>
                    <w:rPr>
                      <w:rFonts w:hint="eastAsia" w:ascii="Times New Roman" w:hAnsi="Times New Roman" w:cs="Times New Roman"/>
                      <w:color w:val="auto"/>
                      <w:lang w:val="en-US" w:eastAsia="zh-CN"/>
                    </w:rPr>
                    <w:t>00人</w:t>
                  </w:r>
                </w:p>
              </w:tc>
              <w:tc>
                <w:tcPr>
                  <w:tcW w:w="1502" w:type="dxa"/>
                  <w:vMerge w:val="restart"/>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ascii="Times New Roman" w:hAnsi="Times New Roman" w:cs="Times New Roman"/>
                      <w:color w:val="auto"/>
                      <w:lang w:eastAsia="zh-CN"/>
                    </w:rPr>
                    <w:t>大气环境</w:t>
                  </w:r>
                  <w:r>
                    <w:rPr>
                      <w:rFonts w:hint="eastAsia" w:ascii="Times New Roman" w:hAnsi="Times New Roman" w:cs="Times New Roman"/>
                      <w:color w:val="auto"/>
                      <w:lang w:val="en-US" w:eastAsia="zh-CN"/>
                    </w:rPr>
                    <w:t xml:space="preserve"> </w:t>
                  </w:r>
                </w:p>
                <w:p>
                  <w:pPr>
                    <w:adjustRightInd w:val="0"/>
                    <w:snapToGrid w:val="0"/>
                    <w:spacing w:line="240" w:lineRule="auto"/>
                    <w:jc w:val="center"/>
                    <w:rPr>
                      <w:rFonts w:hint="eastAsia" w:ascii="Times New Roman" w:hAnsi="Times New Roman" w:eastAsia="Calibri" w:cs="Times New Roman"/>
                      <w:color w:val="auto"/>
                      <w:lang w:eastAsia="zh-CN"/>
                    </w:rPr>
                  </w:pPr>
                  <w:r>
                    <w:rPr>
                      <w:rFonts w:hint="eastAsia" w:ascii="Times New Roman" w:hAnsi="Times New Roman" w:cs="Times New Roman"/>
                      <w:color w:val="auto"/>
                      <w:lang w:eastAsia="zh-CN"/>
                    </w:rPr>
                    <w:t>二类功能区</w:t>
                  </w: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eastAsia="zh-CN"/>
                    </w:rPr>
                  </w:pPr>
                  <w:r>
                    <w:rPr>
                      <w:rFonts w:hint="default" w:ascii="Times New Roman" w:hAnsi="Times New Roman" w:cs="Times New Roman"/>
                      <w:b w:val="0"/>
                      <w:bCs w:val="0"/>
                      <w:color w:val="auto"/>
                      <w:sz w:val="21"/>
                      <w:szCs w:val="21"/>
                      <w:vertAlign w:val="baseline"/>
                      <w:lang w:val="en-US" w:eastAsia="zh-CN"/>
                    </w:rPr>
                    <w:t>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eastAsia" w:cs="Times New Roman"/>
                      <w:b w:val="0"/>
                      <w:bCs w:val="0"/>
                      <w:color w:val="auto"/>
                      <w:sz w:val="21"/>
                      <w:szCs w:val="21"/>
                      <w:vertAlign w:val="baseline"/>
                      <w:lang w:val="en-US" w:eastAsia="zh-CN"/>
                    </w:rPr>
                    <w:t>388</w:t>
                  </w:r>
                  <w:r>
                    <w:rPr>
                      <w:rFonts w:hint="default" w:ascii="Times New Roman" w:hAnsi="Times New Roman" w:cs="Times New Roman"/>
                      <w:b w:val="0"/>
                      <w:bCs w:val="0"/>
                      <w:color w:val="auto"/>
                      <w:sz w:val="21"/>
                      <w:szCs w:val="21"/>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cs="Times New Roman"/>
                      <w:bCs/>
                      <w:color w:val="FF0000"/>
                      <w:szCs w:val="21"/>
                      <w:lang w:eastAsia="zh-CN"/>
                    </w:rPr>
                  </w:pPr>
                  <w:r>
                    <w:rPr>
                      <w:rFonts w:hint="default" w:ascii="Times New Roman" w:hAnsi="Times New Roman" w:cs="Times New Roman"/>
                      <w:sz w:val="21"/>
                      <w:szCs w:val="21"/>
                      <w:lang w:eastAsia="zh-CN"/>
                    </w:rPr>
                    <w:t>东北永康新型社区</w:t>
                  </w:r>
                </w:p>
              </w:tc>
              <w:tc>
                <w:tcPr>
                  <w:tcW w:w="710"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29</w:t>
                  </w:r>
                </w:p>
              </w:tc>
              <w:tc>
                <w:tcPr>
                  <w:tcW w:w="745"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145</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cs="Times New Roman"/>
                      <w:color w:val="auto"/>
                      <w:lang w:val="en-US" w:eastAsia="zh-CN"/>
                    </w:rPr>
                  </w:pPr>
                  <w:r>
                    <w:rPr>
                      <w:rFonts w:hint="eastAsia" w:cs="Times New Roman"/>
                      <w:color w:val="auto"/>
                      <w:lang w:val="en-US" w:eastAsia="zh-CN"/>
                    </w:rPr>
                    <w:t>955人</w:t>
                  </w:r>
                </w:p>
              </w:tc>
              <w:tc>
                <w:tcPr>
                  <w:tcW w:w="1502" w:type="dxa"/>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东北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159m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cs="Times New Roman"/>
                      <w:bCs/>
                      <w:color w:val="FF0000"/>
                      <w:szCs w:val="21"/>
                      <w:lang w:eastAsia="zh-CN"/>
                    </w:rPr>
                  </w:pPr>
                  <w:r>
                    <w:rPr>
                      <w:rFonts w:hint="default" w:ascii="Times New Roman" w:hAnsi="Times New Roman" w:cs="Times New Roman"/>
                      <w:sz w:val="21"/>
                      <w:szCs w:val="21"/>
                      <w:lang w:val="en-US" w:eastAsia="zh-CN"/>
                    </w:rPr>
                    <w:t>南永康村</w:t>
                  </w:r>
                </w:p>
              </w:tc>
              <w:tc>
                <w:tcPr>
                  <w:tcW w:w="710"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-430</w:t>
                  </w:r>
                </w:p>
              </w:tc>
              <w:tc>
                <w:tcPr>
                  <w:tcW w:w="745"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-339</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cs="Times New Roman"/>
                      <w:color w:val="auto"/>
                      <w:lang w:val="en-US" w:eastAsia="zh-CN"/>
                    </w:rPr>
                  </w:pPr>
                  <w:r>
                    <w:rPr>
                      <w:rFonts w:hint="eastAsia" w:cs="Times New Roman"/>
                      <w:color w:val="auto"/>
                      <w:lang w:val="en-US" w:eastAsia="zh-CN"/>
                    </w:rPr>
                    <w:t>1780人</w:t>
                  </w:r>
                </w:p>
              </w:tc>
              <w:tc>
                <w:tcPr>
                  <w:tcW w:w="1502" w:type="dxa"/>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西南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525m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cs="Times New Roman"/>
                      <w:bCs/>
                      <w:color w:val="FF0000"/>
                      <w:szCs w:val="21"/>
                      <w:lang w:eastAsia="zh-CN"/>
                    </w:rPr>
                  </w:pPr>
                  <w:r>
                    <w:rPr>
                      <w:rFonts w:hint="default" w:ascii="Times New Roman" w:hAnsi="Times New Roman" w:cs="Times New Roman"/>
                      <w:sz w:val="21"/>
                      <w:szCs w:val="21"/>
                      <w:lang w:val="en-US" w:eastAsia="zh-CN"/>
                    </w:rPr>
                    <w:t>西永康村</w:t>
                  </w:r>
                </w:p>
              </w:tc>
              <w:tc>
                <w:tcPr>
                  <w:tcW w:w="710"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-670</w:t>
                  </w:r>
                </w:p>
              </w:tc>
              <w:tc>
                <w:tcPr>
                  <w:tcW w:w="745"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10</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cs="Times New Roman"/>
                      <w:color w:val="auto"/>
                      <w:lang w:val="en-US" w:eastAsia="zh-CN"/>
                    </w:rPr>
                  </w:pPr>
                  <w:r>
                    <w:rPr>
                      <w:rFonts w:hint="eastAsia" w:cs="Times New Roman"/>
                      <w:color w:val="auto"/>
                      <w:lang w:val="en-US" w:eastAsia="zh-CN"/>
                    </w:rPr>
                    <w:t>1565人</w:t>
                  </w:r>
                </w:p>
              </w:tc>
              <w:tc>
                <w:tcPr>
                  <w:tcW w:w="1502" w:type="dxa"/>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西</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678m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cs="Times New Roman"/>
                      <w:bCs/>
                      <w:color w:val="FF0000"/>
                      <w:szCs w:val="21"/>
                      <w:lang w:eastAsia="zh-CN"/>
                    </w:rPr>
                  </w:pPr>
                  <w:r>
                    <w:rPr>
                      <w:rFonts w:hint="default" w:ascii="Times New Roman" w:hAnsi="Times New Roman" w:cs="Times New Roman"/>
                      <w:sz w:val="21"/>
                      <w:szCs w:val="21"/>
                      <w:lang w:eastAsia="zh-CN"/>
                    </w:rPr>
                    <w:t>石村</w:t>
                  </w:r>
                </w:p>
              </w:tc>
              <w:tc>
                <w:tcPr>
                  <w:tcW w:w="710"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781</w:t>
                  </w:r>
                </w:p>
              </w:tc>
              <w:tc>
                <w:tcPr>
                  <w:tcW w:w="745"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230</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cs="Times New Roman"/>
                      <w:color w:val="auto"/>
                      <w:lang w:val="en-US" w:eastAsia="zh-CN"/>
                    </w:rPr>
                  </w:pPr>
                  <w:r>
                    <w:rPr>
                      <w:rFonts w:hint="eastAsia" w:cs="Times New Roman"/>
                      <w:color w:val="auto"/>
                      <w:lang w:val="en-US" w:eastAsia="zh-CN"/>
                    </w:rPr>
                    <w:t>1370人</w:t>
                  </w:r>
                </w:p>
              </w:tc>
              <w:tc>
                <w:tcPr>
                  <w:tcW w:w="1502" w:type="dxa"/>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东北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815m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sz w:val="21"/>
                      <w:szCs w:val="21"/>
                      <w:lang w:eastAsia="zh-CN"/>
                    </w:rPr>
                  </w:pPr>
                  <w:r>
                    <w:rPr>
                      <w:rFonts w:hint="eastAsia" w:cs="Times New Roman"/>
                      <w:sz w:val="21"/>
                      <w:szCs w:val="21"/>
                      <w:lang w:eastAsia="zh-CN"/>
                    </w:rPr>
                    <w:t>基督教堂</w:t>
                  </w:r>
                </w:p>
              </w:tc>
              <w:tc>
                <w:tcPr>
                  <w:tcW w:w="710"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270</w:t>
                  </w:r>
                </w:p>
              </w:tc>
              <w:tc>
                <w:tcPr>
                  <w:tcW w:w="745" w:type="dxa"/>
                  <w:tcBorders>
                    <w:tl2br w:val="nil"/>
                    <w:tr2bl w:val="nil"/>
                  </w:tcBorders>
                  <w:noWrap w:val="0"/>
                  <w:vAlign w:val="center"/>
                </w:tcPr>
                <w:p>
                  <w:pPr>
                    <w:adjustRightInd w:val="0"/>
                    <w:snapToGrid w:val="0"/>
                    <w:spacing w:line="240" w:lineRule="auto"/>
                    <w:jc w:val="center"/>
                    <w:rPr>
                      <w:rFonts w:hint="default" w:cs="Times New Roman"/>
                      <w:b w:val="0"/>
                      <w:bCs w:val="0"/>
                      <w:color w:val="auto"/>
                      <w:lang w:val="en-US" w:eastAsia="zh-CN"/>
                    </w:rPr>
                  </w:pPr>
                  <w:r>
                    <w:rPr>
                      <w:rFonts w:hint="eastAsia" w:cs="Times New Roman"/>
                      <w:b w:val="0"/>
                      <w:bCs w:val="0"/>
                      <w:color w:val="auto"/>
                      <w:lang w:val="en-US" w:eastAsia="zh-CN"/>
                    </w:rPr>
                    <w:t>50</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val="en-US" w:eastAsia="zh-CN"/>
                    </w:rPr>
                  </w:pPr>
                  <w:r>
                    <w:rPr>
                      <w:rFonts w:hint="eastAsia" w:cs="Times New Roman"/>
                      <w:color w:val="auto"/>
                      <w:lang w:val="en-US" w:eastAsia="zh-CN"/>
                    </w:rPr>
                    <w:t>教堂</w:t>
                  </w:r>
                </w:p>
              </w:tc>
              <w:tc>
                <w:tcPr>
                  <w:tcW w:w="1065" w:type="dxa"/>
                  <w:tcBorders>
                    <w:tl2br w:val="nil"/>
                    <w:tr2bl w:val="nil"/>
                  </w:tcBorders>
                  <w:noWrap w:val="0"/>
                  <w:vAlign w:val="center"/>
                </w:tcPr>
                <w:p>
                  <w:pPr>
                    <w:adjustRightInd w:val="0"/>
                    <w:snapToGrid w:val="0"/>
                    <w:spacing w:line="240" w:lineRule="auto"/>
                    <w:jc w:val="center"/>
                    <w:rPr>
                      <w:rFonts w:hint="default" w:cs="Times New Roman"/>
                      <w:color w:val="auto"/>
                      <w:lang w:val="en-US" w:eastAsia="zh-CN"/>
                    </w:rPr>
                  </w:pPr>
                  <w:r>
                    <w:rPr>
                      <w:rFonts w:hint="eastAsia" w:cs="Times New Roman"/>
                      <w:color w:val="auto"/>
                      <w:lang w:val="en-US" w:eastAsia="zh-CN"/>
                    </w:rPr>
                    <w:t>100人</w:t>
                  </w:r>
                </w:p>
              </w:tc>
              <w:tc>
                <w:tcPr>
                  <w:tcW w:w="1502" w:type="dxa"/>
                  <w:vMerge w:val="continue"/>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东北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284m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35"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p>
              </w:tc>
              <w:tc>
                <w:tcPr>
                  <w:tcW w:w="10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color w:val="FF0000"/>
                      <w:sz w:val="21"/>
                      <w:szCs w:val="21"/>
                    </w:rPr>
                  </w:pPr>
                  <w:r>
                    <w:rPr>
                      <w:rFonts w:hint="default" w:ascii="Times New Roman" w:hAnsi="Times New Roman" w:cs="Times New Roman"/>
                      <w:sz w:val="21"/>
                      <w:szCs w:val="21"/>
                    </w:rPr>
                    <w:t>合河乡三中</w:t>
                  </w:r>
                </w:p>
              </w:tc>
              <w:tc>
                <w:tcPr>
                  <w:tcW w:w="71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969</w:t>
                  </w:r>
                </w:p>
              </w:tc>
              <w:tc>
                <w:tcPr>
                  <w:tcW w:w="74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1004</w:t>
                  </w:r>
                </w:p>
              </w:tc>
              <w:tc>
                <w:tcPr>
                  <w:tcW w:w="1042"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学校</w:t>
                  </w:r>
                </w:p>
              </w:tc>
              <w:tc>
                <w:tcPr>
                  <w:tcW w:w="106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69</w:t>
                  </w:r>
                  <w:r>
                    <w:rPr>
                      <w:rFonts w:hint="eastAsia" w:ascii="Times New Roman" w:hAnsi="Times New Roman" w:cs="Times New Roman"/>
                      <w:color w:val="auto"/>
                      <w:lang w:val="en-US" w:eastAsia="zh-CN"/>
                    </w:rPr>
                    <w:t>0人</w:t>
                  </w:r>
                </w:p>
              </w:tc>
              <w:tc>
                <w:tcPr>
                  <w:tcW w:w="1502"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cs="Times New Roman"/>
                      <w:b w:val="0"/>
                      <w:bCs w:val="0"/>
                      <w:color w:val="auto"/>
                      <w:sz w:val="21"/>
                      <w:szCs w:val="21"/>
                      <w:vertAlign w:val="baseline"/>
                      <w:lang w:val="en-US" w:eastAsia="zh-CN"/>
                    </w:rPr>
                    <w:t>东南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val="en-US" w:eastAsia="zh-CN"/>
                    </w:rPr>
                  </w:pPr>
                  <w:r>
                    <w:rPr>
                      <w:rFonts w:hint="eastAsia" w:cs="Times New Roman"/>
                      <w:b w:val="0"/>
                      <w:bCs w:val="0"/>
                      <w:color w:val="auto"/>
                      <w:sz w:val="21"/>
                      <w:szCs w:val="21"/>
                      <w:vertAlign w:val="baseline"/>
                      <w:lang w:val="en-US" w:eastAsia="zh-CN"/>
                    </w:rPr>
                    <w:t>290</w:t>
                  </w:r>
                  <w:r>
                    <w:rPr>
                      <w:rFonts w:hint="default" w:ascii="Times New Roman" w:hAnsi="Times New Roman" w:cs="Times New Roman"/>
                      <w:b w:val="0"/>
                      <w:bCs w:val="0"/>
                      <w:color w:val="auto"/>
                      <w:sz w:val="21"/>
                      <w:szCs w:val="21"/>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07" w:hRule="atLeast"/>
              </w:trPr>
              <w:tc>
                <w:tcPr>
                  <w:tcW w:w="761"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声环境</w:t>
                  </w:r>
                </w:p>
              </w:tc>
              <w:tc>
                <w:tcPr>
                  <w:tcW w:w="10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区域声环境</w:t>
                  </w:r>
                </w:p>
              </w:tc>
              <w:tc>
                <w:tcPr>
                  <w:tcW w:w="71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74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eastAsia="Calibri" w:cs="Times New Roman"/>
                      <w:color w:val="auto"/>
                      <w:lang w:eastAsia="zh-CN"/>
                    </w:rPr>
                  </w:pPr>
                  <w:r>
                    <w:rPr>
                      <w:rFonts w:hint="eastAsia" w:ascii="Times New Roman" w:hAnsi="Times New Roman" w:cs="Times New Roman"/>
                      <w:color w:val="auto"/>
                      <w:lang w:eastAsia="zh-CN"/>
                    </w:rPr>
                    <w:t>工业厂房</w:t>
                  </w:r>
                </w:p>
              </w:tc>
              <w:tc>
                <w:tcPr>
                  <w:tcW w:w="106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502"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rPr>
                  </w:pPr>
                  <w:r>
                    <w:rPr>
                      <w:rFonts w:hint="default" w:ascii="Times New Roman" w:hAnsi="Times New Roman" w:cs="Times New Roman"/>
                      <w:color w:val="auto"/>
                    </w:rPr>
                    <w:t>《声环境质量标准》</w:t>
                  </w:r>
                </w:p>
                <w:p>
                  <w:pPr>
                    <w:adjustRightInd w:val="0"/>
                    <w:snapToGrid w:val="0"/>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rPr>
                    <w:t>（GB3096-2008）</w:t>
                  </w:r>
                  <w:r>
                    <w:rPr>
                      <w:rFonts w:hint="eastAsia" w:cs="Times New Roman"/>
                      <w:color w:val="auto"/>
                      <w:lang w:val="en-US" w:eastAsia="zh-CN"/>
                    </w:rPr>
                    <w:t>2</w:t>
                  </w:r>
                  <w:r>
                    <w:rPr>
                      <w:rFonts w:hint="default" w:ascii="Times New Roman" w:hAnsi="Times New Roman" w:cs="Times New Roman"/>
                      <w:color w:val="auto"/>
                    </w:rPr>
                    <w:t>类标准</w:t>
                  </w:r>
                </w:p>
              </w:tc>
              <w:tc>
                <w:tcPr>
                  <w:tcW w:w="82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96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trPr>
              <w:tc>
                <w:tcPr>
                  <w:tcW w:w="761"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p>
              </w:tc>
              <w:tc>
                <w:tcPr>
                  <w:tcW w:w="10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auto"/>
                      <w:sz w:val="21"/>
                      <w:szCs w:val="21"/>
                      <w:lang w:eastAsia="zh-CN"/>
                    </w:rPr>
                    <w:t>东北永康新型社区</w:t>
                  </w:r>
                </w:p>
              </w:tc>
              <w:tc>
                <w:tcPr>
                  <w:tcW w:w="71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29</w:t>
                  </w:r>
                </w:p>
              </w:tc>
              <w:tc>
                <w:tcPr>
                  <w:tcW w:w="74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b w:val="0"/>
                      <w:bCs w:val="0"/>
                      <w:color w:val="auto"/>
                      <w:lang w:val="en-US" w:eastAsia="zh-CN"/>
                    </w:rPr>
                    <w:t>145</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r>
                    <w:rPr>
                      <w:rFonts w:hint="eastAsia" w:ascii="Times New Roman" w:hAnsi="Times New Roman" w:cs="Times New Roman"/>
                      <w:color w:val="auto"/>
                      <w:lang w:val="en-US" w:eastAsia="zh-CN"/>
                    </w:rPr>
                    <w:t>居民区</w:t>
                  </w:r>
                </w:p>
              </w:tc>
              <w:tc>
                <w:tcPr>
                  <w:tcW w:w="106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cs="Times New Roman"/>
                      <w:color w:val="auto"/>
                      <w:lang w:val="en-US" w:eastAsia="zh-CN"/>
                    </w:rPr>
                    <w:t>955人</w:t>
                  </w:r>
                </w:p>
              </w:tc>
              <w:tc>
                <w:tcPr>
                  <w:tcW w:w="1502"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rPr>
                  </w:pPr>
                </w:p>
              </w:tc>
              <w:tc>
                <w:tcPr>
                  <w:tcW w:w="8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lang w:val="en-US" w:eastAsia="zh-CN"/>
                    </w:rPr>
                  </w:pPr>
                  <w:r>
                    <w:rPr>
                      <w:rFonts w:hint="eastAsia" w:cs="Times New Roman"/>
                      <w:b w:val="0"/>
                      <w:bCs w:val="0"/>
                      <w:color w:val="auto"/>
                      <w:sz w:val="21"/>
                      <w:szCs w:val="21"/>
                      <w:vertAlign w:val="baseline"/>
                      <w:lang w:val="en-US" w:eastAsia="zh-CN"/>
                    </w:rPr>
                    <w:t>东北</w:t>
                  </w:r>
                </w:p>
              </w:tc>
              <w:tc>
                <w:tcPr>
                  <w:tcW w:w="9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lang w:val="en-US" w:eastAsia="zh-CN"/>
                    </w:rPr>
                  </w:pPr>
                  <w:r>
                    <w:rPr>
                      <w:rFonts w:hint="eastAsia" w:cs="Times New Roman"/>
                      <w:b w:val="0"/>
                      <w:bCs w:val="0"/>
                      <w:color w:val="auto"/>
                      <w:sz w:val="21"/>
                      <w:szCs w:val="21"/>
                      <w:vertAlign w:val="baseline"/>
                      <w:lang w:val="en-US" w:eastAsia="zh-CN"/>
                    </w:rPr>
                    <w:t>159m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29" w:hRule="atLeast"/>
              </w:trPr>
              <w:tc>
                <w:tcPr>
                  <w:tcW w:w="761"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水环境</w:t>
                  </w:r>
                </w:p>
              </w:tc>
              <w:tc>
                <w:tcPr>
                  <w:tcW w:w="1077" w:type="dxa"/>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共产主义渠</w:t>
                  </w:r>
                </w:p>
              </w:tc>
              <w:tc>
                <w:tcPr>
                  <w:tcW w:w="710"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745"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04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r>
                    <w:rPr>
                      <w:rFonts w:hint="eastAsia" w:ascii="Times New Roman" w:hAnsi="Times New Roman" w:cs="Times New Roman"/>
                      <w:color w:val="auto"/>
                      <w:lang w:eastAsia="zh-CN"/>
                    </w:rPr>
                    <w:t>河流</w:t>
                  </w:r>
                </w:p>
              </w:tc>
              <w:tc>
                <w:tcPr>
                  <w:tcW w:w="106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1502"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lang w:eastAsia="zh-CN"/>
                    </w:rPr>
                  </w:pPr>
                  <w:r>
                    <w:rPr>
                      <w:rFonts w:hint="default" w:ascii="Times New Roman" w:hAnsi="Times New Roman" w:cs="Times New Roman"/>
                      <w:color w:val="auto"/>
                    </w:rPr>
                    <w:t>《地表水环境质量标准》（GB3838-2002）</w:t>
                  </w:r>
                  <w:r>
                    <w:rPr>
                      <w:rFonts w:hint="default" w:ascii="Times New Roman" w:hAnsi="Times New Roman" w:cs="Times New Roman"/>
                      <w:color w:val="auto"/>
                      <w:lang w:val="en-US" w:eastAsia="zh-CN"/>
                    </w:rPr>
                    <w:t>V</w:t>
                  </w:r>
                  <w:r>
                    <w:rPr>
                      <w:rFonts w:hint="default" w:ascii="Times New Roman" w:hAnsi="Times New Roman" w:cs="Times New Roman"/>
                      <w:color w:val="auto"/>
                    </w:rPr>
                    <w:t>类标准</w:t>
                  </w:r>
                </w:p>
              </w:tc>
              <w:tc>
                <w:tcPr>
                  <w:tcW w:w="829"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西</w:t>
                  </w:r>
                </w:p>
              </w:tc>
              <w:tc>
                <w:tcPr>
                  <w:tcW w:w="96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color w:val="auto"/>
                      <w:highlight w:val="none"/>
                    </w:rPr>
                  </w:pPr>
                  <w:r>
                    <w:rPr>
                      <w:rFonts w:hint="eastAsia" w:cs="Times New Roman"/>
                      <w:color w:val="auto"/>
                      <w:highlight w:val="none"/>
                      <w:lang w:val="en-US" w:eastAsia="zh-CN"/>
                    </w:rPr>
                    <w:t>1460</w:t>
                  </w:r>
                  <w:r>
                    <w:rPr>
                      <w:rFonts w:hint="default" w:ascii="Times New Roman" w:hAnsi="Times New Roman" w:cs="Times New Roman"/>
                      <w:color w:val="auto"/>
                      <w:highlight w:val="none"/>
                    </w:rPr>
                    <w:t>m</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bCs/>
                <w:color w:val="auto"/>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eastAsia"/>
                <w:bCs/>
                <w:color w:val="auto"/>
                <w:sz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eastAsia"/>
                <w:bCs/>
                <w:color w:val="auto"/>
                <w:sz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both"/>
              <w:textAlignment w:val="auto"/>
              <w:outlineLvl w:val="9"/>
              <w:rPr>
                <w:rFonts w:hint="default" w:eastAsia="宋体"/>
                <w:bCs/>
                <w:color w:val="auto"/>
                <w:sz w:val="24"/>
                <w:lang w:val="en-US" w:eastAsia="zh-CN"/>
              </w:rPr>
            </w:pPr>
          </w:p>
        </w:tc>
      </w:tr>
    </w:tbl>
    <w:p>
      <w:pPr>
        <w:adjustRightInd w:val="0"/>
        <w:snapToGrid w:val="0"/>
        <w:spacing w:line="520" w:lineRule="exact"/>
        <w:rPr>
          <w:rFonts w:eastAsia="黑体"/>
          <w:b/>
          <w:color w:val="auto"/>
          <w:sz w:val="30"/>
        </w:rPr>
        <w:sectPr>
          <w:headerReference r:id="rId3" w:type="default"/>
          <w:footerReference r:id="rId4" w:type="default"/>
          <w:pgSz w:w="11906" w:h="16838"/>
          <w:pgMar w:top="1701" w:right="1588" w:bottom="1985" w:left="1588" w:header="851" w:footer="1134" w:gutter="0"/>
          <w:pgBorders>
            <w:top w:val="none" w:sz="0" w:space="0"/>
            <w:left w:val="none" w:sz="0" w:space="0"/>
            <w:bottom w:val="none" w:sz="0" w:space="0"/>
            <w:right w:val="none" w:sz="0" w:space="0"/>
          </w:pgBorders>
          <w:pgNumType w:fmt="decimal" w:start="1"/>
          <w:cols w:space="720" w:num="1"/>
          <w:docGrid w:type="lines" w:linePitch="312" w:charSpace="0"/>
        </w:sectPr>
      </w:pPr>
    </w:p>
    <w:p>
      <w:pPr>
        <w:adjustRightInd w:val="0"/>
        <w:snapToGrid w:val="0"/>
        <w:spacing w:line="520" w:lineRule="exact"/>
        <w:rPr>
          <w:rFonts w:hint="eastAsia" w:ascii="宋体" w:hAnsi="宋体" w:eastAsia="宋体" w:cs="宋体"/>
          <w:b/>
          <w:color w:val="auto"/>
          <w:sz w:val="30"/>
        </w:rPr>
      </w:pPr>
      <w:r>
        <w:rPr>
          <w:rFonts w:hint="eastAsia" w:ascii="宋体" w:hAnsi="宋体" w:eastAsia="宋体" w:cs="宋体"/>
          <w:b/>
          <w:color w:val="auto"/>
          <w:sz w:val="30"/>
        </w:rPr>
        <w:t>评价适用标准</w:t>
      </w:r>
    </w:p>
    <w:tbl>
      <w:tblPr>
        <w:tblStyle w:val="15"/>
        <w:tblW w:w="9039" w:type="dxa"/>
        <w:jc w:val="center"/>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98"/>
        <w:gridCol w:w="854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11483" w:hRule="atLeast"/>
          <w:jc w:val="center"/>
        </w:trPr>
        <w:tc>
          <w:tcPr>
            <w:tcW w:w="498" w:type="dxa"/>
            <w:tcBorders>
              <w:top w:val="single" w:color="auto" w:sz="12" w:space="0"/>
              <w:left w:val="single" w:color="auto" w:sz="12" w:space="0"/>
              <w:bottom w:val="single" w:color="auto" w:sz="6" w:space="0"/>
              <w:right w:val="single" w:color="auto" w:sz="6" w:space="0"/>
            </w:tcBorders>
            <w:noWrap w:val="0"/>
            <w:vAlign w:val="center"/>
          </w:tcPr>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环</w:t>
            </w:r>
          </w:p>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境</w:t>
            </w:r>
          </w:p>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质</w:t>
            </w:r>
          </w:p>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量</w:t>
            </w:r>
          </w:p>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标</w:t>
            </w:r>
          </w:p>
          <w:p>
            <w:pPr>
              <w:spacing w:line="520" w:lineRule="exact"/>
              <w:jc w:val="center"/>
              <w:rPr>
                <w:rFonts w:hint="default" w:ascii="Times New Roman" w:hAnsi="Times New Roman" w:cs="Times New Roman"/>
                <w:b/>
                <w:color w:val="auto"/>
                <w:sz w:val="28"/>
              </w:rPr>
            </w:pPr>
            <w:r>
              <w:rPr>
                <w:rFonts w:hint="default" w:ascii="Times New Roman" w:hAnsi="Times New Roman" w:cs="Times New Roman"/>
                <w:b/>
                <w:color w:val="auto"/>
                <w:sz w:val="28"/>
              </w:rPr>
              <w:t>准</w:t>
            </w:r>
          </w:p>
        </w:tc>
        <w:tc>
          <w:tcPr>
            <w:tcW w:w="8541" w:type="dxa"/>
            <w:tcBorders>
              <w:top w:val="single" w:color="auto" w:sz="12"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color w:val="auto"/>
                <w:sz w:val="24"/>
                <w:szCs w:val="24"/>
              </w:rPr>
            </w:pPr>
            <w:r>
              <w:rPr>
                <w:rFonts w:hint="default"/>
                <w:color w:val="auto"/>
                <w:sz w:val="24"/>
                <w:szCs w:val="24"/>
              </w:rPr>
              <w:t>1、《环境空气质量标准》（GB3095-2012）二级标准，相关标准值见表</w:t>
            </w:r>
            <w:r>
              <w:rPr>
                <w:rFonts w:hint="default"/>
                <w:color w:val="auto"/>
                <w:sz w:val="24"/>
                <w:szCs w:val="24"/>
                <w:lang w:val="en-US" w:eastAsia="zh-CN"/>
              </w:rPr>
              <w:t>1</w:t>
            </w:r>
            <w:r>
              <w:rPr>
                <w:rFonts w:hint="eastAsia"/>
                <w:color w:val="auto"/>
                <w:sz w:val="24"/>
                <w:szCs w:val="24"/>
                <w:lang w:val="en-US" w:eastAsia="zh-CN"/>
              </w:rPr>
              <w:t>5</w:t>
            </w:r>
            <w:r>
              <w:rPr>
                <w:rFonts w:hint="default"/>
                <w:color w:val="auto"/>
                <w:sz w:val="24"/>
                <w:szCs w:val="24"/>
              </w:rPr>
              <w:t>。</w:t>
            </w:r>
          </w:p>
          <w:p>
            <w:pPr>
              <w:adjustRightInd w:val="0"/>
              <w:snapToGrid w:val="0"/>
              <w:spacing w:line="240" w:lineRule="auto"/>
              <w:ind w:firstLine="950" w:firstLineChars="396"/>
              <w:rPr>
                <w:rFonts w:hint="default"/>
                <w:color w:val="auto"/>
                <w:sz w:val="24"/>
                <w:szCs w:val="24"/>
              </w:rPr>
            </w:pPr>
            <w:r>
              <w:rPr>
                <w:rFonts w:hint="default"/>
                <w:color w:val="auto"/>
                <w:sz w:val="24"/>
                <w:szCs w:val="24"/>
              </w:rPr>
              <w:t>表</w:t>
            </w:r>
            <w:r>
              <w:rPr>
                <w:rFonts w:hint="default"/>
                <w:color w:val="auto"/>
                <w:sz w:val="24"/>
                <w:szCs w:val="24"/>
                <w:lang w:val="en-US" w:eastAsia="zh-CN"/>
              </w:rPr>
              <w:t>1</w:t>
            </w:r>
            <w:r>
              <w:rPr>
                <w:rFonts w:hint="eastAsia"/>
                <w:color w:val="auto"/>
                <w:sz w:val="24"/>
                <w:szCs w:val="24"/>
                <w:lang w:val="en-US" w:eastAsia="zh-CN"/>
              </w:rPr>
              <w:t>5</w:t>
            </w:r>
            <w:r>
              <w:rPr>
                <w:rFonts w:hint="default"/>
                <w:color w:val="auto"/>
                <w:sz w:val="24"/>
                <w:szCs w:val="24"/>
              </w:rPr>
              <w:t xml:space="preserve">        环境空气质量标准      </w:t>
            </w:r>
            <w:r>
              <w:rPr>
                <w:rFonts w:hint="default"/>
                <w:color w:val="auto"/>
                <w:sz w:val="24"/>
                <w:szCs w:val="24"/>
                <w:lang w:val="en-US" w:eastAsia="zh-CN"/>
              </w:rPr>
              <w:t xml:space="preserve">  </w:t>
            </w:r>
            <w:r>
              <w:rPr>
                <w:rFonts w:hint="default"/>
                <w:color w:val="auto"/>
                <w:sz w:val="24"/>
                <w:szCs w:val="24"/>
              </w:rPr>
              <w:t xml:space="preserve">  单位：μg/m</w:t>
            </w:r>
            <w:r>
              <w:rPr>
                <w:rFonts w:hint="default"/>
                <w:color w:val="auto"/>
                <w:sz w:val="24"/>
                <w:szCs w:val="24"/>
                <w:vertAlign w:val="superscript"/>
              </w:rPr>
              <w:t>3</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07"/>
              <w:gridCol w:w="2088"/>
              <w:gridCol w:w="1284"/>
              <w:gridCol w:w="33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jc w:val="center"/>
              </w:trPr>
              <w:tc>
                <w:tcPr>
                  <w:tcW w:w="1507" w:type="dxa"/>
                  <w:tcBorders>
                    <w:bottom w:val="single" w:color="auto" w:sz="4" w:space="0"/>
                    <w:right w:val="single" w:color="auto" w:sz="4" w:space="0"/>
                  </w:tcBorders>
                  <w:noWrap w:val="0"/>
                  <w:vAlign w:val="center"/>
                </w:tcPr>
                <w:p>
                  <w:pPr>
                    <w:widowControl/>
                    <w:jc w:val="center"/>
                    <w:rPr>
                      <w:rFonts w:hint="default"/>
                      <w:color w:val="auto"/>
                    </w:rPr>
                  </w:pPr>
                  <w:r>
                    <w:rPr>
                      <w:rFonts w:hint="default"/>
                      <w:color w:val="auto"/>
                    </w:rPr>
                    <w:t>污染物名称</w:t>
                  </w:r>
                </w:p>
              </w:tc>
              <w:tc>
                <w:tcPr>
                  <w:tcW w:w="2088" w:type="dxa"/>
                  <w:tcBorders>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取值时间</w:t>
                  </w:r>
                </w:p>
              </w:tc>
              <w:tc>
                <w:tcPr>
                  <w:tcW w:w="1284" w:type="dxa"/>
                  <w:tcBorders>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浓度限值</w:t>
                  </w:r>
                </w:p>
              </w:tc>
              <w:tc>
                <w:tcPr>
                  <w:tcW w:w="3371" w:type="dxa"/>
                  <w:tcBorders>
                    <w:left w:val="single" w:color="auto" w:sz="4" w:space="0"/>
                    <w:bottom w:val="single" w:color="auto" w:sz="4" w:space="0"/>
                  </w:tcBorders>
                  <w:noWrap w:val="0"/>
                  <w:vAlign w:val="center"/>
                </w:tcPr>
                <w:p>
                  <w:pPr>
                    <w:widowControl/>
                    <w:jc w:val="center"/>
                    <w:rPr>
                      <w:rFonts w:hint="default"/>
                      <w:color w:val="auto"/>
                    </w:rPr>
                  </w:pPr>
                  <w:r>
                    <w:rPr>
                      <w:rFonts w:hint="default"/>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jc w:val="center"/>
              </w:trPr>
              <w:tc>
                <w:tcPr>
                  <w:tcW w:w="1507"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SO</w:t>
                  </w:r>
                  <w:r>
                    <w:rPr>
                      <w:rFonts w:hint="default"/>
                      <w:color w:val="auto"/>
                      <w:vertAlign w:val="subscript"/>
                    </w:rPr>
                    <w:t>2</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年平均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60</w:t>
                  </w:r>
                </w:p>
              </w:tc>
              <w:tc>
                <w:tcPr>
                  <w:tcW w:w="3371" w:type="dxa"/>
                  <w:vMerge w:val="restart"/>
                  <w:tcBorders>
                    <w:top w:val="single" w:color="auto" w:sz="4" w:space="0"/>
                    <w:left w:val="single" w:color="auto" w:sz="4" w:space="0"/>
                  </w:tcBorders>
                  <w:noWrap w:val="0"/>
                  <w:vAlign w:val="center"/>
                </w:tcPr>
                <w:p>
                  <w:pPr>
                    <w:widowControl/>
                    <w:jc w:val="center"/>
                    <w:rPr>
                      <w:rFonts w:hint="default"/>
                      <w:color w:val="auto"/>
                    </w:rPr>
                  </w:pPr>
                  <w:r>
                    <w:rPr>
                      <w:rFonts w:hint="default"/>
                      <w:color w:val="auto"/>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24小时平均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150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50</w:t>
                  </w:r>
                  <w:r>
                    <w:rPr>
                      <w:rFonts w:hint="default"/>
                      <w:color w:val="auto"/>
                      <w:lang w:val="en-US" w:eastAsia="zh-CN"/>
                    </w:rPr>
                    <w:t>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07"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PM</w:t>
                  </w:r>
                  <w:r>
                    <w:rPr>
                      <w:rFonts w:hint="default"/>
                      <w:color w:val="auto"/>
                      <w:vertAlign w:val="subscript"/>
                    </w:rPr>
                    <w:t>10</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年平均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70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24小时平均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150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07" w:type="dxa"/>
                  <w:vMerge w:val="restart"/>
                  <w:tcBorders>
                    <w:top w:val="single" w:color="auto" w:sz="4" w:space="0"/>
                    <w:right w:val="single" w:color="auto" w:sz="4" w:space="0"/>
                  </w:tcBorders>
                  <w:noWrap w:val="0"/>
                  <w:vAlign w:val="center"/>
                </w:tcPr>
                <w:p>
                  <w:pPr>
                    <w:widowControl/>
                    <w:jc w:val="center"/>
                    <w:rPr>
                      <w:rFonts w:hint="default"/>
                      <w:color w:val="auto"/>
                    </w:rPr>
                  </w:pPr>
                  <w:r>
                    <w:rPr>
                      <w:rFonts w:hint="default"/>
                      <w:color w:val="auto"/>
                    </w:rPr>
                    <w:t>PM</w:t>
                  </w:r>
                  <w:r>
                    <w:rPr>
                      <w:rFonts w:hint="default"/>
                      <w:color w:val="auto"/>
                      <w:vertAlign w:val="subscript"/>
                    </w:rPr>
                    <w:t>2.5</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年平均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35</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07" w:type="dxa"/>
                  <w:vMerge w:val="continue"/>
                  <w:tcBorders>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24小时平均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75</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507"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O</w:t>
                  </w:r>
                  <w:r>
                    <w:rPr>
                      <w:rFonts w:hint="default"/>
                      <w:color w:val="auto"/>
                      <w:vertAlign w:val="subscript"/>
                    </w:rPr>
                    <w:t>3</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日最大8小时平均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160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200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507"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NO</w:t>
                  </w:r>
                  <w:r>
                    <w:rPr>
                      <w:rFonts w:hint="default"/>
                      <w:color w:val="auto"/>
                      <w:vertAlign w:val="subscript"/>
                    </w:rPr>
                    <w:t>2</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年平均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40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24小时平均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80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507"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1小时平均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200</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507" w:type="dxa"/>
                  <w:vMerge w:val="restart"/>
                  <w:tcBorders>
                    <w:top w:val="single" w:color="auto" w:sz="4" w:space="0"/>
                    <w:right w:val="single" w:color="auto" w:sz="4" w:space="0"/>
                  </w:tcBorders>
                  <w:noWrap w:val="0"/>
                  <w:vAlign w:val="center"/>
                </w:tcPr>
                <w:p>
                  <w:pPr>
                    <w:widowControl/>
                    <w:jc w:val="center"/>
                    <w:rPr>
                      <w:rFonts w:hint="default"/>
                      <w:color w:val="auto"/>
                    </w:rPr>
                  </w:pPr>
                  <w:r>
                    <w:rPr>
                      <w:rFonts w:hint="eastAsia"/>
                      <w:color w:val="auto"/>
                      <w:lang w:val="en-US" w:eastAsia="zh-CN"/>
                    </w:rPr>
                    <w:t>CO</w:t>
                  </w:r>
                </w:p>
              </w:tc>
              <w:tc>
                <w:tcPr>
                  <w:tcW w:w="2088"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lang w:val="en-US" w:eastAsia="zh-CN"/>
                    </w:rPr>
                    <w:t>24小时</w:t>
                  </w:r>
                  <w:r>
                    <w:rPr>
                      <w:rFonts w:hint="default"/>
                      <w:color w:val="auto"/>
                    </w:rPr>
                    <w:t>平均</w:t>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eastAsia"/>
                      <w:color w:val="auto"/>
                      <w:lang w:val="en-US" w:eastAsia="zh-CN"/>
                    </w:rPr>
                    <w:t>4mg/m</w:t>
                  </w:r>
                  <w:r>
                    <w:rPr>
                      <w:rFonts w:hint="eastAsia"/>
                      <w:color w:val="auto"/>
                      <w:vertAlign w:val="superscript"/>
                      <w:lang w:val="en-US" w:eastAsia="zh-CN"/>
                    </w:rPr>
                    <w:t>3</w:t>
                  </w:r>
                </w:p>
              </w:tc>
              <w:tc>
                <w:tcPr>
                  <w:tcW w:w="3371" w:type="dxa"/>
                  <w:vMerge w:val="continue"/>
                  <w:tcBorders>
                    <w:left w:val="single" w:color="auto" w:sz="4" w:space="0"/>
                  </w:tcBorders>
                  <w:noWrap w:val="0"/>
                  <w:vAlign w:val="center"/>
                </w:tcPr>
                <w:p>
                  <w:pPr>
                    <w:widowControl/>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507" w:type="dxa"/>
                  <w:vMerge w:val="continue"/>
                  <w:tcBorders>
                    <w:right w:val="single" w:color="auto" w:sz="4" w:space="0"/>
                  </w:tcBorders>
                  <w:noWrap w:val="0"/>
                  <w:vAlign w:val="center"/>
                </w:tcPr>
                <w:p>
                  <w:pPr>
                    <w:widowControl/>
                    <w:jc w:val="center"/>
                    <w:rPr>
                      <w:rFonts w:hint="default"/>
                      <w:color w:val="auto"/>
                    </w:rPr>
                  </w:pPr>
                </w:p>
              </w:tc>
              <w:tc>
                <w:tcPr>
                  <w:tcW w:w="2088" w:type="dxa"/>
                  <w:tcBorders>
                    <w:top w:val="single" w:color="auto" w:sz="4" w:space="0"/>
                    <w:left w:val="single" w:color="auto" w:sz="4" w:space="0"/>
                    <w:right w:val="single" w:color="auto" w:sz="4" w:space="0"/>
                  </w:tcBorders>
                  <w:noWrap w:val="0"/>
                  <w:vAlign w:val="center"/>
                </w:tcPr>
                <w:p>
                  <w:pPr>
                    <w:widowControl/>
                    <w:jc w:val="center"/>
                    <w:rPr>
                      <w:rFonts w:hint="default"/>
                      <w:color w:val="auto"/>
                    </w:rPr>
                  </w:pPr>
                  <w:r>
                    <w:rPr>
                      <w:rFonts w:hint="default"/>
                      <w:color w:val="auto"/>
                    </w:rPr>
                    <w:t>1</w:t>
                  </w:r>
                  <w:r>
                    <w:rPr>
                      <w:rFonts w:hint="default"/>
                      <w:color w:val="auto"/>
                      <w:lang w:eastAsia="zh-CN"/>
                    </w:rPr>
                    <w:t>小时</w:t>
                  </w:r>
                  <w:r>
                    <w:rPr>
                      <w:rFonts w:hint="default"/>
                      <w:color w:val="auto"/>
                    </w:rPr>
                    <w:t>平均</w:t>
                  </w:r>
                </w:p>
              </w:tc>
              <w:tc>
                <w:tcPr>
                  <w:tcW w:w="1284" w:type="dxa"/>
                  <w:tcBorders>
                    <w:top w:val="single" w:color="auto" w:sz="4" w:space="0"/>
                    <w:left w:val="single" w:color="auto" w:sz="4" w:space="0"/>
                    <w:right w:val="single" w:color="auto" w:sz="4" w:space="0"/>
                  </w:tcBorders>
                  <w:noWrap w:val="0"/>
                  <w:vAlign w:val="center"/>
                </w:tcPr>
                <w:p>
                  <w:pPr>
                    <w:widowControl/>
                    <w:jc w:val="center"/>
                    <w:rPr>
                      <w:rFonts w:hint="default"/>
                      <w:color w:val="auto"/>
                    </w:rPr>
                  </w:pPr>
                  <w:r>
                    <w:rPr>
                      <w:rFonts w:hint="eastAsia"/>
                      <w:color w:val="auto"/>
                      <w:lang w:val="en-US" w:eastAsia="zh-CN"/>
                    </w:rPr>
                    <w:t>10mg/m</w:t>
                  </w:r>
                  <w:r>
                    <w:rPr>
                      <w:rFonts w:hint="eastAsia"/>
                      <w:color w:val="auto"/>
                      <w:vertAlign w:val="superscript"/>
                      <w:lang w:val="en-US" w:eastAsia="zh-CN"/>
                    </w:rPr>
                    <w:t>3</w:t>
                  </w:r>
                </w:p>
              </w:tc>
              <w:tc>
                <w:tcPr>
                  <w:tcW w:w="3371" w:type="dxa"/>
                  <w:vMerge w:val="continue"/>
                  <w:tcBorders>
                    <w:left w:val="single" w:color="auto" w:sz="4" w:space="0"/>
                  </w:tcBorders>
                  <w:noWrap w:val="0"/>
                  <w:vAlign w:val="center"/>
                </w:tcPr>
                <w:p>
                  <w:pPr>
                    <w:widowControl/>
                    <w:jc w:val="center"/>
                    <w:rPr>
                      <w:rFonts w:hint="default"/>
                      <w:color w:val="auto"/>
                    </w:rPr>
                  </w:pPr>
                </w:p>
              </w:tc>
            </w:tr>
          </w:tbl>
          <w:p>
            <w:pPr>
              <w:adjustRightInd w:val="0"/>
              <w:snapToGrid w:val="0"/>
              <w:spacing w:line="360" w:lineRule="auto"/>
              <w:rPr>
                <w:rFonts w:hint="default"/>
                <w:color w:val="auto"/>
                <w:sz w:val="24"/>
                <w:szCs w:val="24"/>
              </w:rPr>
            </w:pPr>
            <w:r>
              <w:rPr>
                <w:rFonts w:hint="default"/>
                <w:color w:val="auto"/>
                <w:sz w:val="24"/>
                <w:szCs w:val="24"/>
              </w:rPr>
              <w:t>2、《声环境质量标准》（GB3096-2008）相关标准限值见表</w:t>
            </w:r>
            <w:r>
              <w:rPr>
                <w:rFonts w:hint="eastAsia"/>
                <w:color w:val="auto"/>
                <w:sz w:val="24"/>
                <w:szCs w:val="24"/>
                <w:lang w:val="en-US" w:eastAsia="zh-CN"/>
              </w:rPr>
              <w:t>16</w:t>
            </w:r>
            <w:r>
              <w:rPr>
                <w:rFonts w:hint="default"/>
                <w:color w:val="auto"/>
                <w:sz w:val="24"/>
                <w:szCs w:val="24"/>
              </w:rPr>
              <w:t>。</w:t>
            </w:r>
          </w:p>
          <w:p>
            <w:pPr>
              <w:adjustRightInd w:val="0"/>
              <w:snapToGrid w:val="0"/>
              <w:spacing w:line="240" w:lineRule="auto"/>
              <w:ind w:firstLine="950" w:firstLineChars="396"/>
              <w:rPr>
                <w:rFonts w:hint="default"/>
                <w:color w:val="auto"/>
                <w:sz w:val="24"/>
                <w:szCs w:val="24"/>
              </w:rPr>
            </w:pPr>
            <w:r>
              <w:rPr>
                <w:rFonts w:hint="default"/>
                <w:color w:val="auto"/>
                <w:sz w:val="24"/>
                <w:szCs w:val="24"/>
              </w:rPr>
              <w:t>表</w:t>
            </w:r>
            <w:r>
              <w:rPr>
                <w:rFonts w:hint="eastAsia"/>
                <w:color w:val="auto"/>
                <w:sz w:val="24"/>
                <w:szCs w:val="24"/>
                <w:lang w:val="en-US" w:eastAsia="zh-CN"/>
              </w:rPr>
              <w:t>16</w:t>
            </w:r>
            <w:r>
              <w:rPr>
                <w:rFonts w:hint="default"/>
                <w:color w:val="auto"/>
                <w:sz w:val="24"/>
                <w:szCs w:val="24"/>
              </w:rPr>
              <w:t xml:space="preserve">       声环境质量标准           单位：dB（A）</w:t>
            </w:r>
          </w:p>
          <w:tbl>
            <w:tblPr>
              <w:tblStyle w:val="15"/>
              <w:tblW w:w="829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4"/>
              <w:gridCol w:w="27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1" w:hRule="atLeast"/>
                <w:jc w:val="center"/>
              </w:trPr>
              <w:tc>
                <w:tcPr>
                  <w:tcW w:w="2765" w:type="dxa"/>
                  <w:tcBorders>
                    <w:bottom w:val="single" w:color="auto" w:sz="4" w:space="0"/>
                    <w:right w:val="single" w:color="auto" w:sz="4" w:space="0"/>
                  </w:tcBorders>
                  <w:noWrap w:val="0"/>
                  <w:vAlign w:val="center"/>
                </w:tcPr>
                <w:p>
                  <w:pPr>
                    <w:widowControl/>
                    <w:jc w:val="center"/>
                    <w:rPr>
                      <w:rFonts w:hint="default"/>
                      <w:color w:val="auto"/>
                    </w:rPr>
                  </w:pPr>
                  <w:r>
                    <w:rPr>
                      <w:rFonts w:hint="default"/>
                      <w:color w:val="auto"/>
                    </w:rPr>
                    <w:t>类别</w:t>
                  </w:r>
                </w:p>
              </w:tc>
              <w:tc>
                <w:tcPr>
                  <w:tcW w:w="2764" w:type="dxa"/>
                  <w:tcBorders>
                    <w:left w:val="single" w:color="auto" w:sz="4" w:space="0"/>
                    <w:bottom w:val="single" w:color="auto" w:sz="4" w:space="0"/>
                    <w:right w:val="single" w:color="auto" w:sz="4" w:space="0"/>
                  </w:tcBorders>
                  <w:noWrap w:val="0"/>
                  <w:vAlign w:val="center"/>
                </w:tcPr>
                <w:p>
                  <w:pPr>
                    <w:widowControl/>
                    <w:jc w:val="center"/>
                    <w:rPr>
                      <w:rFonts w:hint="default"/>
                      <w:color w:val="auto"/>
                    </w:rPr>
                  </w:pPr>
                  <w:r>
                    <w:rPr>
                      <w:rFonts w:hint="default"/>
                      <w:color w:val="auto"/>
                    </w:rPr>
                    <w:t>昼间</w:t>
                  </w:r>
                </w:p>
              </w:tc>
              <w:tc>
                <w:tcPr>
                  <w:tcW w:w="2766" w:type="dxa"/>
                  <w:tcBorders>
                    <w:left w:val="single" w:color="auto" w:sz="4" w:space="0"/>
                    <w:bottom w:val="single" w:color="auto" w:sz="4" w:space="0"/>
                  </w:tcBorders>
                  <w:noWrap w:val="0"/>
                  <w:vAlign w:val="center"/>
                </w:tcPr>
                <w:p>
                  <w:pPr>
                    <w:widowControl/>
                    <w:jc w:val="center"/>
                    <w:rPr>
                      <w:rFonts w:hint="default"/>
                      <w:color w:val="auto"/>
                    </w:rPr>
                  </w:pPr>
                  <w:r>
                    <w:rPr>
                      <w:rFonts w:hint="default"/>
                      <w:color w:val="auto"/>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1" w:hRule="atLeast"/>
                <w:jc w:val="center"/>
              </w:trPr>
              <w:tc>
                <w:tcPr>
                  <w:tcW w:w="2765" w:type="dxa"/>
                  <w:tcBorders>
                    <w:top w:val="single" w:color="auto" w:sz="4" w:space="0"/>
                    <w:right w:val="single" w:color="auto" w:sz="4" w:space="0"/>
                  </w:tcBorders>
                  <w:noWrap w:val="0"/>
                  <w:vAlign w:val="center"/>
                </w:tcPr>
                <w:p>
                  <w:pPr>
                    <w:widowControl/>
                    <w:jc w:val="center"/>
                    <w:rPr>
                      <w:rFonts w:hint="default"/>
                      <w:color w:val="auto"/>
                    </w:rPr>
                  </w:pPr>
                  <w:r>
                    <w:rPr>
                      <w:rFonts w:hint="eastAsia"/>
                      <w:color w:val="auto"/>
                      <w:lang w:val="en-US" w:eastAsia="zh-CN"/>
                    </w:rPr>
                    <w:t>2</w:t>
                  </w:r>
                  <w:r>
                    <w:rPr>
                      <w:rFonts w:hint="default"/>
                      <w:color w:val="auto"/>
                    </w:rPr>
                    <w:t>类</w:t>
                  </w:r>
                </w:p>
              </w:tc>
              <w:tc>
                <w:tcPr>
                  <w:tcW w:w="2764" w:type="dxa"/>
                  <w:tcBorders>
                    <w:top w:val="single" w:color="auto" w:sz="4" w:space="0"/>
                    <w:left w:val="single" w:color="auto" w:sz="4" w:space="0"/>
                    <w:right w:val="single" w:color="auto" w:sz="4" w:space="0"/>
                  </w:tcBorders>
                  <w:noWrap w:val="0"/>
                  <w:vAlign w:val="center"/>
                </w:tcPr>
                <w:p>
                  <w:pPr>
                    <w:widowControl/>
                    <w:jc w:val="center"/>
                    <w:rPr>
                      <w:rFonts w:hint="default"/>
                      <w:color w:val="auto"/>
                      <w:lang w:val="en-US" w:eastAsia="zh-CN"/>
                    </w:rPr>
                  </w:pPr>
                  <w:r>
                    <w:rPr>
                      <w:rFonts w:hint="default"/>
                      <w:color w:val="auto"/>
                      <w:lang w:val="en-US" w:eastAsia="zh-CN"/>
                    </w:rPr>
                    <w:t>6</w:t>
                  </w:r>
                  <w:r>
                    <w:rPr>
                      <w:rFonts w:hint="eastAsia"/>
                      <w:color w:val="auto"/>
                      <w:lang w:val="en-US" w:eastAsia="zh-CN"/>
                    </w:rPr>
                    <w:t>0</w:t>
                  </w:r>
                </w:p>
              </w:tc>
              <w:tc>
                <w:tcPr>
                  <w:tcW w:w="2766" w:type="dxa"/>
                  <w:tcBorders>
                    <w:top w:val="single" w:color="auto" w:sz="4" w:space="0"/>
                    <w:left w:val="single" w:color="auto" w:sz="4" w:space="0"/>
                  </w:tcBorders>
                  <w:noWrap w:val="0"/>
                  <w:vAlign w:val="center"/>
                </w:tcPr>
                <w:p>
                  <w:pPr>
                    <w:widowControl/>
                    <w:jc w:val="center"/>
                    <w:rPr>
                      <w:rFonts w:hint="default"/>
                      <w:color w:val="auto"/>
                      <w:lang w:val="en-US" w:eastAsia="zh-CN"/>
                    </w:rPr>
                  </w:pPr>
                  <w:r>
                    <w:rPr>
                      <w:rFonts w:hint="default"/>
                      <w:color w:val="auto"/>
                      <w:lang w:val="en-US" w:eastAsia="zh-CN"/>
                    </w:rPr>
                    <w:t>5</w:t>
                  </w:r>
                  <w:r>
                    <w:rPr>
                      <w:rFonts w:hint="eastAsia"/>
                      <w:color w:val="auto"/>
                      <w:lang w:val="en-US" w:eastAsia="zh-CN"/>
                    </w:rPr>
                    <w:t>0</w:t>
                  </w:r>
                </w:p>
              </w:tc>
            </w:tr>
          </w:tbl>
          <w:p>
            <w:pPr>
              <w:adjustRightInd w:val="0"/>
              <w:snapToGrid w:val="0"/>
              <w:spacing w:line="360" w:lineRule="auto"/>
              <w:rPr>
                <w:rFonts w:hint="default"/>
                <w:color w:val="auto"/>
                <w:sz w:val="24"/>
                <w:szCs w:val="24"/>
              </w:rPr>
            </w:pPr>
            <w:r>
              <w:rPr>
                <w:rFonts w:hint="default"/>
                <w:color w:val="auto"/>
                <w:sz w:val="24"/>
                <w:szCs w:val="24"/>
              </w:rPr>
              <w:t>3、《地表水环境质量标准》（GB3838-2002）V类标准。相关标准限值见表</w:t>
            </w:r>
            <w:r>
              <w:rPr>
                <w:rFonts w:hint="eastAsia"/>
                <w:color w:val="auto"/>
                <w:sz w:val="24"/>
                <w:szCs w:val="24"/>
                <w:lang w:val="en-US" w:eastAsia="zh-CN"/>
              </w:rPr>
              <w:t>17</w:t>
            </w:r>
            <w:r>
              <w:rPr>
                <w:rFonts w:hint="default"/>
                <w:color w:val="auto"/>
                <w:sz w:val="24"/>
                <w:szCs w:val="24"/>
              </w:rPr>
              <w:t>。</w:t>
            </w:r>
          </w:p>
          <w:p>
            <w:pPr>
              <w:adjustRightInd w:val="0"/>
              <w:snapToGrid w:val="0"/>
              <w:spacing w:line="240" w:lineRule="auto"/>
              <w:ind w:firstLine="950" w:firstLineChars="396"/>
              <w:rPr>
                <w:rFonts w:hint="default"/>
                <w:color w:val="auto"/>
                <w:sz w:val="24"/>
                <w:szCs w:val="24"/>
              </w:rPr>
            </w:pPr>
            <w:r>
              <w:rPr>
                <w:rFonts w:hint="default"/>
                <w:color w:val="auto"/>
                <w:sz w:val="24"/>
                <w:szCs w:val="24"/>
              </w:rPr>
              <w:t>表</w:t>
            </w:r>
            <w:r>
              <w:rPr>
                <w:rFonts w:hint="eastAsia"/>
                <w:color w:val="auto"/>
                <w:sz w:val="24"/>
                <w:szCs w:val="24"/>
                <w:lang w:val="en-US" w:eastAsia="zh-CN"/>
              </w:rPr>
              <w:t>17</w:t>
            </w:r>
            <w:r>
              <w:rPr>
                <w:rFonts w:hint="default"/>
                <w:color w:val="auto"/>
                <w:sz w:val="24"/>
                <w:szCs w:val="24"/>
              </w:rPr>
              <w:t xml:space="preserve">        地表水环境质量标准      </w:t>
            </w:r>
            <w:r>
              <w:rPr>
                <w:rFonts w:hint="default"/>
                <w:color w:val="auto"/>
                <w:sz w:val="24"/>
                <w:szCs w:val="24"/>
                <w:lang w:val="en-US" w:eastAsia="zh-CN"/>
              </w:rPr>
              <w:t xml:space="preserve"> </w:t>
            </w:r>
            <w:r>
              <w:rPr>
                <w:rFonts w:hint="default"/>
                <w:color w:val="auto"/>
                <w:sz w:val="24"/>
                <w:szCs w:val="24"/>
              </w:rPr>
              <w:t xml:space="preserve">   单位：mg/L</w:t>
            </w:r>
          </w:p>
          <w:tbl>
            <w:tblPr>
              <w:tblStyle w:val="15"/>
              <w:tblW w:w="8295"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16" w:hRule="exact"/>
                <w:jc w:val="center"/>
              </w:trPr>
              <w:tc>
                <w:tcPr>
                  <w:tcW w:w="2931" w:type="dxa"/>
                  <w:noWrap w:val="0"/>
                  <w:vAlign w:val="center"/>
                </w:tcPr>
                <w:p>
                  <w:pPr>
                    <w:spacing w:line="240" w:lineRule="auto"/>
                    <w:jc w:val="center"/>
                    <w:rPr>
                      <w:rFonts w:hint="default"/>
                      <w:color w:val="auto"/>
                      <w:lang w:eastAsia="zh-CN"/>
                    </w:rPr>
                  </w:pPr>
                  <w:r>
                    <w:rPr>
                      <w:rFonts w:hint="default"/>
                      <w:color w:val="auto"/>
                      <w:lang w:eastAsia="zh-CN"/>
                    </w:rPr>
                    <w:t>项目类别</w:t>
                  </w:r>
                </w:p>
              </w:tc>
              <w:tc>
                <w:tcPr>
                  <w:tcW w:w="1847" w:type="dxa"/>
                  <w:noWrap w:val="0"/>
                  <w:vAlign w:val="center"/>
                </w:tcPr>
                <w:p>
                  <w:pPr>
                    <w:spacing w:line="240" w:lineRule="auto"/>
                    <w:jc w:val="center"/>
                    <w:rPr>
                      <w:rFonts w:hint="default"/>
                      <w:color w:val="auto"/>
                    </w:rPr>
                  </w:pPr>
                  <w:r>
                    <w:rPr>
                      <w:rFonts w:hint="default"/>
                      <w:color w:val="auto"/>
                    </w:rPr>
                    <w:t>浓度限值</w:t>
                  </w:r>
                </w:p>
              </w:tc>
              <w:tc>
                <w:tcPr>
                  <w:tcW w:w="3517" w:type="dxa"/>
                  <w:noWrap w:val="0"/>
                  <w:vAlign w:val="center"/>
                </w:tcPr>
                <w:p>
                  <w:pPr>
                    <w:spacing w:line="240" w:lineRule="auto"/>
                    <w:jc w:val="center"/>
                    <w:rPr>
                      <w:rFonts w:hint="default"/>
                      <w:color w:val="auto"/>
                      <w:lang w:eastAsia="zh-CN"/>
                    </w:rPr>
                  </w:pPr>
                  <w:r>
                    <w:rPr>
                      <w:rFonts w:hint="default"/>
                      <w:color w:val="auto"/>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397" w:hRule="exact"/>
                <w:jc w:val="center"/>
              </w:trPr>
              <w:tc>
                <w:tcPr>
                  <w:tcW w:w="2931" w:type="dxa"/>
                  <w:noWrap w:val="0"/>
                  <w:vAlign w:val="center"/>
                </w:tcPr>
                <w:p>
                  <w:pPr>
                    <w:spacing w:line="240" w:lineRule="auto"/>
                    <w:jc w:val="center"/>
                    <w:rPr>
                      <w:rFonts w:hint="default"/>
                      <w:color w:val="auto"/>
                    </w:rPr>
                  </w:pPr>
                  <w:r>
                    <w:rPr>
                      <w:rFonts w:hint="default"/>
                      <w:color w:val="auto"/>
                    </w:rPr>
                    <w:t>pH</w:t>
                  </w:r>
                  <w:r>
                    <w:rPr>
                      <w:rFonts w:hint="default"/>
                      <w:color w:val="auto"/>
                      <w:lang w:eastAsia="zh-CN"/>
                    </w:rPr>
                    <w:t>值（</w:t>
                  </w:r>
                  <w:r>
                    <w:rPr>
                      <w:rFonts w:hint="default"/>
                      <w:color w:val="auto"/>
                    </w:rPr>
                    <w:t>无量纲</w:t>
                  </w:r>
                  <w:r>
                    <w:rPr>
                      <w:rFonts w:hint="default"/>
                      <w:color w:val="auto"/>
                      <w:lang w:eastAsia="zh-CN"/>
                    </w:rPr>
                    <w:t>）</w:t>
                  </w:r>
                </w:p>
              </w:tc>
              <w:tc>
                <w:tcPr>
                  <w:tcW w:w="1847" w:type="dxa"/>
                  <w:noWrap w:val="0"/>
                  <w:vAlign w:val="center"/>
                </w:tcPr>
                <w:p>
                  <w:pPr>
                    <w:spacing w:line="360" w:lineRule="auto"/>
                    <w:jc w:val="center"/>
                    <w:rPr>
                      <w:rFonts w:hint="default"/>
                      <w:color w:val="auto"/>
                    </w:rPr>
                  </w:pPr>
                  <w:r>
                    <w:rPr>
                      <w:rFonts w:hint="default"/>
                      <w:color w:val="auto"/>
                    </w:rPr>
                    <w:t>6~9</w:t>
                  </w:r>
                </w:p>
              </w:tc>
              <w:tc>
                <w:tcPr>
                  <w:tcW w:w="3517" w:type="dxa"/>
                  <w:vMerge w:val="restart"/>
                  <w:noWrap w:val="0"/>
                  <w:vAlign w:val="center"/>
                </w:tcPr>
                <w:p>
                  <w:pPr>
                    <w:spacing w:line="240" w:lineRule="auto"/>
                    <w:jc w:val="center"/>
                    <w:rPr>
                      <w:rFonts w:hint="default"/>
                      <w:color w:val="auto"/>
                    </w:rPr>
                  </w:pPr>
                  <w:r>
                    <w:rPr>
                      <w:rFonts w:hint="default"/>
                      <w:color w:val="auto"/>
                    </w:rPr>
                    <w:t>《地表水环境质量标准》</w:t>
                  </w:r>
                </w:p>
                <w:p>
                  <w:pPr>
                    <w:spacing w:line="240" w:lineRule="auto"/>
                    <w:jc w:val="center"/>
                    <w:rPr>
                      <w:rFonts w:hint="default"/>
                      <w:color w:val="auto"/>
                    </w:rPr>
                  </w:pPr>
                  <w:r>
                    <w:rPr>
                      <w:rFonts w:hint="default"/>
                      <w:color w:val="auto"/>
                    </w:rPr>
                    <w:t>（GB3838-2002）V类标准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369" w:hRule="exact"/>
                <w:jc w:val="center"/>
              </w:trPr>
              <w:tc>
                <w:tcPr>
                  <w:tcW w:w="2931" w:type="dxa"/>
                  <w:noWrap w:val="0"/>
                  <w:vAlign w:val="center"/>
                </w:tcPr>
                <w:p>
                  <w:pPr>
                    <w:spacing w:line="240" w:lineRule="auto"/>
                    <w:jc w:val="center"/>
                    <w:rPr>
                      <w:rFonts w:hint="default"/>
                      <w:color w:val="auto"/>
                    </w:rPr>
                  </w:pPr>
                  <w:r>
                    <w:rPr>
                      <w:rFonts w:hint="default"/>
                      <w:color w:val="auto"/>
                      <w:lang w:eastAsia="zh-CN"/>
                    </w:rPr>
                    <w:t>化学需氧量（</w:t>
                  </w:r>
                  <w:r>
                    <w:rPr>
                      <w:rFonts w:hint="default"/>
                      <w:color w:val="auto"/>
                    </w:rPr>
                    <w:t>COD</w:t>
                  </w:r>
                  <w:r>
                    <w:rPr>
                      <w:rFonts w:hint="default"/>
                      <w:color w:val="auto"/>
                      <w:lang w:eastAsia="zh-CN"/>
                    </w:rPr>
                    <w:t>）</w:t>
                  </w:r>
                </w:p>
              </w:tc>
              <w:tc>
                <w:tcPr>
                  <w:tcW w:w="1847" w:type="dxa"/>
                  <w:noWrap w:val="0"/>
                  <w:vAlign w:val="center"/>
                </w:tcPr>
                <w:p>
                  <w:pPr>
                    <w:spacing w:line="360" w:lineRule="auto"/>
                    <w:jc w:val="center"/>
                    <w:rPr>
                      <w:rFonts w:hint="default"/>
                      <w:color w:val="auto"/>
                    </w:rPr>
                  </w:pPr>
                  <w:r>
                    <w:rPr>
                      <w:rFonts w:hint="default"/>
                      <w:color w:val="auto"/>
                    </w:rPr>
                    <w:t>≤40</w:t>
                  </w:r>
                </w:p>
              </w:tc>
              <w:tc>
                <w:tcPr>
                  <w:tcW w:w="3517" w:type="dxa"/>
                  <w:vMerge w:val="continue"/>
                  <w:noWrap w:val="0"/>
                  <w:vAlign w:val="center"/>
                </w:tcPr>
                <w:p>
                  <w:pPr>
                    <w:spacing w:line="360" w:lineRule="auto"/>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390" w:hRule="exact"/>
                <w:jc w:val="center"/>
              </w:trPr>
              <w:tc>
                <w:tcPr>
                  <w:tcW w:w="2931" w:type="dxa"/>
                  <w:noWrap w:val="0"/>
                  <w:vAlign w:val="center"/>
                </w:tcPr>
                <w:p>
                  <w:pPr>
                    <w:spacing w:line="240" w:lineRule="auto"/>
                    <w:jc w:val="center"/>
                    <w:rPr>
                      <w:rFonts w:hint="default"/>
                      <w:color w:val="auto"/>
                    </w:rPr>
                  </w:pPr>
                  <w:r>
                    <w:rPr>
                      <w:rFonts w:hint="default"/>
                      <w:color w:val="auto"/>
                      <w:lang w:eastAsia="zh-CN"/>
                    </w:rPr>
                    <w:t>五日生化需氧量（</w:t>
                  </w:r>
                  <w:r>
                    <w:rPr>
                      <w:rFonts w:hint="default"/>
                      <w:color w:val="auto"/>
                    </w:rPr>
                    <w:t>BOD</w:t>
                  </w:r>
                  <w:r>
                    <w:rPr>
                      <w:rFonts w:hint="default"/>
                      <w:color w:val="auto"/>
                      <w:vertAlign w:val="subscript"/>
                    </w:rPr>
                    <w:t>5</w:t>
                  </w:r>
                  <w:r>
                    <w:rPr>
                      <w:rFonts w:hint="default"/>
                      <w:color w:val="auto"/>
                      <w:lang w:eastAsia="zh-CN"/>
                    </w:rPr>
                    <w:t>）</w:t>
                  </w:r>
                </w:p>
              </w:tc>
              <w:tc>
                <w:tcPr>
                  <w:tcW w:w="1847" w:type="dxa"/>
                  <w:noWrap w:val="0"/>
                  <w:vAlign w:val="center"/>
                </w:tcPr>
                <w:p>
                  <w:pPr>
                    <w:spacing w:line="360" w:lineRule="auto"/>
                    <w:jc w:val="center"/>
                    <w:rPr>
                      <w:rFonts w:hint="default"/>
                      <w:color w:val="auto"/>
                    </w:rPr>
                  </w:pPr>
                  <w:r>
                    <w:rPr>
                      <w:rFonts w:hint="default"/>
                      <w:color w:val="auto"/>
                    </w:rPr>
                    <w:t>≤10</w:t>
                  </w:r>
                </w:p>
              </w:tc>
              <w:tc>
                <w:tcPr>
                  <w:tcW w:w="3517" w:type="dxa"/>
                  <w:vMerge w:val="continue"/>
                  <w:noWrap w:val="0"/>
                  <w:vAlign w:val="center"/>
                </w:tcPr>
                <w:p>
                  <w:pPr>
                    <w:spacing w:line="360" w:lineRule="auto"/>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84" w:hRule="exact"/>
                <w:jc w:val="center"/>
              </w:trPr>
              <w:tc>
                <w:tcPr>
                  <w:tcW w:w="2931" w:type="dxa"/>
                  <w:noWrap w:val="0"/>
                  <w:vAlign w:val="center"/>
                </w:tcPr>
                <w:p>
                  <w:pPr>
                    <w:spacing w:line="240" w:lineRule="auto"/>
                    <w:jc w:val="center"/>
                    <w:rPr>
                      <w:rFonts w:hint="default"/>
                      <w:color w:val="auto"/>
                      <w:lang w:val="en-US" w:eastAsia="zh-CN"/>
                    </w:rPr>
                  </w:pPr>
                  <w:r>
                    <w:rPr>
                      <w:rFonts w:hint="default"/>
                      <w:color w:val="auto"/>
                      <w:lang w:val="en-US" w:eastAsia="zh-CN"/>
                    </w:rPr>
                    <w:t>氨氮（NH</w:t>
                  </w:r>
                  <w:r>
                    <w:rPr>
                      <w:rFonts w:hint="default"/>
                      <w:color w:val="auto"/>
                      <w:vertAlign w:val="subscript"/>
                      <w:lang w:val="en-US" w:eastAsia="zh-CN"/>
                    </w:rPr>
                    <w:t>3</w:t>
                  </w:r>
                  <w:r>
                    <w:rPr>
                      <w:rFonts w:hint="default"/>
                      <w:color w:val="auto"/>
                      <w:lang w:val="en-US" w:eastAsia="zh-CN"/>
                    </w:rPr>
                    <w:t>-N）</w:t>
                  </w:r>
                </w:p>
              </w:tc>
              <w:tc>
                <w:tcPr>
                  <w:tcW w:w="1847" w:type="dxa"/>
                  <w:noWrap w:val="0"/>
                  <w:vAlign w:val="center"/>
                </w:tcPr>
                <w:p>
                  <w:pPr>
                    <w:spacing w:line="360" w:lineRule="auto"/>
                    <w:jc w:val="center"/>
                    <w:rPr>
                      <w:rFonts w:hint="default"/>
                      <w:color w:val="auto"/>
                    </w:rPr>
                  </w:pPr>
                  <w:r>
                    <w:rPr>
                      <w:rFonts w:hint="default"/>
                      <w:color w:val="auto"/>
                    </w:rPr>
                    <w:t>≤</w:t>
                  </w:r>
                  <w:r>
                    <w:rPr>
                      <w:rFonts w:hint="default"/>
                      <w:color w:val="auto"/>
                      <w:lang w:val="en-US" w:eastAsia="zh-CN"/>
                    </w:rPr>
                    <w:t>2</w:t>
                  </w:r>
                  <w:r>
                    <w:rPr>
                      <w:rFonts w:hint="default"/>
                      <w:color w:val="auto"/>
                    </w:rPr>
                    <w:t>.0</w:t>
                  </w:r>
                </w:p>
              </w:tc>
              <w:tc>
                <w:tcPr>
                  <w:tcW w:w="3517" w:type="dxa"/>
                  <w:vMerge w:val="continue"/>
                  <w:noWrap w:val="0"/>
                  <w:vAlign w:val="center"/>
                </w:tcPr>
                <w:p>
                  <w:pPr>
                    <w:spacing w:line="360" w:lineRule="auto"/>
                    <w:jc w:val="center"/>
                    <w:rPr>
                      <w:rFonts w:hint="default"/>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09" w:hRule="exact"/>
                <w:jc w:val="center"/>
              </w:trPr>
              <w:tc>
                <w:tcPr>
                  <w:tcW w:w="2931" w:type="dxa"/>
                  <w:noWrap w:val="0"/>
                  <w:vAlign w:val="center"/>
                </w:tcPr>
                <w:p>
                  <w:pPr>
                    <w:spacing w:line="240" w:lineRule="auto"/>
                    <w:jc w:val="center"/>
                    <w:rPr>
                      <w:rFonts w:hint="default"/>
                      <w:color w:val="auto"/>
                      <w:lang w:val="en-US" w:eastAsia="zh-CN"/>
                    </w:rPr>
                  </w:pPr>
                  <w:r>
                    <w:rPr>
                      <w:rFonts w:hint="default"/>
                      <w:color w:val="auto"/>
                      <w:lang w:val="en-US" w:eastAsia="zh-CN"/>
                    </w:rPr>
                    <w:t>总磷</w:t>
                  </w:r>
                </w:p>
              </w:tc>
              <w:tc>
                <w:tcPr>
                  <w:tcW w:w="1847" w:type="dxa"/>
                  <w:noWrap w:val="0"/>
                  <w:vAlign w:val="center"/>
                </w:tcPr>
                <w:p>
                  <w:pPr>
                    <w:spacing w:line="360" w:lineRule="auto"/>
                    <w:jc w:val="center"/>
                    <w:rPr>
                      <w:rFonts w:hint="default"/>
                      <w:color w:val="auto"/>
                    </w:rPr>
                  </w:pPr>
                  <w:r>
                    <w:rPr>
                      <w:rFonts w:hint="default"/>
                      <w:color w:val="auto"/>
                    </w:rPr>
                    <w:t>≤</w:t>
                  </w:r>
                  <w:r>
                    <w:rPr>
                      <w:rFonts w:hint="default"/>
                      <w:color w:val="auto"/>
                      <w:lang w:val="en-US" w:eastAsia="zh-CN"/>
                    </w:rPr>
                    <w:t>0.4</w:t>
                  </w:r>
                </w:p>
              </w:tc>
              <w:tc>
                <w:tcPr>
                  <w:tcW w:w="3517" w:type="dxa"/>
                  <w:vMerge w:val="continue"/>
                  <w:noWrap w:val="0"/>
                  <w:vAlign w:val="center"/>
                </w:tcPr>
                <w:p>
                  <w:pPr>
                    <w:spacing w:line="360" w:lineRule="auto"/>
                    <w:jc w:val="center"/>
                    <w:rPr>
                      <w:rFonts w:hint="default"/>
                      <w:color w:val="auto"/>
                    </w:rPr>
                  </w:pP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textAlignment w:val="auto"/>
              <w:rPr>
                <w:rFonts w:hint="default"/>
                <w:color w:val="auto"/>
              </w:rPr>
            </w:pPr>
          </w:p>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textAlignment w:val="auto"/>
              <w:rPr>
                <w:rFonts w:hint="default" w:ascii="Times New Roman" w:hAnsi="Times New Roman" w:cs="Times New Roman"/>
                <w:color w:val="auto"/>
                <w:sz w:val="24"/>
              </w:rPr>
            </w:pPr>
          </w:p>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textAlignment w:val="auto"/>
              <w:rPr>
                <w:rFonts w:hint="default" w:ascii="Times New Roman" w:hAnsi="Times New Roman" w:cs="Times New Roman"/>
                <w:color w:val="auto"/>
                <w:sz w:val="24"/>
              </w:rPr>
            </w:pPr>
          </w:p>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textAlignment w:val="auto"/>
              <w:rPr>
                <w:rFonts w:hint="default" w:ascii="Times New Roman" w:hAnsi="Times New Roman" w:cs="Times New Roman"/>
                <w:color w:val="auto"/>
                <w:sz w:val="24"/>
              </w:rPr>
            </w:pPr>
          </w:p>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textAlignment w:val="auto"/>
              <w:rPr>
                <w:rFonts w:hint="default" w:ascii="Times New Roman" w:hAnsi="Times New Roman" w:cs="Times New Roman"/>
                <w:color w:val="auto"/>
                <w:sz w:val="24"/>
              </w:rPr>
            </w:pPr>
          </w:p>
          <w:p>
            <w:pPr>
              <w:pStyle w:val="2"/>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textAlignment w:val="auto"/>
              <w:rPr>
                <w:rFonts w:hint="default" w:ascii="Times New Roman" w:hAnsi="Times New Roman" w:cs="Times New Roman"/>
                <w:color w:val="auto"/>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498"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spacing w:line="520" w:lineRule="exact"/>
              <w:jc w:val="both"/>
              <w:rPr>
                <w:rFonts w:hint="default" w:ascii="Times New Roman" w:hAnsi="Times New Roman" w:cs="Times New Roman"/>
                <w:b/>
                <w:color w:val="auto"/>
                <w:sz w:val="28"/>
              </w:rPr>
            </w:pPr>
          </w:p>
          <w:p>
            <w:pPr>
              <w:adjustRightInd w:val="0"/>
              <w:snapToGrid w:val="0"/>
              <w:spacing w:line="520" w:lineRule="exact"/>
              <w:jc w:val="both"/>
              <w:rPr>
                <w:rFonts w:hint="default" w:ascii="Times New Roman" w:hAnsi="Times New Roman" w:cs="Times New Roman"/>
                <w:b/>
                <w:color w:val="auto"/>
                <w:sz w:val="28"/>
              </w:rPr>
            </w:pP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污</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染</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物</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排</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放</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标</w:t>
            </w:r>
          </w:p>
          <w:p>
            <w:pPr>
              <w:adjustRightInd w:val="0"/>
              <w:snapToGrid w:val="0"/>
              <w:spacing w:line="520" w:lineRule="exact"/>
              <w:jc w:val="both"/>
              <w:rPr>
                <w:rFonts w:hint="default" w:ascii="Times New Roman" w:hAnsi="Times New Roman" w:cs="Times New Roman"/>
                <w:b/>
                <w:color w:val="auto"/>
                <w:sz w:val="28"/>
              </w:rPr>
            </w:pPr>
            <w:r>
              <w:rPr>
                <w:rFonts w:hint="default" w:ascii="Times New Roman" w:hAnsi="Times New Roman" w:cs="Times New Roman"/>
                <w:b/>
                <w:color w:val="auto"/>
                <w:sz w:val="28"/>
              </w:rPr>
              <w:t>准</w:t>
            </w:r>
          </w:p>
        </w:tc>
        <w:tc>
          <w:tcPr>
            <w:tcW w:w="8541" w:type="dxa"/>
            <w:tcBorders>
              <w:top w:val="single" w:color="auto" w:sz="6" w:space="0"/>
              <w:left w:val="single" w:color="auto" w:sz="6" w:space="0"/>
              <w:bottom w:val="single" w:color="auto" w:sz="6" w:space="0"/>
              <w:right w:val="single" w:color="auto" w:sz="12" w:space="0"/>
            </w:tcBorders>
            <w:noWrap w:val="0"/>
            <w:vAlign w:val="top"/>
          </w:tcPr>
          <w:p>
            <w:pPr>
              <w:numPr>
                <w:ilvl w:val="0"/>
                <w:numId w:val="0"/>
              </w:numPr>
              <w:spacing w:line="360" w:lineRule="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噪声</w:t>
            </w:r>
          </w:p>
          <w:p>
            <w:pPr>
              <w:numPr>
                <w:ilvl w:val="0"/>
                <w:numId w:val="0"/>
              </w:numPr>
              <w:spacing w:line="360" w:lineRule="auto"/>
              <w:ind w:firstLine="472" w:firstLineChars="200"/>
              <w:rPr>
                <w:rFonts w:hint="default" w:ascii="Times New Roman" w:hAnsi="Times New Roman" w:cs="Times New Roman"/>
                <w:color w:val="auto"/>
                <w:spacing w:val="-2"/>
                <w:sz w:val="24"/>
                <w:szCs w:val="24"/>
              </w:rPr>
            </w:pPr>
            <w:r>
              <w:rPr>
                <w:rFonts w:hint="default" w:ascii="Times New Roman" w:hAnsi="Times New Roman" w:cs="Times New Roman"/>
                <w:color w:val="auto"/>
                <w:spacing w:val="-2"/>
                <w:sz w:val="24"/>
                <w:szCs w:val="24"/>
              </w:rPr>
              <w:t>项目运营期噪声执行《工业企业厂界环境噪声排放标准》（GB12348-2008）</w:t>
            </w:r>
            <w:r>
              <w:rPr>
                <w:rFonts w:hint="eastAsia" w:cs="Times New Roman"/>
                <w:color w:val="auto"/>
                <w:spacing w:val="-2"/>
                <w:sz w:val="24"/>
                <w:szCs w:val="24"/>
                <w:lang w:val="en-US" w:eastAsia="zh-CN"/>
              </w:rPr>
              <w:t>2</w:t>
            </w:r>
            <w:r>
              <w:rPr>
                <w:rFonts w:hint="default" w:ascii="Times New Roman" w:hAnsi="Times New Roman" w:cs="Times New Roman"/>
                <w:color w:val="auto"/>
                <w:spacing w:val="-2"/>
                <w:sz w:val="24"/>
                <w:szCs w:val="24"/>
              </w:rPr>
              <w:t>类标准，具体标准值见下表</w:t>
            </w:r>
            <w:r>
              <w:rPr>
                <w:rFonts w:hint="eastAsia" w:cs="Times New Roman"/>
                <w:color w:val="auto"/>
                <w:spacing w:val="-2"/>
                <w:sz w:val="24"/>
                <w:szCs w:val="24"/>
                <w:lang w:val="en-US" w:eastAsia="zh-CN"/>
              </w:rPr>
              <w:t>18</w:t>
            </w:r>
            <w:r>
              <w:rPr>
                <w:rFonts w:hint="default" w:ascii="Times New Roman" w:hAnsi="Times New Roman" w:cs="Times New Roman"/>
                <w:color w:val="auto"/>
                <w:spacing w:val="-2"/>
                <w:sz w:val="24"/>
                <w:szCs w:val="24"/>
              </w:rPr>
              <w:t>。</w:t>
            </w:r>
          </w:p>
          <w:p>
            <w:pPr>
              <w:spacing w:line="240" w:lineRule="auto"/>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表</w:t>
            </w:r>
            <w:r>
              <w:rPr>
                <w:rFonts w:hint="eastAsia" w:cs="Times New Roman"/>
                <w:bCs/>
                <w:color w:val="auto"/>
                <w:sz w:val="24"/>
                <w:szCs w:val="24"/>
                <w:lang w:val="en-US" w:eastAsia="zh-CN"/>
              </w:rPr>
              <w:t>18</w:t>
            </w:r>
            <w:r>
              <w:rPr>
                <w:rFonts w:hint="default" w:ascii="Times New Roman" w:hAnsi="Times New Roman" w:cs="Times New Roman"/>
                <w:bCs/>
                <w:color w:val="auto"/>
                <w:sz w:val="24"/>
                <w:szCs w:val="24"/>
              </w:rPr>
              <w:t xml:space="preserve">      工业企业厂界环境噪声排放标准      单位：dB（A）</w:t>
            </w:r>
          </w:p>
          <w:tbl>
            <w:tblPr>
              <w:tblStyle w:val="15"/>
              <w:tblW w:w="829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75"/>
              <w:gridCol w:w="3155"/>
              <w:gridCol w:w="2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375" w:type="dxa"/>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类别</w:t>
                  </w:r>
                </w:p>
              </w:tc>
              <w:tc>
                <w:tcPr>
                  <w:tcW w:w="3155" w:type="dxa"/>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2765" w:type="dxa"/>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trPr>
              <w:tc>
                <w:tcPr>
                  <w:tcW w:w="2375" w:type="dxa"/>
                  <w:noWrap w:val="0"/>
                  <w:vAlign w:val="center"/>
                </w:tcPr>
                <w:p>
                  <w:pPr>
                    <w:spacing w:line="240" w:lineRule="auto"/>
                    <w:jc w:val="center"/>
                    <w:rPr>
                      <w:rFonts w:hint="default" w:ascii="Times New Roman" w:hAnsi="Times New Roman" w:cs="Times New Roman"/>
                      <w:color w:val="auto"/>
                      <w:szCs w:val="21"/>
                    </w:rPr>
                  </w:pPr>
                  <w:r>
                    <w:rPr>
                      <w:rFonts w:hint="eastAsia" w:cs="Times New Roman"/>
                      <w:color w:val="auto"/>
                      <w:szCs w:val="21"/>
                      <w:lang w:val="en-US" w:eastAsia="zh-CN"/>
                    </w:rPr>
                    <w:t>2</w:t>
                  </w:r>
                  <w:r>
                    <w:rPr>
                      <w:rFonts w:hint="default" w:ascii="Times New Roman" w:hAnsi="Times New Roman" w:cs="Times New Roman"/>
                      <w:color w:val="auto"/>
                      <w:szCs w:val="21"/>
                    </w:rPr>
                    <w:t>类</w:t>
                  </w:r>
                </w:p>
              </w:tc>
              <w:tc>
                <w:tcPr>
                  <w:tcW w:w="3155" w:type="dxa"/>
                  <w:noWrap w:val="0"/>
                  <w:vAlign w:val="center"/>
                </w:tcPr>
                <w:p>
                  <w:pPr>
                    <w:spacing w:line="240" w:lineRule="auto"/>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w:t>
                  </w:r>
                  <w:r>
                    <w:rPr>
                      <w:rFonts w:hint="eastAsia" w:cs="Times New Roman"/>
                      <w:color w:val="auto"/>
                      <w:szCs w:val="21"/>
                      <w:lang w:val="en-US" w:eastAsia="zh-CN"/>
                    </w:rPr>
                    <w:t>0</w:t>
                  </w:r>
                </w:p>
              </w:tc>
              <w:tc>
                <w:tcPr>
                  <w:tcW w:w="2765" w:type="dxa"/>
                  <w:noWrap w:val="0"/>
                  <w:vAlign w:val="center"/>
                </w:tcPr>
                <w:p>
                  <w:pPr>
                    <w:spacing w:line="240" w:lineRule="auto"/>
                    <w:jc w:val="center"/>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Cs w:val="21"/>
                    </w:rPr>
                    <w:t>5</w:t>
                  </w:r>
                  <w:r>
                    <w:rPr>
                      <w:rFonts w:hint="eastAsia" w:cs="Times New Roman"/>
                      <w:color w:val="auto"/>
                      <w:szCs w:val="21"/>
                      <w:lang w:val="en-US" w:eastAsia="zh-CN"/>
                    </w:rPr>
                    <w:t>0</w:t>
                  </w:r>
                </w:p>
              </w:tc>
            </w:tr>
          </w:tbl>
          <w:p>
            <w:pPr>
              <w:numPr>
                <w:ilvl w:val="0"/>
                <w:numId w:val="0"/>
              </w:numPr>
              <w:spacing w:line="360" w:lineRule="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2、废气</w:t>
            </w:r>
          </w:p>
          <w:p>
            <w:pPr>
              <w:numPr>
                <w:ilvl w:val="0"/>
                <w:numId w:val="0"/>
              </w:num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项目废气标准值见下表</w:t>
            </w:r>
            <w:r>
              <w:rPr>
                <w:rFonts w:hint="eastAsia" w:cs="Times New Roman"/>
                <w:color w:val="auto"/>
                <w:sz w:val="24"/>
                <w:lang w:val="en-US" w:eastAsia="zh-CN"/>
              </w:rPr>
              <w:t>19</w:t>
            </w:r>
            <w:r>
              <w:rPr>
                <w:rFonts w:hint="default" w:ascii="Times New Roman" w:hAnsi="Times New Roman" w:cs="Times New Roman"/>
                <w:color w:val="auto"/>
                <w:sz w:val="24"/>
              </w:rPr>
              <w:t>。</w:t>
            </w:r>
          </w:p>
          <w:p>
            <w:pPr>
              <w:spacing w:line="240" w:lineRule="auto"/>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w:t>
            </w:r>
            <w:r>
              <w:rPr>
                <w:rFonts w:hint="eastAsia" w:cs="Times New Roman"/>
                <w:color w:val="auto"/>
                <w:sz w:val="24"/>
                <w:szCs w:val="24"/>
                <w:lang w:val="en-US" w:eastAsia="zh-CN"/>
              </w:rPr>
              <w:t>19</w:t>
            </w:r>
            <w:r>
              <w:rPr>
                <w:rFonts w:hint="default" w:ascii="Times New Roman" w:hAnsi="Times New Roman" w:cs="Times New Roman"/>
                <w:color w:val="auto"/>
              </w:rPr>
              <w:t xml:space="preserve">         </w:t>
            </w:r>
            <w:r>
              <w:rPr>
                <w:rFonts w:hint="default" w:ascii="Times New Roman" w:hAnsi="Times New Roman" w:cs="Times New Roman"/>
                <w:color w:val="auto"/>
                <w:sz w:val="24"/>
                <w:szCs w:val="24"/>
              </w:rPr>
              <w:t xml:space="preserve"> 大气污染物排放</w:t>
            </w:r>
            <w:r>
              <w:rPr>
                <w:rFonts w:hint="eastAsia" w:ascii="Times New Roman" w:hAnsi="Times New Roman" w:cs="Times New Roman"/>
                <w:color w:val="auto"/>
                <w:sz w:val="24"/>
                <w:szCs w:val="24"/>
                <w:lang w:eastAsia="zh-CN"/>
              </w:rPr>
              <w:t>相关</w:t>
            </w:r>
            <w:r>
              <w:rPr>
                <w:rFonts w:hint="default" w:ascii="Times New Roman" w:hAnsi="Times New Roman" w:cs="Times New Roman"/>
                <w:color w:val="auto"/>
                <w:sz w:val="24"/>
                <w:szCs w:val="24"/>
              </w:rPr>
              <w:t>标准</w:t>
            </w:r>
          </w:p>
          <w:tbl>
            <w:tblPr>
              <w:tblStyle w:val="16"/>
              <w:tblW w:w="82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69"/>
              <w:gridCol w:w="1077"/>
              <w:gridCol w:w="1968"/>
              <w:gridCol w:w="2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6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rPr>
                    <w:t>标准名称</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lang w:eastAsia="zh-CN"/>
                    </w:rPr>
                    <w:t>污染因子</w:t>
                  </w:r>
                </w:p>
              </w:tc>
              <w:tc>
                <w:tcPr>
                  <w:tcW w:w="4522"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rPr>
                    <w:t>标准限值浓度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66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《大污染物综合排放标准（GB16297-1996）表2标准</w:t>
                  </w:r>
                </w:p>
              </w:tc>
              <w:tc>
                <w:tcPr>
                  <w:tcW w:w="107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bCs/>
                      <w:color w:val="auto"/>
                      <w:sz w:val="21"/>
                      <w:szCs w:val="21"/>
                    </w:rPr>
                    <w:t>颗粒物</w:t>
                  </w:r>
                </w:p>
              </w:tc>
              <w:tc>
                <w:tcPr>
                  <w:tcW w:w="196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b w:val="0"/>
                      <w:bCs w:val="0"/>
                      <w:color w:val="auto"/>
                      <w:sz w:val="21"/>
                      <w:szCs w:val="21"/>
                      <w:u w:val="none"/>
                    </w:rPr>
                    <w:t>有组织排放（排气筒高度15m）</w:t>
                  </w:r>
                </w:p>
              </w:tc>
              <w:tc>
                <w:tcPr>
                  <w:tcW w:w="255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vertAlign w:val="baseline"/>
                    </w:rPr>
                  </w:pPr>
                  <w:r>
                    <w:rPr>
                      <w:rFonts w:hint="eastAsia" w:ascii="Times New Roman" w:hAnsi="Times New Roman" w:cs="Times New Roman"/>
                      <w:snapToGrid w:val="0"/>
                      <w:color w:val="auto"/>
                      <w:sz w:val="21"/>
                      <w:szCs w:val="21"/>
                      <w:lang w:eastAsia="zh-CN"/>
                    </w:rPr>
                    <w:t>最高允许浓度：</w:t>
                  </w:r>
                  <w:r>
                    <w:rPr>
                      <w:rFonts w:hint="eastAsia" w:ascii="Times New Roman" w:hAnsi="Times New Roman" w:cs="Times New Roman"/>
                      <w:snapToGrid w:val="0"/>
                      <w:color w:val="auto"/>
                      <w:sz w:val="21"/>
                      <w:szCs w:val="21"/>
                      <w:lang w:val="en-US" w:eastAsia="zh-CN"/>
                    </w:rPr>
                    <w:t>120</w:t>
                  </w:r>
                  <w:r>
                    <w:rPr>
                      <w:color w:val="auto"/>
                      <w:sz w:val="21"/>
                      <w:szCs w:val="21"/>
                    </w:rPr>
                    <w:t>mg/m</w:t>
                  </w:r>
                  <w:r>
                    <w:rPr>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6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u w:val="single"/>
                    </w:rPr>
                  </w:pPr>
                </w:p>
              </w:tc>
              <w:tc>
                <w:tcPr>
                  <w:tcW w:w="10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rPr>
                  </w:pPr>
                </w:p>
              </w:tc>
              <w:tc>
                <w:tcPr>
                  <w:tcW w:w="196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u w:val="single"/>
                    </w:rPr>
                  </w:pPr>
                </w:p>
              </w:tc>
              <w:tc>
                <w:tcPr>
                  <w:tcW w:w="255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snapToGrid w:val="0"/>
                      <w:color w:val="auto"/>
                      <w:sz w:val="21"/>
                      <w:szCs w:val="21"/>
                      <w:lang w:eastAsia="zh-CN"/>
                    </w:rPr>
                  </w:pPr>
                  <w:r>
                    <w:rPr>
                      <w:rFonts w:hint="default" w:ascii="Times New Roman" w:hAnsi="Times New Roman" w:cs="Times New Roman"/>
                      <w:snapToGrid w:val="0"/>
                      <w:color w:val="auto"/>
                      <w:sz w:val="21"/>
                      <w:szCs w:val="21"/>
                    </w:rPr>
                    <w:t>最高允许排放速</w:t>
                  </w:r>
                  <w:r>
                    <w:rPr>
                      <w:rFonts w:hint="eastAsia" w:ascii="Times New Roman" w:hAnsi="Times New Roman" w:cs="Times New Roman"/>
                      <w:snapToGrid w:val="0"/>
                      <w:color w:val="auto"/>
                      <w:sz w:val="21"/>
                      <w:szCs w:val="21"/>
                      <w:lang w:val="en-US" w:eastAsia="zh-CN"/>
                    </w:rPr>
                    <w:t>3.5</w:t>
                  </w:r>
                  <w:r>
                    <w:rPr>
                      <w:rFonts w:hint="default" w:ascii="Times New Roman" w:hAnsi="Times New Roman" w:cs="Times New Roman"/>
                      <w:snapToGrid w:val="0"/>
                      <w:color w:val="auto"/>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6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07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vertAlign w:val="baseline"/>
                      <w:lang w:eastAsia="zh-CN"/>
                    </w:rPr>
                  </w:pPr>
                </w:p>
              </w:tc>
              <w:tc>
                <w:tcPr>
                  <w:tcW w:w="4522"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vertAlign w:val="baseline"/>
                    </w:rPr>
                  </w:pPr>
                  <w:r>
                    <w:rPr>
                      <w:rFonts w:hint="default" w:ascii="Times New Roman" w:hAnsi="Times New Roman" w:cs="Times New Roman"/>
                      <w:b w:val="0"/>
                      <w:bCs w:val="0"/>
                      <w:color w:val="auto"/>
                      <w:sz w:val="21"/>
                      <w:szCs w:val="21"/>
                      <w:u w:val="none"/>
                    </w:rPr>
                    <w:t>厂界无组织排放监控浓度限值</w:t>
                  </w:r>
                  <w:r>
                    <w:rPr>
                      <w:rFonts w:hint="default" w:ascii="Times New Roman" w:hAnsi="Times New Roman" w:cs="Times New Roman"/>
                      <w:b w:val="0"/>
                      <w:bCs w:val="0"/>
                      <w:color w:val="auto"/>
                      <w:sz w:val="21"/>
                      <w:szCs w:val="21"/>
                      <w:u w:val="none"/>
                      <w:lang w:val="en-US" w:eastAsia="zh-CN"/>
                    </w:rPr>
                    <w:t>1</w:t>
                  </w:r>
                  <w:r>
                    <w:rPr>
                      <w:rFonts w:hint="default" w:ascii="Times New Roman" w:hAnsi="Times New Roman" w:cs="Times New Roman"/>
                      <w:b w:val="0"/>
                      <w:bCs w:val="0"/>
                      <w:color w:val="auto"/>
                      <w:sz w:val="21"/>
                      <w:szCs w:val="21"/>
                      <w:u w:val="none"/>
                    </w:rPr>
                    <w:t>.0mg/m</w:t>
                  </w:r>
                  <w:r>
                    <w:rPr>
                      <w:rFonts w:hint="default" w:ascii="Times New Roman" w:hAnsi="Times New Roman" w:cs="Times New Roman"/>
                      <w:b w:val="0"/>
                      <w:bCs w:val="0"/>
                      <w:color w:val="auto"/>
                      <w:sz w:val="21"/>
                      <w:szCs w:val="21"/>
                      <w:u w:val="none"/>
                      <w:vertAlign w:val="superscript"/>
                    </w:rPr>
                    <w:t>3</w:t>
                  </w:r>
                </w:p>
              </w:tc>
            </w:tr>
          </w:tbl>
          <w:p>
            <w:pPr>
              <w:spacing w:line="360" w:lineRule="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、固体废物</w:t>
            </w:r>
          </w:p>
          <w:p>
            <w:pPr>
              <w:spacing w:line="360" w:lineRule="auto"/>
              <w:ind w:firstLine="472" w:firstLineChars="200"/>
              <w:rPr>
                <w:rFonts w:hint="default" w:ascii="Times New Roman" w:hAnsi="Times New Roman" w:cs="Times New Roman"/>
                <w:color w:val="auto"/>
              </w:rPr>
            </w:pPr>
            <w:r>
              <w:rPr>
                <w:rFonts w:hint="default" w:ascii="Times New Roman" w:hAnsi="Times New Roman" w:cs="Times New Roman"/>
                <w:color w:val="auto"/>
                <w:spacing w:val="-2"/>
                <w:sz w:val="24"/>
              </w:rPr>
              <w:t>固废执行《一般工业固体废物贮存、处置场污染控制标准》（GB18599-2001）</w:t>
            </w:r>
            <w:r>
              <w:rPr>
                <w:rFonts w:hint="default" w:ascii="Times New Roman" w:hAnsi="Times New Roman" w:cs="Times New Roman"/>
                <w:color w:val="auto"/>
                <w:sz w:val="24"/>
              </w:rPr>
              <w:t>及2013年修改单</w:t>
            </w:r>
            <w:r>
              <w:rPr>
                <w:rFonts w:hint="eastAsia" w:ascii="Times New Roman" w:hAnsi="Times New Roman" w:cs="Times New Roman"/>
                <w:color w:val="auto"/>
                <w:sz w:val="24"/>
                <w:lang w:eastAsia="zh-CN"/>
              </w:rPr>
              <w:t>，</w:t>
            </w:r>
            <w:r>
              <w:rPr>
                <w:rFonts w:hint="default" w:ascii="Times New Roman" w:hAnsi="Times New Roman" w:cs="Times New Roman"/>
                <w:color w:val="auto"/>
                <w:sz w:val="24"/>
                <w:highlight w:val="none"/>
              </w:rPr>
              <w:t>《危险废物贮存污染控制标准》（GB18597-2001</w:t>
            </w:r>
            <w:r>
              <w:rPr>
                <w:rFonts w:hint="default" w:ascii="Times New Roman" w:hAnsi="Times New Roman" w:cs="Times New Roman"/>
                <w:color w:val="auto"/>
                <w:sz w:val="24"/>
                <w:highlight w:val="none"/>
                <w:lang w:eastAsia="zh-CN"/>
              </w:rPr>
              <w:t>）及</w:t>
            </w:r>
            <w:r>
              <w:rPr>
                <w:rFonts w:hint="default" w:ascii="Times New Roman" w:hAnsi="Times New Roman" w:cs="Times New Roman"/>
                <w:color w:val="auto"/>
                <w:sz w:val="24"/>
                <w:highlight w:val="none"/>
                <w:lang w:val="en-US" w:eastAsia="zh-CN"/>
              </w:rPr>
              <w:t>2013年修改单</w:t>
            </w:r>
            <w:r>
              <w:rPr>
                <w:rFonts w:hint="default" w:ascii="Times New Roman" w:hAnsi="Times New Roman" w:cs="Times New Roman"/>
                <w:color w:val="auto"/>
                <w:sz w:val="24"/>
                <w:lang w:eastAsia="zh-CN"/>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498"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360" w:lineRule="auto"/>
              <w:jc w:val="center"/>
              <w:rPr>
                <w:rFonts w:hint="default" w:ascii="Times New Roman" w:hAnsi="Times New Roman" w:cs="Times New Roman"/>
                <w:b/>
                <w:color w:val="auto"/>
                <w:sz w:val="28"/>
              </w:rPr>
            </w:pPr>
            <w:r>
              <w:rPr>
                <w:rFonts w:hint="default" w:ascii="Times New Roman" w:hAnsi="Times New Roman" w:cs="Times New Roman"/>
                <w:b/>
                <w:color w:val="auto"/>
                <w:sz w:val="28"/>
              </w:rPr>
              <w:t>总</w:t>
            </w:r>
          </w:p>
          <w:p>
            <w:pPr>
              <w:adjustRightInd w:val="0"/>
              <w:snapToGrid w:val="0"/>
              <w:spacing w:line="360" w:lineRule="auto"/>
              <w:jc w:val="center"/>
              <w:rPr>
                <w:rFonts w:hint="default" w:ascii="Times New Roman" w:hAnsi="Times New Roman" w:cs="Times New Roman"/>
                <w:b/>
                <w:color w:val="auto"/>
                <w:sz w:val="28"/>
              </w:rPr>
            </w:pPr>
            <w:r>
              <w:rPr>
                <w:rFonts w:hint="default" w:ascii="Times New Roman" w:hAnsi="Times New Roman" w:cs="Times New Roman"/>
                <w:b/>
                <w:color w:val="auto"/>
                <w:sz w:val="28"/>
              </w:rPr>
              <w:t>量</w:t>
            </w:r>
          </w:p>
          <w:p>
            <w:pPr>
              <w:adjustRightInd w:val="0"/>
              <w:snapToGrid w:val="0"/>
              <w:spacing w:line="360" w:lineRule="auto"/>
              <w:jc w:val="center"/>
              <w:rPr>
                <w:rFonts w:hint="default" w:ascii="Times New Roman" w:hAnsi="Times New Roman" w:cs="Times New Roman"/>
                <w:b/>
                <w:color w:val="auto"/>
                <w:sz w:val="28"/>
              </w:rPr>
            </w:pPr>
            <w:r>
              <w:rPr>
                <w:rFonts w:hint="default" w:ascii="Times New Roman" w:hAnsi="Times New Roman" w:cs="Times New Roman"/>
                <w:b/>
                <w:color w:val="auto"/>
                <w:sz w:val="28"/>
              </w:rPr>
              <w:t>控</w:t>
            </w:r>
          </w:p>
          <w:p>
            <w:pPr>
              <w:adjustRightInd w:val="0"/>
              <w:snapToGrid w:val="0"/>
              <w:spacing w:line="360" w:lineRule="auto"/>
              <w:jc w:val="center"/>
              <w:rPr>
                <w:rFonts w:hint="default" w:ascii="Times New Roman" w:hAnsi="Times New Roman" w:cs="Times New Roman"/>
                <w:b/>
                <w:color w:val="auto"/>
                <w:sz w:val="28"/>
              </w:rPr>
            </w:pPr>
            <w:r>
              <w:rPr>
                <w:rFonts w:hint="default" w:ascii="Times New Roman" w:hAnsi="Times New Roman" w:cs="Times New Roman"/>
                <w:b/>
                <w:color w:val="auto"/>
                <w:sz w:val="28"/>
              </w:rPr>
              <w:t>制</w:t>
            </w:r>
          </w:p>
          <w:p>
            <w:pPr>
              <w:adjustRightInd w:val="0"/>
              <w:snapToGrid w:val="0"/>
              <w:spacing w:line="360" w:lineRule="auto"/>
              <w:jc w:val="center"/>
              <w:rPr>
                <w:rFonts w:hint="default" w:ascii="Times New Roman" w:hAnsi="Times New Roman" w:cs="Times New Roman"/>
                <w:b/>
                <w:color w:val="auto"/>
                <w:sz w:val="28"/>
              </w:rPr>
            </w:pPr>
            <w:r>
              <w:rPr>
                <w:rFonts w:hint="default" w:ascii="Times New Roman" w:hAnsi="Times New Roman" w:cs="Times New Roman"/>
                <w:b/>
                <w:color w:val="auto"/>
                <w:sz w:val="28"/>
              </w:rPr>
              <w:t>指</w:t>
            </w:r>
          </w:p>
          <w:p>
            <w:pPr>
              <w:adjustRightInd w:val="0"/>
              <w:snapToGrid w:val="0"/>
              <w:spacing w:line="360" w:lineRule="auto"/>
              <w:jc w:val="center"/>
              <w:rPr>
                <w:rFonts w:hint="default" w:ascii="Times New Roman" w:hAnsi="Times New Roman" w:cs="Times New Roman"/>
                <w:color w:val="auto"/>
                <w:sz w:val="28"/>
              </w:rPr>
            </w:pPr>
            <w:r>
              <w:rPr>
                <w:rFonts w:hint="default" w:ascii="Times New Roman" w:hAnsi="Times New Roman" w:cs="Times New Roman"/>
                <w:b/>
                <w:color w:val="auto"/>
                <w:sz w:val="28"/>
              </w:rPr>
              <w:t>标</w:t>
            </w:r>
          </w:p>
        </w:tc>
        <w:tc>
          <w:tcPr>
            <w:tcW w:w="8541" w:type="dxa"/>
            <w:tcBorders>
              <w:top w:val="single" w:color="auto" w:sz="6" w:space="0"/>
              <w:left w:val="single" w:color="auto" w:sz="6" w:space="0"/>
              <w:bottom w:val="single" w:color="auto" w:sz="12"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rPr>
              <w:t>项目生产过程中，废气无SO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x</w:t>
            </w:r>
            <w:r>
              <w:rPr>
                <w:rFonts w:hint="default" w:ascii="Times New Roman" w:hAnsi="Times New Roman" w:cs="Times New Roman"/>
                <w:color w:val="auto"/>
                <w:sz w:val="24"/>
              </w:rPr>
              <w:t>产生；项目</w:t>
            </w:r>
            <w:r>
              <w:rPr>
                <w:rFonts w:hint="default" w:ascii="Times New Roman" w:hAnsi="Times New Roman" w:cs="Times New Roman"/>
                <w:color w:val="auto"/>
                <w:sz w:val="24"/>
                <w:lang w:eastAsia="zh-CN"/>
              </w:rPr>
              <w:t>无生产废水产生，生活污水经厂内化粪池处理后定期清运，不外排。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故本项目无总量控制指标。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lang w:eastAsia="zh-CN"/>
              </w:rPr>
            </w:pPr>
          </w:p>
        </w:tc>
      </w:tr>
    </w:tbl>
    <w:p>
      <w:pPr>
        <w:adjustRightInd w:val="0"/>
        <w:snapToGrid w:val="0"/>
        <w:spacing w:line="520" w:lineRule="exact"/>
        <w:rPr>
          <w:rFonts w:hint="eastAsia" w:ascii="宋体" w:hAnsi="宋体" w:eastAsia="宋体" w:cs="宋体"/>
          <w:b/>
          <w:color w:val="auto"/>
          <w:sz w:val="30"/>
        </w:rPr>
      </w:pPr>
      <w:r>
        <w:rPr>
          <w:rFonts w:hint="eastAsia" w:ascii="宋体" w:hAnsi="宋体" w:eastAsia="宋体" w:cs="宋体"/>
          <w:b/>
          <w:color w:val="auto"/>
          <w:sz w:val="30"/>
        </w:rPr>
        <w:t>建设项目工程分析</w:t>
      </w:r>
    </w:p>
    <w:tbl>
      <w:tblPr>
        <w:tblStyle w:val="15"/>
        <w:tblW w:w="88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726" w:hRule="atLeast"/>
          <w:jc w:val="center"/>
        </w:trPr>
        <w:tc>
          <w:tcPr>
            <w:tcW w:w="8874" w:type="dxa"/>
            <w:noWrap w:val="0"/>
            <w:vAlign w:val="top"/>
          </w:tcPr>
          <w:p>
            <w:pPr>
              <w:adjustRightInd w:val="0"/>
              <w:snapToGrid w:val="0"/>
              <w:spacing w:line="240" w:lineRule="auto"/>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工艺流程简述(图示)：</w:t>
            </w:r>
          </w:p>
          <w:p>
            <w:pPr>
              <w:spacing w:line="520" w:lineRule="exact"/>
              <w:ind w:firstLine="482" w:firstLineChars="200"/>
              <w:textAlignment w:val="baseline"/>
              <w:rPr>
                <w:rFonts w:hint="default" w:ascii="Times New Roman" w:hAnsi="Times New Roman" w:eastAsia="黑体" w:cs="Times New Roman"/>
                <w:color w:val="auto"/>
                <w:sz w:val="24"/>
              </w:rPr>
            </w:pPr>
            <w:r>
              <w:rPr>
                <w:rFonts w:hint="default" w:ascii="Times New Roman" w:hAnsi="Times New Roman" w:cs="Times New Roman"/>
                <w:b/>
                <w:color w:val="auto"/>
                <w:sz w:val="24"/>
              </w:rPr>
              <w:t>1、项目工艺流程图：</w:t>
            </w:r>
          </w:p>
          <w:p>
            <w:pPr>
              <w:spacing w:line="52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项目主要生产工艺流程及产污环节见图</w:t>
            </w:r>
            <w:r>
              <w:rPr>
                <w:rFonts w:hint="eastAsia" w:ascii="Times New Roman" w:hAnsi="Times New Roman" w:cs="Times New Roman"/>
                <w:color w:val="auto"/>
                <w:sz w:val="24"/>
                <w:lang w:val="en-US" w:eastAsia="zh-CN"/>
              </w:rPr>
              <w:t>2</w:t>
            </w:r>
            <w:r>
              <w:rPr>
                <w:rFonts w:hint="eastAsia" w:cs="Times New Roman"/>
                <w:color w:val="auto"/>
                <w:sz w:val="24"/>
                <w:lang w:val="en-US" w:eastAsia="zh-CN"/>
              </w:rPr>
              <w:t>。</w:t>
            </w:r>
          </w:p>
          <w:p>
            <w:pPr>
              <w:spacing w:line="520" w:lineRule="exact"/>
              <w:ind w:firstLine="480" w:firstLineChars="200"/>
              <w:textAlignment w:val="baseline"/>
              <w:rPr>
                <w:rFonts w:hint="default" w:ascii="Times New Roman" w:hAnsi="Times New Roman" w:cs="Times New Roman"/>
                <w:color w:val="auto"/>
                <w:sz w:val="24"/>
              </w:rPr>
            </w:pPr>
            <w:r>
              <w:rPr>
                <w:rFonts w:hAnsi="宋体"/>
                <w:color w:val="auto"/>
                <w:sz w:val="24"/>
                <w:highlight w:val="none"/>
              </w:rPr>
              <mc:AlternateContent>
                <mc:Choice Requires="wps">
                  <w:drawing>
                    <wp:anchor distT="0" distB="0" distL="114300" distR="114300" simplePos="0" relativeHeight="821248" behindDoc="0" locked="0" layoutInCell="1" allowOverlap="1">
                      <wp:simplePos x="0" y="0"/>
                      <wp:positionH relativeFrom="column">
                        <wp:posOffset>3539490</wp:posOffset>
                      </wp:positionH>
                      <wp:positionV relativeFrom="paragraph">
                        <wp:posOffset>328295</wp:posOffset>
                      </wp:positionV>
                      <wp:extent cx="635" cy="288290"/>
                      <wp:effectExtent l="38100" t="0" r="37465" b="1270"/>
                      <wp:wrapNone/>
                      <wp:docPr id="38" name="1034"/>
                      <wp:cNvGraphicFramePr/>
                      <a:graphic xmlns:a="http://schemas.openxmlformats.org/drawingml/2006/main">
                        <a:graphicData uri="http://schemas.microsoft.com/office/word/2010/wordprocessingShape">
                          <wps:wsp>
                            <wps:cNvCnPr/>
                            <wps:spPr>
                              <a:xfrm flipH="1" flipV="1">
                                <a:off x="0" y="0"/>
                                <a:ext cx="635" cy="288290"/>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1034" o:spid="_x0000_s1026" o:spt="32" type="#_x0000_t32" style="position:absolute;left:0pt;flip:x y;margin-left:278.7pt;margin-top:25.85pt;height:22.7pt;width:0.05pt;z-index:821248;mso-width-relative:page;mso-height-relative:page;" filled="f" stroked="t" coordsize="21600,21600" o:gfxdata="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OWL8I2QAAAAkBAAAPAAAAAAAAAAEA&#10;IAAAACIAAABkcnMvZG93bnJldi54bWxQSwECFAAUAAAACACHTuJA9nOcHtUBAACkAwAADgAAAAAA&#10;AAABACAAAAAoAQAAZHJzL2Uyb0RvYy54bWxQSwUGAAAAAAYABgBZAQAAbwUAAAAA&#10;">
                      <v:fill on="f" focussize="0,0"/>
                      <v:stroke color="#000000" joinstyle="round" dashstyle="dash" endarrow="block"/>
                      <v:imagedata o:title=""/>
                      <o:lock v:ext="edit" aspectratio="f"/>
                    </v:shape>
                  </w:pict>
                </mc:Fallback>
              </mc:AlternateContent>
            </w:r>
            <w:r>
              <w:rPr>
                <w:rFonts w:hAnsi="宋体"/>
                <w:color w:val="auto"/>
                <w:sz w:val="24"/>
                <w:highlight w:val="none"/>
              </w:rPr>
              <mc:AlternateContent>
                <mc:Choice Requires="wps">
                  <w:drawing>
                    <wp:anchor distT="0" distB="0" distL="114300" distR="114300" simplePos="0" relativeHeight="83968" behindDoc="0" locked="0" layoutInCell="1" allowOverlap="1">
                      <wp:simplePos x="0" y="0"/>
                      <wp:positionH relativeFrom="column">
                        <wp:posOffset>2106930</wp:posOffset>
                      </wp:positionH>
                      <wp:positionV relativeFrom="paragraph">
                        <wp:posOffset>328295</wp:posOffset>
                      </wp:positionV>
                      <wp:extent cx="635" cy="288290"/>
                      <wp:effectExtent l="38100" t="0" r="37465" b="1270"/>
                      <wp:wrapNone/>
                      <wp:docPr id="21" name="1034"/>
                      <wp:cNvGraphicFramePr/>
                      <a:graphic xmlns:a="http://schemas.openxmlformats.org/drawingml/2006/main">
                        <a:graphicData uri="http://schemas.microsoft.com/office/word/2010/wordprocessingShape">
                          <wps:wsp>
                            <wps:cNvCnPr/>
                            <wps:spPr>
                              <a:xfrm flipH="1" flipV="1">
                                <a:off x="0" y="0"/>
                                <a:ext cx="635" cy="288290"/>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1034" o:spid="_x0000_s1026" o:spt="32" type="#_x0000_t32" style="position:absolute;left:0pt;flip:x y;margin-left:165.9pt;margin-top:25.85pt;height:22.7pt;width:0.05pt;z-index:83968;mso-width-relative:page;mso-height-relative:page;" filled="f" stroked="t" coordsize="21600,21600" o:gfxdata="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cpGnNkAAAAJAQAADwAAAAAAAAAB&#10;ACAAAAAiAAAAZHJzL2Rvd25yZXYueG1sUEsBAhQAFAAAAAgAh07iQGwa86PWAQAApAMAAA4AAAAA&#10;AAAAAQAgAAAAKAEAAGRycy9lMm9Eb2MueG1sUEsFBgAAAAAGAAYAWQEAAHAFAAAAAA==&#10;">
                      <v:fill on="f" focussize="0,0"/>
                      <v:stroke color="#000000" joinstyle="round" dashstyle="dash" endarrow="block"/>
                      <v:imagedata o:title=""/>
                      <o:lock v:ext="edit" aspectratio="f"/>
                    </v:shape>
                  </w:pict>
                </mc:Fallback>
              </mc:AlternateContent>
            </w:r>
            <w:r>
              <w:rPr>
                <w:rFonts w:hAnsi="宋体"/>
                <w:color w:val="auto"/>
                <w:sz w:val="24"/>
                <w:highlight w:val="none"/>
              </w:rPr>
              <mc:AlternateContent>
                <mc:Choice Requires="wps">
                  <w:drawing>
                    <wp:anchor distT="0" distB="0" distL="114300" distR="114300" simplePos="0" relativeHeight="821248" behindDoc="0" locked="0" layoutInCell="1" allowOverlap="1">
                      <wp:simplePos x="0" y="0"/>
                      <wp:positionH relativeFrom="column">
                        <wp:posOffset>3081020</wp:posOffset>
                      </wp:positionH>
                      <wp:positionV relativeFrom="paragraph">
                        <wp:posOffset>66675</wp:posOffset>
                      </wp:positionV>
                      <wp:extent cx="886460" cy="311150"/>
                      <wp:effectExtent l="0" t="0" r="0" b="0"/>
                      <wp:wrapNone/>
                      <wp:docPr id="37" name="1032"/>
                      <wp:cNvGraphicFramePr/>
                      <a:graphic xmlns:a="http://schemas.openxmlformats.org/drawingml/2006/main">
                        <a:graphicData uri="http://schemas.microsoft.com/office/word/2010/wordprocessingShape">
                          <wps:wsp>
                            <wps:cNvSpPr/>
                            <wps:spPr>
                              <a:xfrm>
                                <a:off x="0" y="0"/>
                                <a:ext cx="886460" cy="311150"/>
                              </a:xfrm>
                              <a:prstGeom prst="rect">
                                <a:avLst/>
                              </a:prstGeom>
                              <a:noFill/>
                              <a:ln w="9525">
                                <a:noFill/>
                              </a:ln>
                            </wps:spPr>
                            <wps:txbx>
                              <w:txbxContent>
                                <w:p>
                                  <w:pPr>
                                    <w:jc w:val="center"/>
                                    <w:rPr>
                                      <w:rFonts w:hint="eastAsia" w:eastAsia="宋体"/>
                                      <w:lang w:eastAsia="zh-CN"/>
                                    </w:rPr>
                                  </w:pPr>
                                  <w:r>
                                    <w:t>噪声</w:t>
                                  </w:r>
                                  <w:r>
                                    <w:rPr>
                                      <w:rFonts w:hint="eastAsia"/>
                                      <w:lang w:eastAsia="zh-CN"/>
                                    </w:rPr>
                                    <w:t>、固废</w:t>
                                  </w:r>
                                </w:p>
                              </w:txbxContent>
                            </wps:txbx>
                            <wps:bodyPr upright="1"/>
                          </wps:wsp>
                        </a:graphicData>
                      </a:graphic>
                    </wp:anchor>
                  </w:drawing>
                </mc:Choice>
                <mc:Fallback>
                  <w:pict>
                    <v:rect id="1032" o:spid="_x0000_s1026" o:spt="1" style="position:absolute;left:0pt;margin-left:242.6pt;margin-top:5.25pt;height:24.5pt;width:69.8pt;z-index:821248;mso-width-relative:page;mso-height-relative:page;" filled="f" stroked="f" coordsize="21600,21600" o:gfxdata="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">
                      <v:fill on="f" focussize="0,0"/>
                      <v:stroke on="f"/>
                      <v:imagedata o:title=""/>
                      <o:lock v:ext="edit" aspectratio="f"/>
                      <v:textbox>
                        <w:txbxContent>
                          <w:p>
                            <w:pPr>
                              <w:jc w:val="center"/>
                              <w:rPr>
                                <w:rFonts w:hint="eastAsia" w:eastAsia="宋体"/>
                                <w:lang w:eastAsia="zh-CN"/>
                              </w:rPr>
                            </w:pPr>
                            <w:r>
                              <w:t>噪声</w:t>
                            </w:r>
                            <w:r>
                              <w:rPr>
                                <w:rFonts w:hint="eastAsia"/>
                                <w:lang w:eastAsia="zh-CN"/>
                              </w:rPr>
                              <w:t>、固废</w:t>
                            </w:r>
                          </w:p>
                        </w:txbxContent>
                      </v:textbox>
                    </v:rect>
                  </w:pict>
                </mc:Fallback>
              </mc:AlternateContent>
            </w:r>
            <w:r>
              <w:rPr>
                <w:rFonts w:hAnsi="宋体"/>
                <w:color w:val="auto"/>
                <w:sz w:val="24"/>
                <w:highlight w:val="none"/>
              </w:rPr>
              <mc:AlternateContent>
                <mc:Choice Requires="wps">
                  <w:drawing>
                    <wp:anchor distT="0" distB="0" distL="114300" distR="114300" simplePos="0" relativeHeight="83968" behindDoc="0" locked="0" layoutInCell="1" allowOverlap="1">
                      <wp:simplePos x="0" y="0"/>
                      <wp:positionH relativeFrom="column">
                        <wp:posOffset>1663700</wp:posOffset>
                      </wp:positionH>
                      <wp:positionV relativeFrom="paragraph">
                        <wp:posOffset>66675</wp:posOffset>
                      </wp:positionV>
                      <wp:extent cx="886460" cy="311150"/>
                      <wp:effectExtent l="0" t="0" r="0" b="0"/>
                      <wp:wrapNone/>
                      <wp:docPr id="24" name="1032"/>
                      <wp:cNvGraphicFramePr/>
                      <a:graphic xmlns:a="http://schemas.openxmlformats.org/drawingml/2006/main">
                        <a:graphicData uri="http://schemas.microsoft.com/office/word/2010/wordprocessingShape">
                          <wps:wsp>
                            <wps:cNvSpPr/>
                            <wps:spPr>
                              <a:xfrm>
                                <a:off x="0" y="0"/>
                                <a:ext cx="886460" cy="311150"/>
                              </a:xfrm>
                              <a:prstGeom prst="rect">
                                <a:avLst/>
                              </a:prstGeom>
                              <a:noFill/>
                              <a:ln w="9525">
                                <a:noFill/>
                              </a:ln>
                            </wps:spPr>
                            <wps:txbx>
                              <w:txbxContent>
                                <w:p>
                                  <w:pPr>
                                    <w:jc w:val="center"/>
                                    <w:rPr>
                                      <w:rFonts w:hint="eastAsia" w:eastAsia="宋体"/>
                                      <w:lang w:eastAsia="zh-CN"/>
                                    </w:rPr>
                                  </w:pPr>
                                  <w:r>
                                    <w:t>噪声</w:t>
                                  </w:r>
                                  <w:r>
                                    <w:rPr>
                                      <w:rFonts w:hint="eastAsia"/>
                                      <w:lang w:eastAsia="zh-CN"/>
                                    </w:rPr>
                                    <w:t>、固废</w:t>
                                  </w:r>
                                </w:p>
                              </w:txbxContent>
                            </wps:txbx>
                            <wps:bodyPr upright="1"/>
                          </wps:wsp>
                        </a:graphicData>
                      </a:graphic>
                    </wp:anchor>
                  </w:drawing>
                </mc:Choice>
                <mc:Fallback>
                  <w:pict>
                    <v:rect id="1032" o:spid="_x0000_s1026" o:spt="1" style="position:absolute;left:0pt;margin-left:131pt;margin-top:5.25pt;height:24.5pt;width:69.8pt;z-index:83968;mso-width-relative:page;mso-height-relative:page;" filled="f" stroked="f" coordsize="21600,21600" o:gfxdata="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">
                      <v:fill on="f" focussize="0,0"/>
                      <v:stroke on="f"/>
                      <v:imagedata o:title=""/>
                      <o:lock v:ext="edit" aspectratio="f"/>
                      <v:textbox>
                        <w:txbxContent>
                          <w:p>
                            <w:pPr>
                              <w:jc w:val="center"/>
                              <w:rPr>
                                <w:rFonts w:hint="eastAsia" w:eastAsia="宋体"/>
                                <w:lang w:eastAsia="zh-CN"/>
                              </w:rPr>
                            </w:pPr>
                            <w:r>
                              <w:t>噪声</w:t>
                            </w:r>
                            <w:r>
                              <w:rPr>
                                <w:rFonts w:hint="eastAsia"/>
                                <w:lang w:eastAsia="zh-CN"/>
                              </w:rPr>
                              <w:t>、固废</w:t>
                            </w:r>
                          </w:p>
                        </w:txbxContent>
                      </v:textbox>
                    </v:rect>
                  </w:pict>
                </mc:Fallback>
              </mc:AlternateContent>
            </w:r>
          </w:p>
          <w:p>
            <w:pPr>
              <w:spacing w:line="520" w:lineRule="exact"/>
              <w:ind w:firstLine="480" w:firstLineChars="200"/>
              <w:textAlignment w:val="baseline"/>
              <w:rPr>
                <w:rFonts w:hint="default" w:ascii="Times New Roman" w:hAnsi="Times New Roman" w:cs="Times New Roman"/>
                <w:color w:val="auto"/>
                <w:sz w:val="24"/>
              </w:rPr>
            </w:pPr>
            <w:r>
              <w:rPr>
                <w:sz w:val="24"/>
              </w:rPr>
              <mc:AlternateContent>
                <mc:Choice Requires="wps">
                  <w:drawing>
                    <wp:anchor distT="0" distB="0" distL="114300" distR="114300" simplePos="0" relativeHeight="251844608" behindDoc="0" locked="0" layoutInCell="1" allowOverlap="1">
                      <wp:simplePos x="0" y="0"/>
                      <wp:positionH relativeFrom="column">
                        <wp:posOffset>474345</wp:posOffset>
                      </wp:positionH>
                      <wp:positionV relativeFrom="paragraph">
                        <wp:posOffset>317500</wp:posOffset>
                      </wp:positionV>
                      <wp:extent cx="601980" cy="358140"/>
                      <wp:effectExtent l="4445" t="4445" r="18415" b="18415"/>
                      <wp:wrapNone/>
                      <wp:docPr id="27" name="圆角矩形 27"/>
                      <wp:cNvGraphicFramePr/>
                      <a:graphic xmlns:a="http://schemas.openxmlformats.org/drawingml/2006/main">
                        <a:graphicData uri="http://schemas.microsoft.com/office/word/2010/wordprocessingShape">
                          <wps:wsp>
                            <wps:cNvSpPr/>
                            <wps:spPr>
                              <a:xfrm>
                                <a:off x="0" y="0"/>
                                <a:ext cx="601980" cy="35814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原料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7.35pt;margin-top:25pt;height:28.2pt;width:47.4pt;z-index:251844608;v-text-anchor:middle;mso-width-relative:page;mso-height-relative:page;" fillcolor="#FFFFFF [3201]" filled="t" stroked="t" coordsize="21600,21600" arcsize="0.166666666666667" o:gfxdata="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tgkltkAAAAJAQAADwAAAAAAAAABACAAAAAiAAAAZHJzL2Rvd25yZXYu&#10;eG1sUEsBAhQAFAAAAAgAh07iQLq0LlpsAgAAvAQAAA4AAAAAAAAAAQAgAAAAKAEAAGRycy9lMm9E&#10;b2MueG1sUEsFBgAAAAAGAAYAWQEAAAYGAAAAAA==&#10;">
                      <v:fill on="t" focussize="0,0"/>
                      <v:stroke color="#000000 [3213]" miterlimit="8" joinstyle="miter"/>
                      <v:imagedata o:title=""/>
                      <o:lock v:ext="edit" aspectratio="f"/>
                      <v:textbox>
                        <w:txbxContent>
                          <w:p>
                            <w:pPr>
                              <w:jc w:val="center"/>
                              <w:rPr>
                                <w:rFonts w:hint="eastAsia" w:eastAsia="宋体"/>
                                <w:lang w:eastAsia="zh-CN"/>
                              </w:rPr>
                            </w:pPr>
                            <w:r>
                              <w:rPr>
                                <w:rFonts w:hint="eastAsia"/>
                                <w:lang w:eastAsia="zh-CN"/>
                              </w:rPr>
                              <w:t>原料</w:t>
                            </w:r>
                          </w:p>
                        </w:txbxContent>
                      </v:textbox>
                    </v:roundrect>
                  </w:pict>
                </mc:Fallback>
              </mc:AlternateContent>
            </w:r>
            <w:r>
              <w:rPr>
                <w:sz w:val="24"/>
              </w:rPr>
              <mc:AlternateContent>
                <mc:Choice Requires="wps">
                  <w:drawing>
                    <wp:anchor distT="0" distB="0" distL="114300" distR="114300" simplePos="0" relativeHeight="252397568" behindDoc="0" locked="0" layoutInCell="1" allowOverlap="1">
                      <wp:simplePos x="0" y="0"/>
                      <wp:positionH relativeFrom="column">
                        <wp:posOffset>4467225</wp:posOffset>
                      </wp:positionH>
                      <wp:positionV relativeFrom="paragraph">
                        <wp:posOffset>302260</wp:posOffset>
                      </wp:positionV>
                      <wp:extent cx="601980" cy="358140"/>
                      <wp:effectExtent l="4445" t="4445" r="18415" b="18415"/>
                      <wp:wrapNone/>
                      <wp:docPr id="36" name="圆角矩形 36"/>
                      <wp:cNvGraphicFramePr/>
                      <a:graphic xmlns:a="http://schemas.openxmlformats.org/drawingml/2006/main">
                        <a:graphicData uri="http://schemas.microsoft.com/office/word/2010/wordprocessingShape">
                          <wps:wsp>
                            <wps:cNvSpPr/>
                            <wps:spPr>
                              <a:xfrm>
                                <a:off x="0" y="0"/>
                                <a:ext cx="601980" cy="35814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51.75pt;margin-top:23.8pt;height:28.2pt;width:47.4pt;z-index:252397568;v-text-anchor:middle;mso-width-relative:page;mso-height-relative:page;" fillcolor="#FFFFFF [3201]" filled="t" stroked="t" coordsize="21600,21600" arcsize="0.166666666666667" o:gfxdata="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TlYZbaAAAACgEAAA8AAAAAAAAAAQAgAAAAIgAAAGRycy9kb3ducmV2&#10;LnhtbFBLAQIUABQAAAAIAIdO4kBcYsMXbAIAALwEAAAOAAAAAAAAAAEAIAAAACkBAABkcnMvZTJv&#10;RG9jLnhtbFBLBQYAAAAABgAGAFkBAAAHBgAAAAA=&#10;">
                      <v:fill on="t" focussize="0,0"/>
                      <v:stroke color="#000000 [3213]" miterlimit="8" joinstyle="miter"/>
                      <v:imagedata o:title=""/>
                      <o:lock v:ext="edit" aspectratio="f"/>
                      <v:textbox>
                        <w:txbxContent>
                          <w:p>
                            <w:pPr>
                              <w:jc w:val="center"/>
                              <w:rPr>
                                <w:rFonts w:hint="eastAsia" w:eastAsia="宋体"/>
                                <w:lang w:eastAsia="zh-CN"/>
                              </w:rPr>
                            </w:pPr>
                            <w:r>
                              <w:rPr>
                                <w:rFonts w:hint="eastAsia"/>
                                <w:lang w:eastAsia="zh-CN"/>
                              </w:rPr>
                              <w:t>成品</w:t>
                            </w:r>
                          </w:p>
                        </w:txbxContent>
                      </v:textbox>
                    </v:roundrect>
                  </w:pict>
                </mc:Fallback>
              </mc:AlternateContent>
            </w:r>
            <w:r>
              <w:rPr>
                <w:sz w:val="24"/>
              </w:rPr>
              <mc:AlternateContent>
                <mc:Choice Requires="wps">
                  <w:drawing>
                    <wp:anchor distT="0" distB="0" distL="114300" distR="114300" simplePos="0" relativeHeight="252213248" behindDoc="0" locked="0" layoutInCell="1" allowOverlap="1">
                      <wp:simplePos x="0" y="0"/>
                      <wp:positionH relativeFrom="column">
                        <wp:posOffset>3240405</wp:posOffset>
                      </wp:positionH>
                      <wp:positionV relativeFrom="paragraph">
                        <wp:posOffset>309880</wp:posOffset>
                      </wp:positionV>
                      <wp:extent cx="601980" cy="358140"/>
                      <wp:effectExtent l="4445" t="4445" r="18415" b="18415"/>
                      <wp:wrapNone/>
                      <wp:docPr id="35" name="圆角矩形 35"/>
                      <wp:cNvGraphicFramePr/>
                      <a:graphic xmlns:a="http://schemas.openxmlformats.org/drawingml/2006/main">
                        <a:graphicData uri="http://schemas.microsoft.com/office/word/2010/wordprocessingShape">
                          <wps:wsp>
                            <wps:cNvSpPr/>
                            <wps:spPr>
                              <a:xfrm>
                                <a:off x="0" y="0"/>
                                <a:ext cx="601980" cy="35814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钻孔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55.15pt;margin-top:24.4pt;height:28.2pt;width:47.4pt;z-index:252213248;v-text-anchor:middle;mso-width-relative:page;mso-height-relative:page;" fillcolor="#FFFFFF [3201]" filled="t" stroked="t" coordsize="21600,21600" arcsize="0.166666666666667" o:gfxdata="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B4WMNkAAAAKAQAADwAAAAAAAAABACAAAAAiAAAAZHJzL2Rvd25yZXYu&#10;eG1sUEsBAhQAFAAAAAgAh07iQK6Kw5JsAgAAvAQAAA4AAAAAAAAAAQAgAAAAKAEAAGRycy9lMm9E&#10;b2MueG1sUEsFBgAAAAAGAAYAWQEAAAYGAAAAAA==&#10;">
                      <v:fill on="t" focussize="0,0"/>
                      <v:stroke color="#000000 [3213]" miterlimit="8" joinstyle="miter"/>
                      <v:imagedata o:title=""/>
                      <o:lock v:ext="edit" aspectratio="f"/>
                      <v:textbox>
                        <w:txbxContent>
                          <w:p>
                            <w:pPr>
                              <w:jc w:val="center"/>
                              <w:rPr>
                                <w:rFonts w:hint="eastAsia" w:eastAsia="宋体"/>
                                <w:lang w:eastAsia="zh-CN"/>
                              </w:rPr>
                            </w:pPr>
                            <w:r>
                              <w:rPr>
                                <w:rFonts w:hint="eastAsia"/>
                                <w:lang w:eastAsia="zh-CN"/>
                              </w:rPr>
                              <w:t>钻孔</w:t>
                            </w:r>
                          </w:p>
                        </w:txbxContent>
                      </v:textbox>
                    </v:roundrect>
                  </w:pict>
                </mc:Fallback>
              </mc:AlternateContent>
            </w:r>
            <w:r>
              <w:rPr>
                <w:sz w:val="24"/>
              </w:rPr>
              <mc:AlternateContent>
                <mc:Choice Requires="wps">
                  <w:drawing>
                    <wp:anchor distT="0" distB="0" distL="114300" distR="114300" simplePos="0" relativeHeight="252028928" behindDoc="0" locked="0" layoutInCell="1" allowOverlap="1">
                      <wp:simplePos x="0" y="0"/>
                      <wp:positionH relativeFrom="column">
                        <wp:posOffset>1678305</wp:posOffset>
                      </wp:positionH>
                      <wp:positionV relativeFrom="paragraph">
                        <wp:posOffset>317500</wp:posOffset>
                      </wp:positionV>
                      <wp:extent cx="815340" cy="358140"/>
                      <wp:effectExtent l="4445" t="4445" r="18415" b="18415"/>
                      <wp:wrapNone/>
                      <wp:docPr id="34" name="圆角矩形 34"/>
                      <wp:cNvGraphicFramePr/>
                      <a:graphic xmlns:a="http://schemas.openxmlformats.org/drawingml/2006/main">
                        <a:graphicData uri="http://schemas.microsoft.com/office/word/2010/wordprocessingShape">
                          <wps:wsp>
                            <wps:cNvSpPr/>
                            <wps:spPr>
                              <a:xfrm>
                                <a:off x="0" y="0"/>
                                <a:ext cx="815340" cy="358140"/>
                              </a:xfrm>
                              <a:prstGeom prst="round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车床加工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2.15pt;margin-top:25pt;height:28.2pt;width:64.2pt;z-index:252028928;v-text-anchor:middle;mso-width-relative:page;mso-height-relative:page;" fillcolor="#FFFFFF [3201]" filled="t" stroked="t" coordsize="21600,21600" arcsize="0.166666666666667" o:gfxdata="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UbcWw2QAAAAoBAAAPAAAAAAAAAAEAIAAAACIAAABkcnMvZG93bnJldi54bWxQ&#10;SwECFAAUAAAACACHTuJAM7K25mgCAAC8BAAADgAAAAAAAAABACAAAAAoAQAAZHJzL2Uyb0RvYy54&#10;bWxQSwUGAAAAAAYABgBZAQAAAgYAAAAA&#10;">
                      <v:fill on="t" focussize="0,0"/>
                      <v:stroke color="#000000 [3213]" miterlimit="8" joinstyle="miter"/>
                      <v:imagedata o:title=""/>
                      <o:lock v:ext="edit" aspectratio="f"/>
                      <v:textbox>
                        <w:txbxContent>
                          <w:p>
                            <w:pPr>
                              <w:jc w:val="center"/>
                              <w:rPr>
                                <w:rFonts w:hint="eastAsia" w:eastAsia="宋体"/>
                                <w:lang w:eastAsia="zh-CN"/>
                              </w:rPr>
                            </w:pPr>
                            <w:r>
                              <w:rPr>
                                <w:rFonts w:hint="eastAsia"/>
                                <w:lang w:eastAsia="zh-CN"/>
                              </w:rPr>
                              <w:t>车床加工</w:t>
                            </w:r>
                          </w:p>
                        </w:txbxContent>
                      </v:textbox>
                    </v:roundrect>
                  </w:pict>
                </mc:Fallback>
              </mc:AlternateContent>
            </w:r>
          </w:p>
          <w:p>
            <w:pPr>
              <w:spacing w:line="520" w:lineRule="exact"/>
              <w:ind w:firstLine="480" w:firstLineChars="200"/>
              <w:textAlignment w:val="baseline"/>
              <w:rPr>
                <w:rFonts w:hint="default" w:ascii="Times New Roman" w:hAnsi="Times New Roman" w:cs="Times New Roman"/>
                <w:color w:val="auto"/>
                <w:sz w:val="24"/>
              </w:rPr>
            </w:pPr>
            <w:r>
              <w:rPr>
                <w:rFonts w:hAnsi="宋体"/>
                <w:color w:val="auto"/>
                <w:sz w:val="24"/>
                <w:highlight w:val="none"/>
              </w:rPr>
              <mc:AlternateContent>
                <mc:Choice Requires="wps">
                  <w:drawing>
                    <wp:anchor distT="0" distB="0" distL="114300" distR="114300" simplePos="0" relativeHeight="172032" behindDoc="0" locked="0" layoutInCell="1" allowOverlap="1">
                      <wp:simplePos x="0" y="0"/>
                      <wp:positionH relativeFrom="column">
                        <wp:posOffset>3980180</wp:posOffset>
                      </wp:positionH>
                      <wp:positionV relativeFrom="paragraph">
                        <wp:posOffset>154940</wp:posOffset>
                      </wp:positionV>
                      <wp:extent cx="360045" cy="0"/>
                      <wp:effectExtent l="0" t="38100" r="5715" b="38100"/>
                      <wp:wrapNone/>
                      <wp:docPr id="29" name="1040"/>
                      <wp:cNvGraphicFramePr/>
                      <a:graphic xmlns:a="http://schemas.openxmlformats.org/drawingml/2006/main">
                        <a:graphicData uri="http://schemas.microsoft.com/office/word/2010/wordprocessingShape">
                          <wps:wsp>
                            <wps:cNvCnPr/>
                            <wps:spPr>
                              <a:xfrm>
                                <a:off x="0" y="0"/>
                                <a:ext cx="36004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1040" o:spid="_x0000_s1026" o:spt="32" type="#_x0000_t32" style="position:absolute;left:0pt;margin-left:313.4pt;margin-top:12.2pt;height:0pt;width:28.35pt;z-index:172032;mso-width-relative:page;mso-height-relative:page;" filled="f" stroked="t" coordsize="21600,21600" o:gfxdata="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g5w6p9kAAAAJAQAADwAAAAAAAAABACAAAAAiAAAAZHJzL2Rvd25y&#10;ZXYueG1sUEsBAhQAFAAAAAgAh07iQCSFm+bEAQAAjwMAAA4AAAAAAAAAAQAgAAAAKAEAAGRycy9l&#10;Mm9Eb2MueG1sUEsFBgAAAAAGAAYAWQEAAF4FAAAAAA==&#10;">
                      <v:fill on="f" focussize="0,0"/>
                      <v:stroke color="#000000" joinstyle="round" endarrow="block"/>
                      <v:imagedata o:title=""/>
                      <o:lock v:ext="edit" aspectratio="f"/>
                    </v:shape>
                  </w:pict>
                </mc:Fallback>
              </mc:AlternateContent>
            </w:r>
            <w:r>
              <w:rPr>
                <w:rFonts w:hAnsi="宋体"/>
                <w:color w:val="auto"/>
                <w:sz w:val="24"/>
                <w:highlight w:val="none"/>
              </w:rPr>
              <mc:AlternateContent>
                <mc:Choice Requires="wps">
                  <w:drawing>
                    <wp:anchor distT="0" distB="0" distL="114300" distR="114300" simplePos="0" relativeHeight="83968" behindDoc="0" locked="0" layoutInCell="1" allowOverlap="1">
                      <wp:simplePos x="0" y="0"/>
                      <wp:positionH relativeFrom="column">
                        <wp:posOffset>2722880</wp:posOffset>
                      </wp:positionH>
                      <wp:positionV relativeFrom="paragraph">
                        <wp:posOffset>162560</wp:posOffset>
                      </wp:positionV>
                      <wp:extent cx="360045" cy="0"/>
                      <wp:effectExtent l="0" t="38100" r="5715" b="38100"/>
                      <wp:wrapNone/>
                      <wp:docPr id="18" name="1040"/>
                      <wp:cNvGraphicFramePr/>
                      <a:graphic xmlns:a="http://schemas.openxmlformats.org/drawingml/2006/main">
                        <a:graphicData uri="http://schemas.microsoft.com/office/word/2010/wordprocessingShape">
                          <wps:wsp>
                            <wps:cNvCnPr/>
                            <wps:spPr>
                              <a:xfrm>
                                <a:off x="0" y="0"/>
                                <a:ext cx="36004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1040" o:spid="_x0000_s1026" o:spt="32" type="#_x0000_t32" style="position:absolute;left:0pt;margin-left:214.4pt;margin-top:12.8pt;height:0pt;width:28.35pt;z-index:83968;mso-width-relative:page;mso-height-relative:page;" filled="f" stroked="t" coordsize="21600,21600" o:gfxdata="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WWt2C9kAAAAJAQAADwAAAAAAAAABACAAAAAiAAAAZHJzL2Rvd25y&#10;ZXYueG1sUEsBAhQAFAAAAAgAh07iQHq6DlDEAQAAjwMAAA4AAAAAAAAAAQAgAAAAKAEAAGRycy9l&#10;Mm9Eb2MueG1sUEsFBgAAAAAGAAYAWQEAAF4FAAAAAA==&#10;">
                      <v:fill on="f" focussize="0,0"/>
                      <v:stroke color="#000000" joinstyle="round" endarrow="block"/>
                      <v:imagedata o:title=""/>
                      <o:lock v:ext="edit" aspectratio="f"/>
                    </v:shape>
                  </w:pict>
                </mc:Fallback>
              </mc:AlternateContent>
            </w:r>
            <w:r>
              <w:rPr>
                <w:rFonts w:hAnsi="宋体"/>
                <w:color w:val="auto"/>
                <w:sz w:val="24"/>
                <w:highlight w:val="none"/>
              </w:rPr>
              <mc:AlternateContent>
                <mc:Choice Requires="wps">
                  <w:drawing>
                    <wp:anchor distT="0" distB="0" distL="114300" distR="114300" simplePos="0" relativeHeight="83968" behindDoc="0" locked="0" layoutInCell="1" allowOverlap="1">
                      <wp:simplePos x="0" y="0"/>
                      <wp:positionH relativeFrom="column">
                        <wp:posOffset>1221740</wp:posOffset>
                      </wp:positionH>
                      <wp:positionV relativeFrom="paragraph">
                        <wp:posOffset>162560</wp:posOffset>
                      </wp:positionV>
                      <wp:extent cx="360045" cy="0"/>
                      <wp:effectExtent l="0" t="38100" r="5715" b="38100"/>
                      <wp:wrapNone/>
                      <wp:docPr id="16" name="1040"/>
                      <wp:cNvGraphicFramePr/>
                      <a:graphic xmlns:a="http://schemas.openxmlformats.org/drawingml/2006/main">
                        <a:graphicData uri="http://schemas.microsoft.com/office/word/2010/wordprocessingShape">
                          <wps:wsp>
                            <wps:cNvCnPr/>
                            <wps:spPr>
                              <a:xfrm>
                                <a:off x="0" y="0"/>
                                <a:ext cx="36004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1040" o:spid="_x0000_s1026" o:spt="32" type="#_x0000_t32" style="position:absolute;left:0pt;margin-left:96.2pt;margin-top:12.8pt;height:0pt;width:28.35pt;z-index:83968;mso-width-relative:page;mso-height-relative:page;" filled="f" stroked="t" coordsize="21600,21600" o:gfxdata="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7joxs2AAAAAkBAAAPAAAAAAAAAAEAIAAAACIAAABkcnMvZG93bnJl&#10;di54bWxQSwECFAAUAAAACACHTuJA1g2sX8QBAACPAwAADgAAAAAAAAABACAAAAAnAQAAZHJzL2Uy&#10;b0RvYy54bWxQSwUGAAAAAAYABgBZAQAAXQUAAAAA&#10;">
                      <v:fill on="f" focussize="0,0"/>
                      <v:stroke color="#000000" joinstyle="round" endarrow="block"/>
                      <v:imagedata o:title=""/>
                      <o:lock v:ext="edit" aspectratio="f"/>
                    </v:shape>
                  </w:pict>
                </mc:Fallback>
              </mc:AlternateContent>
            </w:r>
          </w:p>
          <w:p>
            <w:pPr>
              <w:spacing w:line="520" w:lineRule="exact"/>
              <w:textAlignment w:val="baseline"/>
              <w:rPr>
                <w:rFonts w:hint="default" w:ascii="Times New Roman" w:hAnsi="Times New Roman" w:cs="Times New Roman"/>
                <w:color w:val="auto"/>
                <w:sz w:val="24"/>
              </w:rPr>
            </w:pPr>
          </w:p>
          <w:p>
            <w:pPr>
              <w:adjustRightInd w:val="0"/>
              <w:snapToGrid w:val="0"/>
              <w:spacing w:line="360" w:lineRule="auto"/>
              <w:jc w:val="center"/>
              <w:textAlignment w:val="baseline"/>
              <w:rPr>
                <w:rFonts w:hint="default" w:ascii="Times New Roman" w:hAnsi="Times New Roman" w:eastAsia="黑体" w:cs="Times New Roman"/>
                <w:color w:val="auto"/>
                <w:sz w:val="24"/>
              </w:rPr>
            </w:pPr>
            <w:r>
              <w:rPr>
                <w:rFonts w:hint="default" w:ascii="Times New Roman" w:hAnsi="Times New Roman" w:cs="Times New Roman"/>
                <w:color w:val="auto"/>
                <w:sz w:val="24"/>
              </w:rPr>
              <w:t>图</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 xml:space="preserve">     生产工艺流程及产污环节示意图</w:t>
            </w:r>
          </w:p>
          <w:p>
            <w:pPr>
              <w:tabs>
                <w:tab w:val="left" w:pos="525"/>
              </w:tabs>
              <w:adjustRightInd w:val="0"/>
              <w:snapToGrid w:val="0"/>
              <w:spacing w:line="360" w:lineRule="auto"/>
              <w:ind w:firstLine="482" w:firstLineChars="200"/>
              <w:rPr>
                <w:rFonts w:hint="default" w:ascii="Times New Roman" w:hAnsi="Times New Roman" w:cs="Times New Roman"/>
                <w:b/>
                <w:bCs/>
                <w:i w:val="0"/>
                <w:iCs w:val="0"/>
                <w:color w:val="auto"/>
                <w:sz w:val="24"/>
                <w:highlight w:val="none"/>
              </w:rPr>
            </w:pPr>
            <w:r>
              <w:rPr>
                <w:rFonts w:hint="default" w:ascii="Times New Roman" w:hAnsi="Times New Roman" w:cs="Times New Roman"/>
                <w:b/>
                <w:bCs/>
                <w:i w:val="0"/>
                <w:iCs w:val="0"/>
                <w:color w:val="auto"/>
                <w:sz w:val="24"/>
                <w:highlight w:val="none"/>
              </w:rPr>
              <w:t>2、工艺流程简述：</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本项目主要为</w:t>
            </w:r>
            <w:r>
              <w:rPr>
                <w:rFonts w:hint="eastAsia"/>
                <w:color w:val="auto"/>
                <w:sz w:val="24"/>
                <w:lang w:eastAsia="zh-CN"/>
              </w:rPr>
              <w:t>电机机壳和端盖</w:t>
            </w:r>
            <w:r>
              <w:rPr>
                <w:rFonts w:ascii="Times New Roman" w:hAnsi="Times New Roman"/>
                <w:color w:val="auto"/>
                <w:sz w:val="24"/>
              </w:rPr>
              <w:t>，</w:t>
            </w:r>
            <w:r>
              <w:rPr>
                <w:rFonts w:hint="eastAsia"/>
                <w:color w:val="auto"/>
                <w:sz w:val="24"/>
                <w:lang w:eastAsia="zh-CN"/>
              </w:rPr>
              <w:t>两种产品</w:t>
            </w:r>
            <w:r>
              <w:rPr>
                <w:rFonts w:ascii="Times New Roman" w:hAnsi="Times New Roman"/>
                <w:color w:val="auto"/>
                <w:sz w:val="24"/>
              </w:rPr>
              <w:t>生产工艺</w:t>
            </w:r>
            <w:r>
              <w:rPr>
                <w:rFonts w:hint="eastAsia"/>
                <w:color w:val="auto"/>
                <w:sz w:val="24"/>
                <w:lang w:eastAsia="zh-CN"/>
              </w:rPr>
              <w:t>相似，内容</w:t>
            </w:r>
            <w:r>
              <w:rPr>
                <w:rFonts w:ascii="Times New Roman" w:hAnsi="Times New Roman"/>
                <w:color w:val="auto"/>
                <w:sz w:val="24"/>
              </w:rPr>
              <w:t>简单，无喷漆过程。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auto"/>
                <w:sz w:val="24"/>
                <w:lang w:val="en-US" w:eastAsia="zh-CN"/>
              </w:rPr>
            </w:pPr>
            <w:r>
              <w:rPr>
                <w:rFonts w:hint="eastAsia" w:cs="Times New Roman"/>
                <w:color w:val="auto"/>
                <w:sz w:val="24"/>
                <w:lang w:val="en-US" w:eastAsia="zh-CN"/>
              </w:rPr>
              <w:t>车床加工：</w:t>
            </w:r>
            <w:r>
              <w:rPr>
                <w:rFonts w:hint="eastAsia"/>
                <w:b w:val="0"/>
                <w:bCs/>
                <w:color w:val="auto"/>
                <w:sz w:val="24"/>
                <w:szCs w:val="24"/>
                <w:u w:val="none"/>
                <w:lang w:eastAsia="zh-CN"/>
              </w:rPr>
              <w:t>根据客户要求，</w:t>
            </w:r>
            <w:r>
              <w:rPr>
                <w:rFonts w:hint="eastAsia" w:cs="Times New Roman"/>
                <w:color w:val="auto"/>
                <w:sz w:val="24"/>
                <w:lang w:val="en-US" w:eastAsia="zh-CN"/>
              </w:rPr>
              <w:t>将毛坯铸件通过车床或立车（大型铸件使用立车加工）进行切削加工（项目不使用切削液），使其形成所需要的尺寸规格。</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b w:val="0"/>
                <w:bCs/>
                <w:color w:val="auto"/>
                <w:sz w:val="24"/>
                <w:szCs w:val="24"/>
                <w:u w:val="none"/>
                <w:lang w:eastAsia="zh-CN"/>
              </w:rPr>
            </w:pPr>
            <w:r>
              <w:rPr>
                <w:rFonts w:hint="eastAsia"/>
                <w:b w:val="0"/>
                <w:bCs/>
                <w:color w:val="auto"/>
                <w:sz w:val="24"/>
                <w:szCs w:val="24"/>
                <w:u w:val="none"/>
                <w:lang w:eastAsia="zh-CN"/>
              </w:rPr>
              <w:t>钻孔：将车床加工后的铸件</w:t>
            </w:r>
            <w:r>
              <w:rPr>
                <w:rFonts w:hint="eastAsia" w:cs="Times New Roman"/>
                <w:color w:val="auto"/>
                <w:sz w:val="24"/>
                <w:lang w:val="en-US" w:eastAsia="zh-CN"/>
              </w:rPr>
              <w:t>通过钻床或台钻进行钻孔，得到相应的产品。</w:t>
            </w:r>
          </w:p>
          <w:p>
            <w:pPr>
              <w:adjustRightInd w:val="0"/>
              <w:snapToGrid w:val="0"/>
              <w:spacing w:line="360" w:lineRule="auto"/>
              <w:rPr>
                <w:rFonts w:hint="default" w:ascii="Times New Roman" w:hAnsi="Times New Roman" w:cs="Times New Roman"/>
                <w:b/>
                <w:color w:val="auto"/>
                <w:sz w:val="28"/>
                <w:szCs w:val="28"/>
              </w:rPr>
            </w:pPr>
            <w:r>
              <w:rPr>
                <w:rFonts w:hint="default" w:ascii="Times New Roman" w:hAnsi="Times New Roman" w:cs="Times New Roman"/>
                <w:b/>
                <w:color w:val="auto"/>
                <w:sz w:val="28"/>
                <w:szCs w:val="28"/>
              </w:rPr>
              <w:t>主要污染工序</w:t>
            </w:r>
          </w:p>
          <w:p>
            <w:pPr>
              <w:pStyle w:val="11"/>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（一）施工期</w:t>
            </w:r>
          </w:p>
          <w:p>
            <w:pPr>
              <w:adjustRightInd w:val="0"/>
              <w:snapToGrid w:val="0"/>
              <w:spacing w:line="360" w:lineRule="auto"/>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本项目生产为</w:t>
            </w:r>
            <w:r>
              <w:rPr>
                <w:rFonts w:hint="default" w:ascii="Times New Roman" w:hAnsi="Times New Roman" w:cs="Times New Roman"/>
                <w:b w:val="0"/>
                <w:bCs w:val="0"/>
                <w:color w:val="auto"/>
                <w:sz w:val="24"/>
                <w:u w:val="none"/>
                <w:lang w:val="en-US" w:eastAsia="zh-CN"/>
              </w:rPr>
              <w:t>租赁</w:t>
            </w:r>
            <w:r>
              <w:rPr>
                <w:rFonts w:hint="eastAsia" w:cs="Times New Roman"/>
                <w:b w:val="0"/>
                <w:bCs w:val="0"/>
                <w:color w:val="auto"/>
                <w:sz w:val="24"/>
                <w:u w:val="none"/>
                <w:lang w:val="en-US" w:eastAsia="zh-CN"/>
              </w:rPr>
              <w:t>现有闲置</w:t>
            </w:r>
            <w:r>
              <w:rPr>
                <w:rFonts w:hint="default" w:ascii="Times New Roman" w:hAnsi="Times New Roman" w:cs="Times New Roman"/>
                <w:b w:val="0"/>
                <w:bCs w:val="0"/>
                <w:color w:val="auto"/>
                <w:sz w:val="24"/>
                <w:u w:val="none"/>
                <w:lang w:val="en-US" w:eastAsia="zh-CN"/>
              </w:rPr>
              <w:t>厂房</w:t>
            </w:r>
            <w:r>
              <w:rPr>
                <w:rFonts w:hint="default" w:ascii="Times New Roman" w:hAnsi="Times New Roman" w:cs="Times New Roman"/>
                <w:b w:val="0"/>
                <w:bCs w:val="0"/>
                <w:color w:val="auto"/>
                <w:sz w:val="24"/>
                <w:u w:val="none"/>
              </w:rPr>
              <w:t>，无需新建厂房</w:t>
            </w:r>
            <w:r>
              <w:rPr>
                <w:rFonts w:ascii="Times New Roman" w:hAnsi="Times New Roman"/>
                <w:b w:val="0"/>
                <w:bCs w:val="0"/>
                <w:color w:val="auto"/>
                <w:sz w:val="24"/>
                <w:u w:val="none"/>
              </w:rPr>
              <w:t>，故</w:t>
            </w:r>
            <w:r>
              <w:rPr>
                <w:rFonts w:hint="eastAsia" w:ascii="Times New Roman" w:hAnsi="Times New Roman"/>
                <w:b w:val="0"/>
                <w:bCs w:val="0"/>
                <w:color w:val="auto"/>
                <w:sz w:val="24"/>
                <w:u w:val="none"/>
                <w:lang w:eastAsia="zh-CN"/>
              </w:rPr>
              <w:t>不再进行施工期环境影响分析</w:t>
            </w:r>
            <w:r>
              <w:rPr>
                <w:rFonts w:ascii="Times New Roman" w:hAnsi="Times New Roman"/>
                <w:b w:val="0"/>
                <w:bCs w:val="0"/>
                <w:color w:val="auto"/>
                <w:sz w:val="24"/>
                <w:u w:val="none"/>
              </w:rPr>
              <w:t>。</w:t>
            </w:r>
          </w:p>
          <w:p>
            <w:pPr>
              <w:pStyle w:val="11"/>
              <w:adjustRightInd w:val="0"/>
              <w:snapToGrid w:val="0"/>
              <w:spacing w:line="360" w:lineRule="auto"/>
              <w:ind w:firstLine="472" w:firstLineChars="196"/>
              <w:rPr>
                <w:rFonts w:hint="default" w:ascii="Times New Roman" w:hAnsi="Times New Roman" w:cs="Times New Roman"/>
                <w:color w:val="auto"/>
                <w:sz w:val="24"/>
                <w:szCs w:val="24"/>
              </w:rPr>
            </w:pPr>
            <w:r>
              <w:rPr>
                <w:rFonts w:hint="default" w:ascii="Times New Roman" w:hAnsi="Times New Roman" w:cs="Times New Roman"/>
                <w:b/>
                <w:color w:val="auto"/>
                <w:sz w:val="24"/>
                <w:szCs w:val="24"/>
              </w:rPr>
              <w:t>（二）营运期</w:t>
            </w:r>
          </w:p>
          <w:p>
            <w:pPr>
              <w:adjustRightInd w:val="0"/>
              <w:snapToGrid w:val="0"/>
              <w:spacing w:line="360" w:lineRule="auto"/>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本项目建成后主要的污染物有</w:t>
            </w:r>
            <w:r>
              <w:rPr>
                <w:rFonts w:hint="default" w:ascii="Times New Roman" w:hAnsi="Times New Roman" w:cs="Times New Roman"/>
                <w:color w:val="auto"/>
                <w:sz w:val="24"/>
                <w:lang w:eastAsia="zh-CN"/>
              </w:rPr>
              <w:t>废</w:t>
            </w:r>
            <w:r>
              <w:rPr>
                <w:rFonts w:hint="eastAsia" w:cs="Times New Roman"/>
                <w:color w:val="auto"/>
                <w:sz w:val="24"/>
                <w:lang w:eastAsia="zh-CN"/>
              </w:rPr>
              <w:t>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噪声及固体废物</w:t>
            </w:r>
            <w:r>
              <w:rPr>
                <w:rFonts w:hint="default" w:ascii="Times New Roman" w:hAnsi="Times New Roman" w:cs="Times New Roman"/>
                <w:color w:val="auto"/>
                <w:sz w:val="24"/>
                <w:lang w:eastAsia="zh-CN"/>
              </w:rPr>
              <w:t>。主要污染工序汇总见表</w:t>
            </w:r>
            <w:r>
              <w:rPr>
                <w:rFonts w:hint="eastAsia" w:ascii="Times New Roman" w:hAnsi="Times New Roman" w:cs="Times New Roman"/>
                <w:color w:val="auto"/>
                <w:sz w:val="24"/>
                <w:lang w:val="en-US" w:eastAsia="zh-CN"/>
              </w:rPr>
              <w:t>2</w:t>
            </w:r>
            <w:r>
              <w:rPr>
                <w:rFonts w:hint="eastAsia" w:cs="Times New Roman"/>
                <w:color w:val="auto"/>
                <w:sz w:val="24"/>
                <w:lang w:val="en-US" w:eastAsia="zh-CN"/>
              </w:rPr>
              <w:t>0</w:t>
            </w:r>
            <w:r>
              <w:rPr>
                <w:rFonts w:hint="default" w:ascii="Times New Roman" w:hAnsi="Times New Roman" w:cs="Times New Roman"/>
                <w:color w:val="auto"/>
                <w:sz w:val="24"/>
                <w:lang w:val="en-US" w:eastAsia="zh-CN"/>
              </w:rPr>
              <w:t>。</w:t>
            </w:r>
          </w:p>
          <w:p>
            <w:pPr>
              <w:adjustRightInd w:val="0"/>
              <w:snapToGrid w:val="0"/>
              <w:spacing w:line="240" w:lineRule="auto"/>
              <w:ind w:firstLine="1680" w:firstLineChars="7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表</w:t>
            </w:r>
            <w:r>
              <w:rPr>
                <w:rFonts w:hint="eastAsia" w:ascii="Times New Roman" w:hAnsi="Times New Roman" w:cs="Times New Roman"/>
                <w:color w:val="auto"/>
                <w:sz w:val="24"/>
                <w:lang w:val="en-US" w:eastAsia="zh-CN"/>
              </w:rPr>
              <w:t>2</w:t>
            </w:r>
            <w:r>
              <w:rPr>
                <w:rFonts w:hint="eastAsia" w:cs="Times New Roman"/>
                <w:color w:val="auto"/>
                <w:sz w:val="24"/>
                <w:lang w:val="en-US" w:eastAsia="zh-CN"/>
              </w:rPr>
              <w:t>0</w:t>
            </w:r>
            <w:r>
              <w:rPr>
                <w:rFonts w:hint="default" w:ascii="Times New Roman" w:hAnsi="Times New Roman" w:cs="Times New Roman"/>
                <w:color w:val="auto"/>
                <w:sz w:val="24"/>
                <w:lang w:val="en-US" w:eastAsia="zh-CN"/>
              </w:rPr>
              <w:t xml:space="preserve">         过程产污环节汇总情况一览表</w:t>
            </w:r>
          </w:p>
          <w:tbl>
            <w:tblPr>
              <w:tblStyle w:val="16"/>
              <w:tblW w:w="86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2100"/>
              <w:gridCol w:w="2256"/>
              <w:gridCol w:w="27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4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污染类别</w:t>
                  </w:r>
                </w:p>
              </w:tc>
              <w:tc>
                <w:tcPr>
                  <w:tcW w:w="2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污染源</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产污环节</w:t>
                  </w:r>
                </w:p>
              </w:tc>
              <w:tc>
                <w:tcPr>
                  <w:tcW w:w="27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1" w:hRule="atLeast"/>
                <w:jc w:val="center"/>
              </w:trPr>
              <w:tc>
                <w:tcPr>
                  <w:tcW w:w="14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废水</w:t>
                  </w:r>
                </w:p>
              </w:tc>
              <w:tc>
                <w:tcPr>
                  <w:tcW w:w="2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职工生活</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生活污水</w:t>
                  </w:r>
                </w:p>
              </w:tc>
              <w:tc>
                <w:tcPr>
                  <w:tcW w:w="27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COD、</w:t>
                  </w:r>
                  <w:r>
                    <w:rPr>
                      <w:rFonts w:hint="default" w:ascii="Times New Roman" w:hAnsi="Times New Roman" w:cs="Times New Roman"/>
                      <w:b w:val="0"/>
                      <w:bCs w:val="0"/>
                      <w:color w:val="auto"/>
                      <w:sz w:val="21"/>
                      <w:szCs w:val="21"/>
                      <w:u w:val="none"/>
                    </w:rPr>
                    <w:t>BOD</w:t>
                  </w:r>
                  <w:r>
                    <w:rPr>
                      <w:rFonts w:hint="default" w:ascii="Times New Roman" w:hAnsi="Times New Roman" w:cs="Times New Roman"/>
                      <w:b w:val="0"/>
                      <w:bCs w:val="0"/>
                      <w:color w:val="auto"/>
                      <w:sz w:val="21"/>
                      <w:szCs w:val="21"/>
                      <w:u w:val="none"/>
                      <w:vertAlign w:val="subscript"/>
                    </w:rPr>
                    <w:t>5</w:t>
                  </w:r>
                  <w:r>
                    <w:rPr>
                      <w:rFonts w:hint="default" w:ascii="Times New Roman" w:hAnsi="Times New Roman" w:cs="Times New Roman"/>
                      <w:b w:val="0"/>
                      <w:bCs w:val="0"/>
                      <w:color w:val="auto"/>
                      <w:sz w:val="21"/>
                      <w:szCs w:val="21"/>
                      <w:u w:val="none"/>
                      <w:vertAlign w:val="baseline"/>
                      <w:lang w:val="en-US" w:eastAsia="zh-CN"/>
                    </w:rPr>
                    <w:t>、</w:t>
                  </w:r>
                  <w:r>
                    <w:rPr>
                      <w:rFonts w:hint="default" w:ascii="Times New Roman" w:hAnsi="Times New Roman" w:cs="Times New Roman"/>
                      <w:color w:val="auto"/>
                      <w:sz w:val="21"/>
                      <w:szCs w:val="21"/>
                      <w:vertAlign w:val="baseline"/>
                      <w:lang w:val="en-US" w:eastAsia="zh-CN"/>
                    </w:rPr>
                    <w:t>SS、氨氮</w:t>
                  </w:r>
                  <w:r>
                    <w:rPr>
                      <w:rFonts w:hint="eastAsia" w:cs="Times New Roman"/>
                      <w:color w:val="auto"/>
                      <w:sz w:val="21"/>
                      <w:szCs w:val="21"/>
                      <w:vertAlign w:val="baseline"/>
                      <w:lang w:val="en-US" w:eastAsia="zh-CN"/>
                    </w:rPr>
                    <w:t>、</w:t>
                  </w:r>
                  <w:r>
                    <w:rPr>
                      <w:rFonts w:hint="default" w:ascii="Times New Roman" w:hAnsi="Times New Roman" w:cs="Times New Roman"/>
                      <w:b w:val="0"/>
                      <w:bCs w:val="0"/>
                      <w:color w:val="auto"/>
                      <w:sz w:val="21"/>
                      <w:szCs w:val="21"/>
                      <w:u w:val="no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14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噪声</w:t>
                  </w:r>
                </w:p>
              </w:tc>
              <w:tc>
                <w:tcPr>
                  <w:tcW w:w="2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生产过程</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设备噪声</w:t>
                  </w:r>
                </w:p>
              </w:tc>
              <w:tc>
                <w:tcPr>
                  <w:tcW w:w="27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0" w:hRule="atLeast"/>
                <w:jc w:val="center"/>
              </w:trPr>
              <w:tc>
                <w:tcPr>
                  <w:tcW w:w="147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固废</w:t>
                  </w:r>
                </w:p>
              </w:tc>
              <w:tc>
                <w:tcPr>
                  <w:tcW w:w="210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21"/>
                      <w:szCs w:val="21"/>
                      <w:vertAlign w:val="baseline"/>
                      <w:lang w:val="en-US" w:eastAsia="zh-CN"/>
                    </w:rPr>
                  </w:pPr>
                  <w:r>
                    <w:rPr>
                      <w:rFonts w:ascii="Times New Roman" w:hAnsi="Times New Roman"/>
                      <w:color w:val="auto"/>
                      <w:sz w:val="24"/>
                    </w:rPr>
                    <w:t>金属</w:t>
                  </w:r>
                  <w:r>
                    <w:rPr>
                      <w:rFonts w:hint="eastAsia" w:cs="Times New Roman"/>
                      <w:bCs/>
                      <w:color w:val="auto"/>
                      <w:sz w:val="21"/>
                      <w:szCs w:val="21"/>
                      <w:lang w:eastAsia="zh-CN"/>
                    </w:rPr>
                    <w:t>边角料</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生产过程</w:t>
                  </w:r>
                </w:p>
              </w:tc>
              <w:tc>
                <w:tcPr>
                  <w:tcW w:w="27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6" w:hRule="atLeast"/>
                <w:jc w:val="center"/>
              </w:trPr>
              <w:tc>
                <w:tcPr>
                  <w:tcW w:w="14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p>
              </w:tc>
              <w:tc>
                <w:tcPr>
                  <w:tcW w:w="210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bCs/>
                      <w:color w:val="auto"/>
                      <w:sz w:val="21"/>
                      <w:szCs w:val="21"/>
                      <w:lang w:eastAsia="zh-CN"/>
                    </w:rPr>
                    <w:t>生活垃圾</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生活垃圾</w:t>
                  </w:r>
                </w:p>
              </w:tc>
              <w:tc>
                <w:tcPr>
                  <w:tcW w:w="27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6" w:hRule="atLeast"/>
                <w:jc w:val="center"/>
              </w:trPr>
              <w:tc>
                <w:tcPr>
                  <w:tcW w:w="14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p>
              </w:tc>
              <w:tc>
                <w:tcPr>
                  <w:tcW w:w="210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lang w:eastAsia="zh-CN"/>
                    </w:rPr>
                  </w:pPr>
                  <w:r>
                    <w:rPr>
                      <w:rFonts w:hint="eastAsia" w:cs="Times New Roman"/>
                      <w:bCs/>
                      <w:color w:val="auto"/>
                      <w:sz w:val="21"/>
                      <w:szCs w:val="21"/>
                      <w:lang w:eastAsia="zh-CN"/>
                    </w:rPr>
                    <w:t>含油废抹布</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设备维护</w:t>
                  </w:r>
                </w:p>
              </w:tc>
              <w:tc>
                <w:tcPr>
                  <w:tcW w:w="2796" w:type="dxa"/>
                  <w:noWrap w:val="0"/>
                  <w:vAlign w:val="center"/>
                </w:tcPr>
                <w:p>
                  <w:pPr>
                    <w:adjustRightInd w:val="0"/>
                    <w:snapToGrid w:val="0"/>
                    <w:spacing w:line="240" w:lineRule="auto"/>
                    <w:ind w:left="210" w:leftChars="10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olor w:val="auto"/>
                      <w:szCs w:val="21"/>
                      <w:lang w:eastAsia="zh-CN"/>
                    </w:rPr>
                    <w:t>已列入危险废物豁免管理清单，混入生活垃圾处理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6" w:hRule="atLeast"/>
                <w:jc w:val="center"/>
              </w:trPr>
              <w:tc>
                <w:tcPr>
                  <w:tcW w:w="14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p>
              </w:tc>
              <w:tc>
                <w:tcPr>
                  <w:tcW w:w="2100" w:type="dxa"/>
                  <w:noWrap w:val="0"/>
                  <w:vAlign w:val="center"/>
                </w:tcPr>
                <w:p>
                  <w:pPr>
                    <w:pStyle w:val="20"/>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z w:val="21"/>
                      <w:szCs w:val="21"/>
                      <w:lang w:eastAsia="zh-CN"/>
                    </w:rPr>
                  </w:pPr>
                  <w:r>
                    <w:rPr>
                      <w:rFonts w:hint="eastAsia" w:cs="Times New Roman"/>
                      <w:bCs/>
                      <w:color w:val="auto"/>
                      <w:sz w:val="21"/>
                      <w:szCs w:val="21"/>
                      <w:lang w:eastAsia="zh-CN"/>
                    </w:rPr>
                    <w:t>废润滑油</w:t>
                  </w:r>
                </w:p>
              </w:tc>
              <w:tc>
                <w:tcPr>
                  <w:tcW w:w="225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设备维护</w:t>
                  </w:r>
                </w:p>
              </w:tc>
              <w:tc>
                <w:tcPr>
                  <w:tcW w:w="2796" w:type="dxa"/>
                  <w:noWrap w:val="0"/>
                  <w:vAlign w:val="center"/>
                </w:tcPr>
                <w:p>
                  <w:pPr>
                    <w:adjustRightInd w:val="0"/>
                    <w:snapToGrid w:val="0"/>
                    <w:spacing w:line="240" w:lineRule="auto"/>
                    <w:ind w:left="210" w:leftChars="100"/>
                    <w:jc w:val="center"/>
                    <w:rPr>
                      <w:rFonts w:hint="default" w:ascii="Times New Roman" w:hAnsi="Times New Roman" w:cs="Times New Roman"/>
                      <w:color w:val="auto"/>
                      <w:sz w:val="21"/>
                      <w:szCs w:val="21"/>
                      <w:vertAlign w:val="baseline"/>
                      <w:lang w:val="en-US" w:eastAsia="zh-CN"/>
                    </w:rPr>
                  </w:pPr>
                  <w:r>
                    <w:rPr>
                      <w:rFonts w:ascii="Times New Roman" w:hAnsi="Times New Roman"/>
                      <w:color w:val="auto"/>
                      <w:szCs w:val="21"/>
                    </w:rPr>
                    <w:t>危险</w:t>
                  </w:r>
                  <w:r>
                    <w:rPr>
                      <w:rFonts w:hint="eastAsia" w:ascii="Times New Roman" w:hAnsi="Times New Roman"/>
                      <w:color w:val="auto"/>
                      <w:szCs w:val="21"/>
                      <w:lang w:eastAsia="zh-CN"/>
                    </w:rPr>
                    <w:t>废物</w:t>
                  </w:r>
                </w:p>
              </w:tc>
            </w:tr>
          </w:tbl>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、废水</w:t>
            </w:r>
          </w:p>
          <w:p>
            <w:pPr>
              <w:numPr>
                <w:ilvl w:val="0"/>
                <w:numId w:val="0"/>
              </w:numPr>
              <w:adjustRightInd w:val="0"/>
              <w:snapToGrid w:val="0"/>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本项目</w:t>
            </w:r>
            <w:r>
              <w:rPr>
                <w:rFonts w:hint="default" w:ascii="Times New Roman" w:hAnsi="Times New Roman" w:cs="Times New Roman"/>
                <w:color w:val="auto"/>
                <w:sz w:val="24"/>
                <w:lang w:eastAsia="zh-CN"/>
              </w:rPr>
              <w:t>营运期</w:t>
            </w:r>
            <w:r>
              <w:rPr>
                <w:rFonts w:hint="default" w:ascii="Times New Roman" w:hAnsi="Times New Roman" w:cs="Times New Roman"/>
                <w:color w:val="auto"/>
                <w:sz w:val="24"/>
              </w:rPr>
              <w:t>废水主要为职工</w:t>
            </w:r>
            <w:r>
              <w:rPr>
                <w:rFonts w:hint="default" w:ascii="Times New Roman" w:hAnsi="Times New Roman" w:cs="Times New Roman"/>
                <w:color w:val="auto"/>
                <w:sz w:val="24"/>
                <w:lang w:eastAsia="zh-CN"/>
              </w:rPr>
              <w:t>生活污水</w:t>
            </w:r>
            <w:r>
              <w:rPr>
                <w:rFonts w:hint="eastAsia" w:ascii="Times New Roman" w:hAnsi="Times New Roman" w:cs="Times New Roman"/>
                <w:color w:val="auto"/>
                <w:sz w:val="24"/>
                <w:lang w:eastAsia="zh-CN"/>
              </w:rPr>
              <w:t>，经厂区化粪池处理后定期清运，不外排</w:t>
            </w:r>
            <w:r>
              <w:rPr>
                <w:rFonts w:hint="default" w:ascii="Times New Roman" w:hAnsi="Times New Roman" w:cs="Times New Roman"/>
                <w:color w:val="auto"/>
                <w:sz w:val="24"/>
                <w:lang w:eastAsia="zh-CN"/>
              </w:rPr>
              <w:t>。</w:t>
            </w:r>
          </w:p>
          <w:p>
            <w:pPr>
              <w:numPr>
                <w:ilvl w:val="0"/>
                <w:numId w:val="3"/>
              </w:num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噪声</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该项目生产过程中产生的噪声主要是</w:t>
            </w:r>
            <w:r>
              <w:rPr>
                <w:rFonts w:hint="eastAsia" w:cs="Times New Roman"/>
                <w:color w:val="auto"/>
                <w:sz w:val="24"/>
                <w:lang w:eastAsia="zh-CN"/>
              </w:rPr>
              <w:t>车床、立车、钻床、台钻</w:t>
            </w:r>
            <w:r>
              <w:rPr>
                <w:rFonts w:hint="eastAsia" w:ascii="Times New Roman" w:hAnsi="Times New Roman" w:cs="Times New Roman"/>
                <w:color w:val="auto"/>
                <w:sz w:val="24"/>
                <w:lang w:eastAsia="zh-CN"/>
              </w:rPr>
              <w:t>等</w:t>
            </w:r>
            <w:r>
              <w:rPr>
                <w:rFonts w:hint="default" w:ascii="Times New Roman" w:hAnsi="Times New Roman" w:cs="Times New Roman"/>
                <w:color w:val="auto"/>
                <w:sz w:val="24"/>
                <w:lang w:eastAsia="zh-CN"/>
              </w:rPr>
              <w:t>设备</w:t>
            </w:r>
            <w:r>
              <w:rPr>
                <w:rFonts w:hint="eastAsia" w:ascii="Times New Roman" w:hAnsi="Times New Roman" w:cs="Times New Roman"/>
                <w:color w:val="auto"/>
                <w:sz w:val="24"/>
                <w:lang w:eastAsia="zh-CN"/>
              </w:rPr>
              <w:t>运行</w:t>
            </w:r>
            <w:r>
              <w:rPr>
                <w:rFonts w:hint="default" w:ascii="Times New Roman" w:hAnsi="Times New Roman" w:cs="Times New Roman"/>
                <w:color w:val="auto"/>
                <w:sz w:val="24"/>
              </w:rPr>
              <w:t>噪声，</w:t>
            </w:r>
            <w:r>
              <w:rPr>
                <w:rFonts w:hint="default" w:ascii="Times New Roman" w:hAnsi="Times New Roman" w:cs="Times New Roman"/>
                <w:color w:val="auto"/>
                <w:sz w:val="24"/>
                <w:lang w:eastAsia="zh-CN"/>
              </w:rPr>
              <w:t>工程噪声源强在</w:t>
            </w:r>
            <w:r>
              <w:rPr>
                <w:rFonts w:hint="default" w:ascii="Times New Roman" w:hAnsi="Times New Roman" w:cs="Times New Roman"/>
                <w:color w:val="auto"/>
                <w:sz w:val="24"/>
                <w:lang w:val="en-US" w:eastAsia="zh-CN"/>
              </w:rPr>
              <w:t>70~8</w:t>
            </w:r>
            <w:r>
              <w:rPr>
                <w:rFonts w:hint="eastAsia" w:cs="Times New Roman"/>
                <w:color w:val="auto"/>
                <w:sz w:val="24"/>
                <w:lang w:val="en-US" w:eastAsia="zh-CN"/>
              </w:rPr>
              <w:t>0</w:t>
            </w:r>
            <w:r>
              <w:rPr>
                <w:rFonts w:hint="default" w:ascii="Times New Roman" w:hAnsi="Times New Roman" w:cs="Times New Roman"/>
                <w:color w:val="auto"/>
                <w:sz w:val="24"/>
                <w:lang w:val="en-US" w:eastAsia="zh-CN"/>
              </w:rPr>
              <w:t>dB（A）</w:t>
            </w:r>
            <w:r>
              <w:rPr>
                <w:rFonts w:hint="default" w:ascii="Times New Roman" w:hAnsi="Times New Roman" w:cs="Times New Roman"/>
                <w:color w:val="auto"/>
                <w:sz w:val="24"/>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、固体废物</w:t>
            </w:r>
          </w:p>
          <w:p>
            <w:pPr>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ascii="Times New Roman" w:hAnsi="Times New Roman"/>
                <w:color w:val="auto"/>
                <w:sz w:val="24"/>
              </w:rPr>
              <w:t>该项目生产过程中产生的一般固体废物主要是生产环节产生的金属边角料</w:t>
            </w:r>
            <w:r>
              <w:rPr>
                <w:rFonts w:hint="eastAsia" w:ascii="Times New Roman" w:hAnsi="Times New Roman"/>
                <w:color w:val="auto"/>
                <w:sz w:val="24"/>
                <w:lang w:eastAsia="zh-CN"/>
              </w:rPr>
              <w:t>、</w:t>
            </w:r>
            <w:r>
              <w:rPr>
                <w:rFonts w:ascii="Times New Roman" w:hAnsi="Times New Roman"/>
                <w:color w:val="auto"/>
                <w:sz w:val="24"/>
              </w:rPr>
              <w:t>和工作人员产生的生活垃圾</w:t>
            </w:r>
            <w:r>
              <w:rPr>
                <w:rFonts w:hint="eastAsia" w:ascii="Times New Roman" w:hAnsi="Times New Roman"/>
                <w:color w:val="auto"/>
                <w:sz w:val="24"/>
                <w:lang w:eastAsia="zh-CN"/>
              </w:rPr>
              <w:t>；</w:t>
            </w:r>
            <w:r>
              <w:rPr>
                <w:rFonts w:ascii="Times New Roman" w:hAnsi="Times New Roman"/>
                <w:b w:val="0"/>
                <w:bCs w:val="0"/>
                <w:color w:val="auto"/>
                <w:sz w:val="24"/>
                <w:u w:val="none"/>
              </w:rPr>
              <w:t>危险废物主要是生产过程产生的废</w:t>
            </w:r>
            <w:r>
              <w:rPr>
                <w:rFonts w:hint="eastAsia"/>
                <w:b w:val="0"/>
                <w:bCs w:val="0"/>
                <w:color w:val="auto"/>
                <w:sz w:val="24"/>
                <w:u w:val="none"/>
                <w:lang w:eastAsia="zh-CN"/>
              </w:rPr>
              <w:t>润滑油</w:t>
            </w:r>
            <w:r>
              <w:rPr>
                <w:rFonts w:hint="eastAsia" w:ascii="Times New Roman" w:hAnsi="Times New Roman"/>
                <w:b w:val="0"/>
                <w:bCs w:val="0"/>
                <w:color w:val="auto"/>
                <w:sz w:val="24"/>
                <w:u w:val="none"/>
                <w:lang w:eastAsia="zh-CN"/>
              </w:rPr>
              <w:t>和含油废抹布</w:t>
            </w:r>
            <w:r>
              <w:rPr>
                <w:rFonts w:ascii="Times New Roman" w:hAnsi="Times New Roman"/>
                <w:b w:val="0"/>
                <w:bCs w:val="0"/>
                <w:color w:val="auto"/>
                <w:sz w:val="24"/>
                <w:u w:val="none"/>
              </w:rPr>
              <w:t>。</w:t>
            </w:r>
          </w:p>
        </w:tc>
      </w:tr>
    </w:tbl>
    <w:p>
      <w:pPr>
        <w:adjustRightInd w:val="0"/>
        <w:snapToGrid w:val="0"/>
        <w:spacing w:line="520" w:lineRule="exact"/>
        <w:rPr>
          <w:rFonts w:eastAsia="黑体"/>
          <w:b/>
          <w:color w:val="auto"/>
          <w:sz w:val="30"/>
        </w:rPr>
        <w:sectPr>
          <w:pgSz w:w="11906" w:h="16838"/>
          <w:pgMar w:top="1701" w:right="1588" w:bottom="1772" w:left="1588" w:header="851" w:footer="1134" w:gutter="0"/>
          <w:pgBorders>
            <w:top w:val="none" w:sz="0" w:space="0"/>
            <w:left w:val="none" w:sz="0" w:space="0"/>
            <w:bottom w:val="none" w:sz="0" w:space="0"/>
            <w:right w:val="none" w:sz="0" w:space="0"/>
          </w:pgBorders>
          <w:pgNumType w:fmt="decimal"/>
          <w:cols w:space="720" w:num="1"/>
          <w:docGrid w:type="lines" w:linePitch="312" w:charSpace="0"/>
        </w:sectPr>
      </w:pPr>
    </w:p>
    <w:p>
      <w:pPr>
        <w:adjustRightInd w:val="0"/>
        <w:snapToGrid w:val="0"/>
        <w:spacing w:line="520" w:lineRule="exact"/>
        <w:rPr>
          <w:rFonts w:hint="eastAsia" w:ascii="宋体" w:hAnsi="宋体" w:eastAsia="宋体" w:cs="宋体"/>
          <w:b/>
          <w:bCs w:val="0"/>
          <w:color w:val="auto"/>
          <w:sz w:val="30"/>
          <w:highlight w:val="none"/>
        </w:rPr>
      </w:pPr>
      <w:r>
        <w:rPr>
          <w:rFonts w:hint="eastAsia" w:ascii="宋体" w:hAnsi="宋体" w:eastAsia="宋体" w:cs="宋体"/>
          <w:b/>
          <w:bCs w:val="0"/>
          <w:color w:val="auto"/>
          <w:sz w:val="30"/>
          <w:highlight w:val="none"/>
        </w:rPr>
        <w:t>项目主要污染物产生及预计排放情况</w:t>
      </w:r>
    </w:p>
    <w:tbl>
      <w:tblPr>
        <w:tblStyle w:val="15"/>
        <w:tblW w:w="91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2"/>
        <w:gridCol w:w="409"/>
        <w:gridCol w:w="696"/>
        <w:gridCol w:w="1944"/>
        <w:gridCol w:w="1475"/>
        <w:gridCol w:w="1128"/>
        <w:gridCol w:w="1477"/>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752" w:type="dxa"/>
            <w:vMerge w:val="restart"/>
            <w:tcBorders>
              <w:tl2br w:val="nil"/>
              <w:tr2bl w:val="nil"/>
            </w:tcBorders>
            <w:noWrap w:val="0"/>
            <w:vAlign w:val="top"/>
            <mc:AlternateContent>
              <mc:Choice Requires="wpsCustomData">
                <wpsCustomData:diagonals>
                  <wpsCustomData:diagonal from="10000" to="30000">
                    <wpsCustomData:border w:val="single" w:color="auto" w:sz="12" w:space="0"/>
                  </wpsCustomData:diagonal>
                </wpsCustomData:diagonals>
              </mc:Choice>
            </mc:AlternateContent>
          </w:tcPr>
          <w:p>
            <w:pPr>
              <w:snapToGrid w:val="0"/>
              <w:spacing w:line="240" w:lineRule="auto"/>
              <w:rPr>
                <w:b/>
                <w:bCs/>
                <w:color w:val="auto"/>
                <w:sz w:val="21"/>
                <w:szCs w:val="21"/>
              </w:rPr>
            </w:pPr>
          </w:p>
          <w:p>
            <w:pPr>
              <w:snapToGrid w:val="0"/>
              <w:spacing w:line="240" w:lineRule="auto"/>
              <w:rPr>
                <w:b/>
                <w:bCs/>
                <w:color w:val="auto"/>
                <w:sz w:val="21"/>
                <w:szCs w:val="21"/>
              </w:rPr>
            </w:pPr>
          </w:p>
          <w:p>
            <w:pPr>
              <w:snapToGrid w:val="0"/>
              <w:spacing w:line="240" w:lineRule="auto"/>
              <w:rPr>
                <w:b/>
                <w:bCs/>
                <w:color w:val="auto"/>
                <w:sz w:val="21"/>
                <w:szCs w:val="21"/>
              </w:rPr>
            </w:pPr>
          </w:p>
          <w:p>
            <w:pPr>
              <w:snapToGrid w:val="0"/>
              <w:spacing w:line="240" w:lineRule="auto"/>
              <w:jc w:val="left"/>
              <mc:AlternateContent>
                <mc:Choice Requires="wpsCustomData">
                  <wpsCustomData:diagonalParaType/>
                </mc:Choice>
              </mc:AlternateContent>
              <w:rPr>
                <w:b/>
                <w:bCs/>
                <w:color w:val="auto"/>
                <w:sz w:val="21"/>
                <w:szCs w:val="21"/>
              </w:rPr>
            </w:pPr>
            <w:r>
              <w:rPr>
                <w:b/>
                <w:bCs/>
                <w:color w:val="auto"/>
                <w:sz w:val="21"/>
                <w:szCs w:val="21"/>
              </w:rPr>
              <w:t>类型</w:t>
            </w:r>
          </w:p>
          <w:p>
            <w:pPr>
              <w:spacing w:line="240" w:lineRule="auto"/>
              <w:jc w:val="right"/>
              <w:rPr>
                <w:b/>
                <w:bCs/>
                <w:color w:val="auto"/>
                <w:sz w:val="21"/>
                <w:szCs w:val="21"/>
              </w:rPr>
            </w:pPr>
            <w:r>
              <w:rPr>
                <w:b/>
                <w:bCs/>
                <w:color w:val="auto"/>
                <w:sz w:val="21"/>
                <w:szCs w:val="21"/>
              </w:rPr>
              <w:t>内容</w:t>
            </w:r>
          </w:p>
        </w:tc>
        <w:tc>
          <w:tcPr>
            <w:tcW w:w="1105" w:type="dxa"/>
            <w:gridSpan w:val="2"/>
            <w:vMerge w:val="restart"/>
            <w:tcBorders>
              <w:tl2br w:val="nil"/>
              <w:tr2bl w:val="nil"/>
            </w:tcBorders>
            <w:noWrap w:val="0"/>
            <w:vAlign w:val="center"/>
          </w:tcPr>
          <w:p>
            <w:pPr>
              <w:spacing w:line="240" w:lineRule="auto"/>
              <w:jc w:val="center"/>
              <w:rPr>
                <w:b/>
                <w:bCs/>
                <w:color w:val="auto"/>
                <w:sz w:val="21"/>
                <w:szCs w:val="21"/>
              </w:rPr>
            </w:pPr>
            <w:r>
              <w:rPr>
                <w:b/>
                <w:bCs/>
                <w:color w:val="auto"/>
                <w:sz w:val="21"/>
                <w:szCs w:val="21"/>
              </w:rPr>
              <w:t>排放源</w:t>
            </w:r>
          </w:p>
          <w:p>
            <w:pPr>
              <w:spacing w:line="240" w:lineRule="auto"/>
              <w:jc w:val="center"/>
              <w:rPr>
                <w:b/>
                <w:bCs/>
                <w:color w:val="auto"/>
                <w:sz w:val="21"/>
                <w:szCs w:val="21"/>
              </w:rPr>
            </w:pPr>
            <w:r>
              <w:rPr>
                <w:b/>
                <w:bCs/>
                <w:color w:val="auto"/>
                <w:sz w:val="21"/>
                <w:szCs w:val="21"/>
              </w:rPr>
              <w:t>（编号）</w:t>
            </w:r>
          </w:p>
        </w:tc>
        <w:tc>
          <w:tcPr>
            <w:tcW w:w="1944" w:type="dxa"/>
            <w:vMerge w:val="restart"/>
            <w:tcBorders>
              <w:tl2br w:val="nil"/>
              <w:tr2bl w:val="nil"/>
            </w:tcBorders>
            <w:noWrap w:val="0"/>
            <w:vAlign w:val="center"/>
          </w:tcPr>
          <w:p>
            <w:pPr>
              <w:spacing w:line="240" w:lineRule="auto"/>
              <w:jc w:val="center"/>
              <w:rPr>
                <w:b/>
                <w:bCs/>
                <w:color w:val="auto"/>
                <w:sz w:val="21"/>
                <w:szCs w:val="21"/>
              </w:rPr>
            </w:pPr>
            <w:r>
              <w:rPr>
                <w:b/>
                <w:bCs/>
                <w:color w:val="auto"/>
                <w:sz w:val="21"/>
                <w:szCs w:val="21"/>
              </w:rPr>
              <w:t>污染物</w:t>
            </w:r>
          </w:p>
          <w:p>
            <w:pPr>
              <w:spacing w:line="240" w:lineRule="auto"/>
              <w:jc w:val="center"/>
              <w:rPr>
                <w:b/>
                <w:bCs/>
                <w:color w:val="auto"/>
                <w:sz w:val="21"/>
                <w:szCs w:val="21"/>
              </w:rPr>
            </w:pPr>
            <w:r>
              <w:rPr>
                <w:b/>
                <w:bCs/>
                <w:color w:val="auto"/>
                <w:sz w:val="21"/>
                <w:szCs w:val="21"/>
              </w:rPr>
              <w:t>名称</w:t>
            </w:r>
          </w:p>
        </w:tc>
        <w:tc>
          <w:tcPr>
            <w:tcW w:w="2603" w:type="dxa"/>
            <w:gridSpan w:val="2"/>
            <w:tcBorders>
              <w:tl2br w:val="nil"/>
              <w:tr2bl w:val="nil"/>
            </w:tcBorders>
            <w:noWrap w:val="0"/>
            <w:vAlign w:val="center"/>
          </w:tcPr>
          <w:p>
            <w:pPr>
              <w:spacing w:line="240" w:lineRule="auto"/>
              <w:jc w:val="center"/>
              <w:rPr>
                <w:b/>
                <w:bCs/>
                <w:color w:val="auto"/>
                <w:sz w:val="21"/>
                <w:szCs w:val="21"/>
              </w:rPr>
            </w:pPr>
            <w:r>
              <w:rPr>
                <w:b/>
                <w:bCs/>
                <w:color w:val="auto"/>
                <w:sz w:val="21"/>
                <w:szCs w:val="21"/>
              </w:rPr>
              <w:t>产生浓度及产生量</w:t>
            </w:r>
          </w:p>
        </w:tc>
        <w:tc>
          <w:tcPr>
            <w:tcW w:w="2696" w:type="dxa"/>
            <w:gridSpan w:val="2"/>
            <w:tcBorders>
              <w:tl2br w:val="nil"/>
              <w:tr2bl w:val="nil"/>
            </w:tcBorders>
            <w:noWrap w:val="0"/>
            <w:vAlign w:val="center"/>
          </w:tcPr>
          <w:p>
            <w:pPr>
              <w:spacing w:line="240" w:lineRule="auto"/>
              <w:jc w:val="center"/>
              <w:rPr>
                <w:b/>
                <w:bCs/>
                <w:color w:val="auto"/>
                <w:sz w:val="21"/>
                <w:szCs w:val="21"/>
              </w:rPr>
            </w:pPr>
            <w:r>
              <w:rPr>
                <w:b/>
                <w:bCs/>
                <w:color w:val="auto"/>
                <w:sz w:val="21"/>
                <w:szCs w:val="21"/>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752" w:type="dxa"/>
            <w:vMerge w:val="continue"/>
            <w:tcBorders>
              <w:tl2br w:val="nil"/>
              <w:tr2bl w:val="nil"/>
            </w:tcBorders>
            <w:noWrap w:val="0"/>
            <w:vAlign w:val="top"/>
          </w:tcPr>
          <w:p>
            <w:pPr>
              <w:spacing w:line="240" w:lineRule="auto"/>
              <w:jc w:val="center"/>
              <w:rPr>
                <w:b/>
                <w:bCs/>
                <w:color w:val="auto"/>
                <w:sz w:val="21"/>
                <w:szCs w:val="21"/>
              </w:rPr>
            </w:pPr>
          </w:p>
        </w:tc>
        <w:tc>
          <w:tcPr>
            <w:tcW w:w="1105" w:type="dxa"/>
            <w:gridSpan w:val="2"/>
            <w:vMerge w:val="continue"/>
            <w:tcBorders>
              <w:tl2br w:val="nil"/>
              <w:tr2bl w:val="nil"/>
            </w:tcBorders>
            <w:noWrap w:val="0"/>
            <w:vAlign w:val="center"/>
          </w:tcPr>
          <w:p>
            <w:pPr>
              <w:spacing w:line="240" w:lineRule="auto"/>
              <w:jc w:val="center"/>
              <w:rPr>
                <w:b/>
                <w:bCs/>
                <w:color w:val="auto"/>
                <w:sz w:val="21"/>
                <w:szCs w:val="21"/>
              </w:rPr>
            </w:pPr>
          </w:p>
        </w:tc>
        <w:tc>
          <w:tcPr>
            <w:tcW w:w="1944" w:type="dxa"/>
            <w:vMerge w:val="continue"/>
            <w:tcBorders>
              <w:tl2br w:val="nil"/>
              <w:tr2bl w:val="nil"/>
            </w:tcBorders>
            <w:noWrap w:val="0"/>
            <w:vAlign w:val="center"/>
          </w:tcPr>
          <w:p>
            <w:pPr>
              <w:spacing w:line="240" w:lineRule="auto"/>
              <w:jc w:val="center"/>
              <w:rPr>
                <w:b/>
                <w:bCs/>
                <w:color w:val="auto"/>
                <w:sz w:val="21"/>
                <w:szCs w:val="21"/>
              </w:rPr>
            </w:pPr>
          </w:p>
        </w:tc>
        <w:tc>
          <w:tcPr>
            <w:tcW w:w="1475" w:type="dxa"/>
            <w:tcBorders>
              <w:tl2br w:val="nil"/>
              <w:tr2bl w:val="nil"/>
            </w:tcBorders>
            <w:noWrap w:val="0"/>
            <w:vAlign w:val="center"/>
          </w:tcPr>
          <w:p>
            <w:pPr>
              <w:spacing w:line="240" w:lineRule="auto"/>
              <w:jc w:val="center"/>
              <w:rPr>
                <w:b/>
                <w:bCs/>
                <w:color w:val="auto"/>
                <w:sz w:val="21"/>
                <w:szCs w:val="21"/>
              </w:rPr>
            </w:pPr>
            <w:r>
              <w:rPr>
                <w:b/>
                <w:bCs/>
                <w:color w:val="auto"/>
                <w:sz w:val="21"/>
                <w:szCs w:val="21"/>
              </w:rPr>
              <w:t>浓度</w:t>
            </w:r>
          </w:p>
          <w:p>
            <w:pPr>
              <w:spacing w:line="240" w:lineRule="auto"/>
              <w:jc w:val="center"/>
              <w:rPr>
                <w:b/>
                <w:bCs/>
                <w:color w:val="auto"/>
                <w:sz w:val="21"/>
                <w:szCs w:val="21"/>
              </w:rPr>
            </w:pPr>
            <w:r>
              <w:rPr>
                <w:b/>
                <w:bCs/>
                <w:color w:val="auto"/>
                <w:sz w:val="21"/>
                <w:szCs w:val="21"/>
              </w:rPr>
              <w:t>（单位）</w:t>
            </w:r>
          </w:p>
        </w:tc>
        <w:tc>
          <w:tcPr>
            <w:tcW w:w="1128" w:type="dxa"/>
            <w:tcBorders>
              <w:tl2br w:val="nil"/>
              <w:tr2bl w:val="nil"/>
            </w:tcBorders>
            <w:noWrap w:val="0"/>
            <w:vAlign w:val="center"/>
          </w:tcPr>
          <w:p>
            <w:pPr>
              <w:spacing w:line="240" w:lineRule="auto"/>
              <w:jc w:val="center"/>
              <w:rPr>
                <w:b/>
                <w:bCs/>
                <w:color w:val="auto"/>
                <w:sz w:val="21"/>
                <w:szCs w:val="21"/>
              </w:rPr>
            </w:pPr>
            <w:r>
              <w:rPr>
                <w:b/>
                <w:bCs/>
                <w:color w:val="auto"/>
                <w:sz w:val="21"/>
                <w:szCs w:val="21"/>
              </w:rPr>
              <w:t>产生量</w:t>
            </w:r>
          </w:p>
          <w:p>
            <w:pPr>
              <w:spacing w:line="240" w:lineRule="auto"/>
              <w:jc w:val="center"/>
              <w:rPr>
                <w:b/>
                <w:bCs/>
                <w:color w:val="auto"/>
                <w:sz w:val="21"/>
                <w:szCs w:val="21"/>
              </w:rPr>
            </w:pPr>
            <w:r>
              <w:rPr>
                <w:b/>
                <w:bCs/>
                <w:color w:val="auto"/>
                <w:sz w:val="21"/>
                <w:szCs w:val="21"/>
              </w:rPr>
              <w:t>（单位）</w:t>
            </w:r>
          </w:p>
        </w:tc>
        <w:tc>
          <w:tcPr>
            <w:tcW w:w="1477" w:type="dxa"/>
            <w:tcBorders>
              <w:tl2br w:val="nil"/>
              <w:tr2bl w:val="nil"/>
            </w:tcBorders>
            <w:noWrap w:val="0"/>
            <w:vAlign w:val="center"/>
          </w:tcPr>
          <w:p>
            <w:pPr>
              <w:spacing w:line="240" w:lineRule="auto"/>
              <w:jc w:val="center"/>
              <w:rPr>
                <w:b/>
                <w:bCs/>
                <w:color w:val="auto"/>
                <w:sz w:val="21"/>
                <w:szCs w:val="21"/>
              </w:rPr>
            </w:pPr>
            <w:r>
              <w:rPr>
                <w:b/>
                <w:bCs/>
                <w:color w:val="auto"/>
                <w:sz w:val="21"/>
                <w:szCs w:val="21"/>
              </w:rPr>
              <w:t>浓度</w:t>
            </w:r>
          </w:p>
          <w:p>
            <w:pPr>
              <w:spacing w:line="240" w:lineRule="auto"/>
              <w:jc w:val="center"/>
              <w:rPr>
                <w:b/>
                <w:bCs/>
                <w:color w:val="auto"/>
                <w:sz w:val="21"/>
                <w:szCs w:val="21"/>
              </w:rPr>
            </w:pPr>
            <w:r>
              <w:rPr>
                <w:b/>
                <w:bCs/>
                <w:color w:val="auto"/>
                <w:sz w:val="21"/>
                <w:szCs w:val="21"/>
              </w:rPr>
              <w:t>（单位）</w:t>
            </w:r>
          </w:p>
        </w:tc>
        <w:tc>
          <w:tcPr>
            <w:tcW w:w="1219" w:type="dxa"/>
            <w:tcBorders>
              <w:tl2br w:val="nil"/>
              <w:tr2bl w:val="nil"/>
            </w:tcBorders>
            <w:noWrap w:val="0"/>
            <w:vAlign w:val="center"/>
          </w:tcPr>
          <w:p>
            <w:pPr>
              <w:spacing w:line="240" w:lineRule="auto"/>
              <w:jc w:val="center"/>
              <w:rPr>
                <w:b/>
                <w:bCs/>
                <w:color w:val="auto"/>
                <w:sz w:val="21"/>
                <w:szCs w:val="21"/>
              </w:rPr>
            </w:pPr>
            <w:r>
              <w:rPr>
                <w:b/>
                <w:bCs/>
                <w:color w:val="auto"/>
                <w:sz w:val="21"/>
                <w:szCs w:val="21"/>
              </w:rPr>
              <w:t>排放量</w:t>
            </w:r>
          </w:p>
          <w:p>
            <w:pPr>
              <w:spacing w:line="240" w:lineRule="auto"/>
              <w:jc w:val="center"/>
              <w:rPr>
                <w:b/>
                <w:bCs/>
                <w:color w:val="auto"/>
                <w:sz w:val="21"/>
                <w:szCs w:val="21"/>
              </w:rPr>
            </w:pPr>
            <w:r>
              <w:rPr>
                <w:b/>
                <w:bCs/>
                <w:color w:val="auto"/>
                <w:sz w:val="21"/>
                <w:szCs w:val="21"/>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restart"/>
            <w:tcBorders>
              <w:tl2br w:val="nil"/>
              <w:tr2bl w:val="nil"/>
            </w:tcBorders>
            <w:noWrap w:val="0"/>
            <w:vAlign w:val="center"/>
          </w:tcPr>
          <w:p>
            <w:pPr>
              <w:spacing w:line="300" w:lineRule="exact"/>
              <w:jc w:val="center"/>
              <w:rPr>
                <w:b/>
                <w:bCs/>
                <w:color w:val="auto"/>
                <w:sz w:val="21"/>
                <w:szCs w:val="21"/>
              </w:rPr>
            </w:pPr>
            <w:r>
              <w:rPr>
                <w:b/>
                <w:bCs/>
                <w:color w:val="auto"/>
                <w:sz w:val="21"/>
                <w:szCs w:val="21"/>
              </w:rPr>
              <w:t>水</w:t>
            </w:r>
          </w:p>
          <w:p>
            <w:pPr>
              <w:spacing w:line="300" w:lineRule="exact"/>
              <w:jc w:val="center"/>
              <w:rPr>
                <w:b/>
                <w:bCs/>
                <w:color w:val="auto"/>
                <w:sz w:val="21"/>
                <w:szCs w:val="21"/>
              </w:rPr>
            </w:pPr>
            <w:r>
              <w:rPr>
                <w:b/>
                <w:bCs/>
                <w:color w:val="auto"/>
                <w:sz w:val="21"/>
                <w:szCs w:val="21"/>
              </w:rPr>
              <w:t>污</w:t>
            </w:r>
          </w:p>
          <w:p>
            <w:pPr>
              <w:spacing w:line="300" w:lineRule="exact"/>
              <w:jc w:val="center"/>
              <w:rPr>
                <w:b/>
                <w:bCs/>
                <w:color w:val="auto"/>
                <w:sz w:val="21"/>
                <w:szCs w:val="21"/>
              </w:rPr>
            </w:pPr>
            <w:r>
              <w:rPr>
                <w:b/>
                <w:bCs/>
                <w:color w:val="auto"/>
                <w:sz w:val="21"/>
                <w:szCs w:val="21"/>
              </w:rPr>
              <w:t>染</w:t>
            </w:r>
          </w:p>
          <w:p>
            <w:pPr>
              <w:spacing w:line="300" w:lineRule="exact"/>
              <w:jc w:val="center"/>
              <w:rPr>
                <w:b/>
                <w:bCs/>
                <w:color w:val="auto"/>
                <w:sz w:val="21"/>
                <w:szCs w:val="21"/>
              </w:rPr>
            </w:pPr>
            <w:r>
              <w:rPr>
                <w:b/>
                <w:bCs/>
                <w:color w:val="auto"/>
                <w:sz w:val="21"/>
                <w:szCs w:val="21"/>
              </w:rPr>
              <w:t>物</w:t>
            </w:r>
          </w:p>
        </w:tc>
        <w:tc>
          <w:tcPr>
            <w:tcW w:w="1105" w:type="dxa"/>
            <w:gridSpan w:val="2"/>
            <w:vMerge w:val="restart"/>
            <w:tcBorders>
              <w:tl2br w:val="nil"/>
              <w:tr2bl w:val="nil"/>
            </w:tcBorders>
            <w:noWrap w:val="0"/>
            <w:vAlign w:val="center"/>
          </w:tcPr>
          <w:p>
            <w:pPr>
              <w:jc w:val="center"/>
              <w:rPr>
                <w:color w:val="auto"/>
                <w:sz w:val="21"/>
                <w:szCs w:val="21"/>
                <w:highlight w:val="yellow"/>
              </w:rPr>
            </w:pPr>
            <w:r>
              <w:rPr>
                <w:color w:val="auto"/>
                <w:sz w:val="21"/>
                <w:szCs w:val="21"/>
              </w:rPr>
              <w:t>生活污水</w:t>
            </w:r>
          </w:p>
        </w:tc>
        <w:tc>
          <w:tcPr>
            <w:tcW w:w="1944"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水量</w:t>
            </w:r>
          </w:p>
        </w:tc>
        <w:tc>
          <w:tcPr>
            <w:tcW w:w="2603" w:type="dxa"/>
            <w:gridSpan w:val="2"/>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eastAsia" w:cs="Times New Roman"/>
                <w:color w:val="auto"/>
                <w:sz w:val="21"/>
                <w:szCs w:val="21"/>
                <w:lang w:val="en-US" w:eastAsia="zh-CN"/>
              </w:rPr>
              <w:t>15.2</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/a</w:t>
            </w:r>
          </w:p>
        </w:tc>
        <w:tc>
          <w:tcPr>
            <w:tcW w:w="2696" w:type="dxa"/>
            <w:gridSpan w:val="2"/>
            <w:vMerge w:val="restart"/>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0t/a</w:t>
            </w:r>
          </w:p>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（化粪池处理后，定期清运不外排）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300" w:lineRule="exact"/>
              <w:jc w:val="center"/>
              <w:rPr>
                <w:b/>
                <w:bCs/>
                <w:color w:val="auto"/>
                <w:sz w:val="21"/>
                <w:szCs w:val="21"/>
              </w:rPr>
            </w:pPr>
          </w:p>
        </w:tc>
        <w:tc>
          <w:tcPr>
            <w:tcW w:w="1105" w:type="dxa"/>
            <w:gridSpan w:val="2"/>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1475"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300</w:t>
            </w:r>
            <w:r>
              <w:rPr>
                <w:rFonts w:hint="default" w:ascii="Times New Roman" w:hAnsi="Times New Roman" w:cs="Times New Roman"/>
                <w:color w:val="auto"/>
                <w:sz w:val="21"/>
                <w:szCs w:val="21"/>
              </w:rPr>
              <w:t>mg/L</w:t>
            </w:r>
          </w:p>
        </w:tc>
        <w:tc>
          <w:tcPr>
            <w:tcW w:w="1128"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346</w:t>
            </w:r>
            <w:r>
              <w:rPr>
                <w:rFonts w:hint="default" w:ascii="Times New Roman" w:hAnsi="Times New Roman" w:cs="Times New Roman"/>
                <w:color w:val="auto"/>
                <w:sz w:val="21"/>
                <w:szCs w:val="21"/>
              </w:rPr>
              <w:t>t/a</w:t>
            </w:r>
          </w:p>
        </w:tc>
        <w:tc>
          <w:tcPr>
            <w:tcW w:w="2696" w:type="dxa"/>
            <w:gridSpan w:val="2"/>
            <w:vMerge w:val="continue"/>
            <w:tcBorders>
              <w:tl2br w:val="nil"/>
              <w:tr2bl w:val="nil"/>
            </w:tcBorders>
            <w:noWrap w:val="0"/>
            <w:vAlign w:val="center"/>
          </w:tcPr>
          <w:p>
            <w:pPr>
              <w:snapToGrid w:val="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300" w:lineRule="exact"/>
              <w:jc w:val="center"/>
              <w:rPr>
                <w:b/>
                <w:bCs/>
                <w:color w:val="auto"/>
                <w:sz w:val="21"/>
                <w:szCs w:val="21"/>
              </w:rPr>
            </w:pPr>
          </w:p>
        </w:tc>
        <w:tc>
          <w:tcPr>
            <w:tcW w:w="1105" w:type="dxa"/>
            <w:gridSpan w:val="2"/>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1475"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r>
              <w:rPr>
                <w:rFonts w:hint="default" w:ascii="Times New Roman" w:hAnsi="Times New Roman" w:cs="Times New Roman"/>
                <w:color w:val="auto"/>
                <w:sz w:val="21"/>
                <w:szCs w:val="21"/>
                <w:lang w:val="en-US" w:eastAsia="zh-CN"/>
              </w:rPr>
              <w:t>00</w:t>
            </w:r>
            <w:r>
              <w:rPr>
                <w:rFonts w:hint="default" w:ascii="Times New Roman" w:hAnsi="Times New Roman" w:cs="Times New Roman"/>
                <w:color w:val="auto"/>
                <w:sz w:val="21"/>
                <w:szCs w:val="21"/>
              </w:rPr>
              <w:t>mg/L</w:t>
            </w:r>
          </w:p>
        </w:tc>
        <w:tc>
          <w:tcPr>
            <w:tcW w:w="1128"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230</w:t>
            </w:r>
            <w:r>
              <w:rPr>
                <w:rFonts w:hint="default" w:ascii="Times New Roman" w:hAnsi="Times New Roman" w:cs="Times New Roman"/>
                <w:color w:val="auto"/>
                <w:sz w:val="21"/>
                <w:szCs w:val="21"/>
              </w:rPr>
              <w:t>t/a</w:t>
            </w:r>
          </w:p>
        </w:tc>
        <w:tc>
          <w:tcPr>
            <w:tcW w:w="2696" w:type="dxa"/>
            <w:gridSpan w:val="2"/>
            <w:vMerge w:val="continue"/>
            <w:tcBorders>
              <w:tl2br w:val="nil"/>
              <w:tr2bl w:val="nil"/>
            </w:tcBorders>
            <w:noWrap w:val="0"/>
            <w:vAlign w:val="center"/>
          </w:tcPr>
          <w:p>
            <w:pPr>
              <w:snapToGrid w:val="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300" w:lineRule="exact"/>
              <w:jc w:val="center"/>
              <w:rPr>
                <w:b/>
                <w:bCs/>
                <w:color w:val="auto"/>
                <w:sz w:val="21"/>
                <w:szCs w:val="21"/>
              </w:rPr>
            </w:pPr>
          </w:p>
        </w:tc>
        <w:tc>
          <w:tcPr>
            <w:tcW w:w="1105" w:type="dxa"/>
            <w:gridSpan w:val="2"/>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1475"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25</w:t>
            </w:r>
            <w:r>
              <w:rPr>
                <w:rFonts w:hint="default" w:ascii="Times New Roman" w:hAnsi="Times New Roman" w:cs="Times New Roman"/>
                <w:color w:val="auto"/>
                <w:sz w:val="21"/>
                <w:szCs w:val="21"/>
              </w:rPr>
              <w:t>mg/L</w:t>
            </w:r>
          </w:p>
        </w:tc>
        <w:tc>
          <w:tcPr>
            <w:tcW w:w="1128" w:type="dxa"/>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29</w:t>
            </w:r>
            <w:r>
              <w:rPr>
                <w:rFonts w:hint="default" w:ascii="Times New Roman" w:hAnsi="Times New Roman" w:cs="Times New Roman"/>
                <w:color w:val="auto"/>
                <w:sz w:val="21"/>
                <w:szCs w:val="21"/>
              </w:rPr>
              <w:t>t/a</w:t>
            </w:r>
          </w:p>
        </w:tc>
        <w:tc>
          <w:tcPr>
            <w:tcW w:w="2696" w:type="dxa"/>
            <w:gridSpan w:val="2"/>
            <w:vMerge w:val="continue"/>
            <w:tcBorders>
              <w:tl2br w:val="nil"/>
              <w:tr2bl w:val="nil"/>
            </w:tcBorders>
            <w:noWrap w:val="0"/>
            <w:vAlign w:val="center"/>
          </w:tcPr>
          <w:p>
            <w:pPr>
              <w:snapToGrid w:val="0"/>
              <w:jc w:val="center"/>
              <w:rPr>
                <w:rFonts w:hint="default" w:ascii="Times New Roman" w:hAnsi="Times New Roman" w:eastAsia="宋体" w:cs="Times New Roman"/>
                <w:color w:val="auto"/>
                <w:sz w:val="21"/>
                <w:szCs w:val="21"/>
                <w:highlight w:val="green"/>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300" w:lineRule="exact"/>
              <w:jc w:val="center"/>
              <w:rPr>
                <w:b/>
                <w:bCs/>
                <w:color w:val="auto"/>
                <w:sz w:val="21"/>
                <w:szCs w:val="21"/>
              </w:rPr>
            </w:pPr>
          </w:p>
        </w:tc>
        <w:tc>
          <w:tcPr>
            <w:tcW w:w="1105" w:type="dxa"/>
            <w:gridSpan w:val="2"/>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1475" w:type="dxa"/>
            <w:tcBorders>
              <w:tl2br w:val="nil"/>
              <w:tr2bl w:val="nil"/>
            </w:tcBorders>
            <w:noWrap w:val="0"/>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Cs w:val="21"/>
                <w:highlight w:val="none"/>
                <w:lang w:val="en-US" w:eastAsia="zh-CN"/>
              </w:rPr>
              <w:t>150</w:t>
            </w:r>
            <w:r>
              <w:rPr>
                <w:rFonts w:hint="default" w:ascii="Times New Roman" w:hAnsi="Times New Roman" w:cs="Times New Roman"/>
                <w:color w:val="auto"/>
                <w:szCs w:val="21"/>
                <w:highlight w:val="none"/>
              </w:rPr>
              <w:t>mg/L</w:t>
            </w:r>
          </w:p>
        </w:tc>
        <w:tc>
          <w:tcPr>
            <w:tcW w:w="1128" w:type="dxa"/>
            <w:tcBorders>
              <w:tl2br w:val="nil"/>
              <w:tr2bl w:val="nil"/>
            </w:tcBorders>
            <w:noWrap w:val="0"/>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173</w:t>
            </w:r>
            <w:r>
              <w:rPr>
                <w:rFonts w:hint="default" w:ascii="Times New Roman" w:hAnsi="Times New Roman" w:cs="Times New Roman"/>
                <w:color w:val="auto"/>
                <w:sz w:val="21"/>
                <w:szCs w:val="21"/>
              </w:rPr>
              <w:t>t/a</w:t>
            </w:r>
          </w:p>
        </w:tc>
        <w:tc>
          <w:tcPr>
            <w:tcW w:w="2696" w:type="dxa"/>
            <w:gridSpan w:val="2"/>
            <w:vMerge w:val="continue"/>
            <w:tcBorders>
              <w:tl2br w:val="nil"/>
              <w:tr2bl w:val="nil"/>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300" w:lineRule="exact"/>
              <w:jc w:val="center"/>
              <w:rPr>
                <w:b/>
                <w:bCs/>
                <w:color w:val="auto"/>
                <w:sz w:val="21"/>
                <w:szCs w:val="21"/>
              </w:rPr>
            </w:pPr>
          </w:p>
        </w:tc>
        <w:tc>
          <w:tcPr>
            <w:tcW w:w="1105" w:type="dxa"/>
            <w:gridSpan w:val="2"/>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TP</w:t>
            </w:r>
          </w:p>
        </w:tc>
        <w:tc>
          <w:tcPr>
            <w:tcW w:w="1475" w:type="dxa"/>
            <w:tcBorders>
              <w:tl2br w:val="nil"/>
              <w:tr2bl w:val="nil"/>
            </w:tcBorders>
            <w:noWrap w:val="0"/>
            <w:vAlign w:val="center"/>
          </w:tcPr>
          <w:p>
            <w:pPr>
              <w:snapToGrid w:val="0"/>
              <w:jc w:val="center"/>
              <w:rPr>
                <w:rFonts w:hint="eastAsia"/>
                <w:color w:val="auto"/>
                <w:sz w:val="21"/>
                <w:szCs w:val="21"/>
                <w:lang w:val="en-US" w:eastAsia="zh-CN"/>
              </w:rPr>
            </w:pP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mg/L</w:t>
            </w:r>
          </w:p>
        </w:tc>
        <w:tc>
          <w:tcPr>
            <w:tcW w:w="1128" w:type="dxa"/>
            <w:tcBorders>
              <w:tl2br w:val="nil"/>
              <w:tr2bl w:val="nil"/>
            </w:tcBorders>
            <w:noWrap w:val="0"/>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w:t>
            </w:r>
            <w:r>
              <w:rPr>
                <w:rFonts w:hint="eastAsia" w:cs="Times New Roman"/>
                <w:color w:val="auto"/>
                <w:sz w:val="21"/>
                <w:szCs w:val="21"/>
                <w:lang w:val="en-US" w:eastAsia="zh-CN"/>
              </w:rPr>
              <w:t>5</w:t>
            </w:r>
            <w:r>
              <w:rPr>
                <w:rFonts w:hint="default" w:ascii="Times New Roman" w:hAnsi="Times New Roman" w:cs="Times New Roman"/>
                <w:color w:val="auto"/>
                <w:sz w:val="21"/>
                <w:szCs w:val="21"/>
              </w:rPr>
              <w:t>t/a</w:t>
            </w:r>
          </w:p>
        </w:tc>
        <w:tc>
          <w:tcPr>
            <w:tcW w:w="2696" w:type="dxa"/>
            <w:gridSpan w:val="2"/>
            <w:vMerge w:val="continue"/>
            <w:tcBorders>
              <w:tl2br w:val="nil"/>
              <w:tr2bl w:val="nil"/>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restart"/>
            <w:tcBorders>
              <w:tl2br w:val="nil"/>
              <w:tr2bl w:val="nil"/>
            </w:tcBorders>
            <w:noWrap w:val="0"/>
            <w:vAlign w:val="center"/>
          </w:tcPr>
          <w:p>
            <w:pPr>
              <w:spacing w:line="400" w:lineRule="exact"/>
              <w:jc w:val="center"/>
              <w:rPr>
                <w:rFonts w:hint="eastAsia"/>
                <w:b/>
                <w:bCs/>
                <w:color w:val="auto"/>
                <w:sz w:val="21"/>
                <w:szCs w:val="21"/>
                <w:lang w:eastAsia="zh-CN"/>
              </w:rPr>
            </w:pPr>
            <w:r>
              <w:rPr>
                <w:rFonts w:hint="eastAsia"/>
                <w:b/>
                <w:bCs/>
                <w:color w:val="auto"/>
                <w:sz w:val="21"/>
                <w:szCs w:val="21"/>
                <w:lang w:eastAsia="zh-CN"/>
              </w:rPr>
              <w:t>固</w:t>
            </w:r>
          </w:p>
          <w:p>
            <w:pPr>
              <w:spacing w:line="400" w:lineRule="exact"/>
              <w:jc w:val="center"/>
              <w:rPr>
                <w:b/>
                <w:bCs/>
                <w:color w:val="auto"/>
                <w:sz w:val="21"/>
                <w:szCs w:val="21"/>
              </w:rPr>
            </w:pPr>
            <w:r>
              <w:rPr>
                <w:rFonts w:hint="eastAsia"/>
                <w:b/>
                <w:bCs/>
                <w:color w:val="auto"/>
                <w:sz w:val="21"/>
                <w:szCs w:val="21"/>
                <w:lang w:eastAsia="zh-CN"/>
              </w:rPr>
              <w:t>废</w:t>
            </w:r>
          </w:p>
        </w:tc>
        <w:tc>
          <w:tcPr>
            <w:tcW w:w="409" w:type="dxa"/>
            <w:vMerge w:val="restart"/>
            <w:tcBorders>
              <w:tl2br w:val="nil"/>
              <w:tr2bl w:val="nil"/>
            </w:tcBorders>
            <w:noWrap w:val="0"/>
            <w:vAlign w:val="center"/>
          </w:tcPr>
          <w:p>
            <w:pPr>
              <w:jc w:val="center"/>
              <w:rPr>
                <w:rFonts w:hint="eastAsia" w:eastAsia="宋体"/>
                <w:color w:val="auto"/>
                <w:sz w:val="21"/>
                <w:szCs w:val="21"/>
                <w:lang w:eastAsia="zh-CN"/>
              </w:rPr>
            </w:pPr>
            <w:r>
              <w:rPr>
                <w:rFonts w:hint="eastAsia"/>
                <w:color w:val="auto"/>
                <w:sz w:val="21"/>
                <w:szCs w:val="21"/>
                <w:lang w:eastAsia="zh-CN"/>
              </w:rPr>
              <w:t>一般固废</w:t>
            </w:r>
          </w:p>
        </w:tc>
        <w:tc>
          <w:tcPr>
            <w:tcW w:w="696" w:type="dxa"/>
            <w:tcBorders>
              <w:tl2br w:val="nil"/>
              <w:tr2bl w:val="nil"/>
            </w:tcBorders>
            <w:noWrap w:val="0"/>
            <w:vAlign w:val="center"/>
          </w:tcPr>
          <w:p>
            <w:pPr>
              <w:jc w:val="center"/>
              <w:rPr>
                <w:rFonts w:hint="eastAsia"/>
                <w:color w:val="auto"/>
                <w:sz w:val="21"/>
                <w:szCs w:val="21"/>
                <w:lang w:val="en-US" w:eastAsia="zh-CN"/>
              </w:rPr>
            </w:pPr>
            <w:r>
              <w:rPr>
                <w:rFonts w:hint="eastAsia"/>
                <w:color w:val="auto"/>
                <w:sz w:val="21"/>
                <w:szCs w:val="21"/>
                <w:lang w:val="en-US" w:eastAsia="zh-CN"/>
              </w:rPr>
              <w:t>生产工序</w:t>
            </w:r>
          </w:p>
        </w:tc>
        <w:tc>
          <w:tcPr>
            <w:tcW w:w="1944" w:type="dxa"/>
            <w:tcBorders>
              <w:tl2br w:val="nil"/>
              <w:tr2bl w:val="nil"/>
            </w:tcBorders>
            <w:noWrap w:val="0"/>
            <w:vAlign w:val="center"/>
          </w:tcPr>
          <w:p>
            <w:pPr>
              <w:pStyle w:val="20"/>
              <w:adjustRightInd w:val="0"/>
              <w:snapToGrid w:val="0"/>
              <w:spacing w:line="240" w:lineRule="auto"/>
              <w:jc w:val="center"/>
              <w:rPr>
                <w:rFonts w:hint="eastAsia" w:eastAsia="宋体"/>
                <w:color w:val="auto"/>
                <w:sz w:val="21"/>
                <w:szCs w:val="21"/>
                <w:lang w:eastAsia="zh-CN"/>
              </w:rPr>
            </w:pPr>
            <w:r>
              <w:rPr>
                <w:rFonts w:hint="eastAsia"/>
                <w:color w:val="auto"/>
                <w:sz w:val="21"/>
                <w:szCs w:val="21"/>
                <w:lang w:eastAsia="zh-CN"/>
              </w:rPr>
              <w:t>金属边角料</w:t>
            </w:r>
          </w:p>
        </w:tc>
        <w:tc>
          <w:tcPr>
            <w:tcW w:w="2603" w:type="dxa"/>
            <w:gridSpan w:val="2"/>
            <w:tcBorders>
              <w:tl2br w:val="nil"/>
              <w:tr2bl w:val="nil"/>
            </w:tcBorders>
            <w:noWrap w:val="0"/>
            <w:vAlign w:val="center"/>
          </w:tcPr>
          <w:p>
            <w:pPr>
              <w:snapToGrid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6t/a</w:t>
            </w:r>
          </w:p>
        </w:tc>
        <w:tc>
          <w:tcPr>
            <w:tcW w:w="269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0t/a</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厂内固废暂存间暂存后，统一外售</w:t>
            </w:r>
            <w:r>
              <w:rPr>
                <w:rFonts w:hint="default" w:ascii="Times New Roman" w:hAnsi="Times New Roman"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400" w:lineRule="exact"/>
              <w:jc w:val="center"/>
              <w:rPr>
                <w:b/>
                <w:bCs/>
                <w:color w:val="auto"/>
                <w:sz w:val="21"/>
                <w:szCs w:val="21"/>
              </w:rPr>
            </w:pPr>
          </w:p>
        </w:tc>
        <w:tc>
          <w:tcPr>
            <w:tcW w:w="409" w:type="dxa"/>
            <w:vMerge w:val="continue"/>
            <w:tcBorders>
              <w:tl2br w:val="nil"/>
              <w:tr2bl w:val="nil"/>
            </w:tcBorders>
            <w:noWrap w:val="0"/>
            <w:vAlign w:val="center"/>
          </w:tcPr>
          <w:p>
            <w:pPr>
              <w:jc w:val="center"/>
              <w:rPr>
                <w:color w:val="auto"/>
                <w:sz w:val="21"/>
                <w:szCs w:val="21"/>
              </w:rPr>
            </w:pPr>
          </w:p>
        </w:tc>
        <w:tc>
          <w:tcPr>
            <w:tcW w:w="696" w:type="dxa"/>
            <w:tcBorders>
              <w:tl2br w:val="nil"/>
              <w:tr2bl w:val="nil"/>
            </w:tcBorders>
            <w:noWrap w:val="0"/>
            <w:vAlign w:val="center"/>
          </w:tcPr>
          <w:p>
            <w:pPr>
              <w:jc w:val="center"/>
              <w:rPr>
                <w:color w:val="auto"/>
                <w:sz w:val="21"/>
                <w:szCs w:val="21"/>
              </w:rPr>
            </w:pPr>
            <w:r>
              <w:rPr>
                <w:color w:val="auto"/>
                <w:sz w:val="21"/>
                <w:szCs w:val="21"/>
              </w:rPr>
              <w:t>生活垃圾</w:t>
            </w:r>
          </w:p>
        </w:tc>
        <w:tc>
          <w:tcPr>
            <w:tcW w:w="1944" w:type="dxa"/>
            <w:tcBorders>
              <w:tl2br w:val="nil"/>
              <w:tr2bl w:val="nil"/>
            </w:tcBorders>
            <w:noWrap w:val="0"/>
            <w:vAlign w:val="center"/>
          </w:tcPr>
          <w:p>
            <w:pPr>
              <w:pStyle w:val="20"/>
              <w:adjustRightInd w:val="0"/>
              <w:snapToGrid w:val="0"/>
              <w:spacing w:line="240" w:lineRule="auto"/>
              <w:jc w:val="center"/>
              <w:rPr>
                <w:color w:val="auto"/>
                <w:sz w:val="21"/>
                <w:szCs w:val="21"/>
              </w:rPr>
            </w:pPr>
            <w:r>
              <w:rPr>
                <w:rFonts w:hint="default" w:ascii="Times New Roman" w:hAnsi="Times New Roman" w:cs="Times New Roman"/>
                <w:bCs/>
                <w:color w:val="auto"/>
                <w:sz w:val="21"/>
                <w:szCs w:val="21"/>
                <w:lang w:eastAsia="zh-CN"/>
              </w:rPr>
              <w:t>生活垃圾</w:t>
            </w:r>
          </w:p>
        </w:tc>
        <w:tc>
          <w:tcPr>
            <w:tcW w:w="2603" w:type="dxa"/>
            <w:gridSpan w:val="2"/>
            <w:tcBorders>
              <w:tl2br w:val="nil"/>
              <w:tr2bl w:val="nil"/>
            </w:tcBorders>
            <w:noWrap w:val="0"/>
            <w:vAlign w:val="center"/>
          </w:tcPr>
          <w:p>
            <w:pPr>
              <w:snapToGrid w:val="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2.4</w:t>
            </w:r>
            <w:r>
              <w:rPr>
                <w:rFonts w:hint="default" w:ascii="Times New Roman" w:hAnsi="Times New Roman" w:cs="Times New Roman"/>
                <w:color w:val="auto"/>
                <w:sz w:val="21"/>
                <w:szCs w:val="21"/>
              </w:rPr>
              <w:t>t/a</w:t>
            </w:r>
          </w:p>
        </w:tc>
        <w:tc>
          <w:tcPr>
            <w:tcW w:w="2696" w:type="dxa"/>
            <w:gridSpan w:val="2"/>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0t/a</w:t>
            </w:r>
          </w:p>
          <w:p>
            <w:pPr>
              <w:jc w:val="center"/>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u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75" w:hRule="atLeast"/>
          <w:jc w:val="center"/>
        </w:trPr>
        <w:tc>
          <w:tcPr>
            <w:tcW w:w="752" w:type="dxa"/>
            <w:vMerge w:val="continue"/>
            <w:tcBorders>
              <w:tl2br w:val="nil"/>
              <w:tr2bl w:val="nil"/>
            </w:tcBorders>
            <w:noWrap w:val="0"/>
            <w:vAlign w:val="center"/>
          </w:tcPr>
          <w:p>
            <w:pPr>
              <w:spacing w:line="400" w:lineRule="exact"/>
              <w:jc w:val="center"/>
              <w:rPr>
                <w:b/>
                <w:bCs/>
                <w:color w:val="auto"/>
                <w:sz w:val="21"/>
                <w:szCs w:val="21"/>
              </w:rPr>
            </w:pPr>
          </w:p>
        </w:tc>
        <w:tc>
          <w:tcPr>
            <w:tcW w:w="409" w:type="dxa"/>
            <w:vMerge w:val="restart"/>
            <w:tcBorders>
              <w:tl2br w:val="nil"/>
              <w:tr2bl w:val="nil"/>
            </w:tcBorders>
            <w:noWrap w:val="0"/>
            <w:vAlign w:val="center"/>
          </w:tcPr>
          <w:p>
            <w:pPr>
              <w:jc w:val="center"/>
              <w:rPr>
                <w:rFonts w:hint="eastAsia" w:eastAsia="宋体"/>
                <w:color w:val="auto"/>
                <w:sz w:val="21"/>
                <w:szCs w:val="21"/>
                <w:lang w:eastAsia="zh-CN"/>
              </w:rPr>
            </w:pPr>
            <w:r>
              <w:rPr>
                <w:rFonts w:hint="eastAsia"/>
                <w:color w:val="auto"/>
                <w:sz w:val="21"/>
                <w:szCs w:val="21"/>
                <w:lang w:eastAsia="zh-CN"/>
              </w:rPr>
              <w:t>危险废物</w:t>
            </w:r>
          </w:p>
        </w:tc>
        <w:tc>
          <w:tcPr>
            <w:tcW w:w="696" w:type="dxa"/>
            <w:vMerge w:val="restart"/>
            <w:tcBorders>
              <w:tl2br w:val="nil"/>
              <w:tr2bl w:val="nil"/>
            </w:tcBorders>
            <w:noWrap w:val="0"/>
            <w:vAlign w:val="center"/>
          </w:tcPr>
          <w:p>
            <w:pPr>
              <w:jc w:val="center"/>
              <w:rPr>
                <w:rFonts w:hint="eastAsia" w:eastAsia="宋体"/>
                <w:color w:val="auto"/>
                <w:sz w:val="21"/>
                <w:szCs w:val="21"/>
                <w:lang w:eastAsia="zh-CN"/>
              </w:rPr>
            </w:pPr>
            <w:r>
              <w:rPr>
                <w:rFonts w:hint="eastAsia"/>
                <w:color w:val="auto"/>
                <w:sz w:val="21"/>
                <w:szCs w:val="21"/>
                <w:lang w:eastAsia="zh-CN"/>
              </w:rPr>
              <w:t>设备维护</w:t>
            </w:r>
          </w:p>
        </w:tc>
        <w:tc>
          <w:tcPr>
            <w:tcW w:w="1944" w:type="dxa"/>
            <w:tcBorders>
              <w:tl2br w:val="nil"/>
              <w:tr2bl w:val="nil"/>
            </w:tcBorders>
            <w:noWrap w:val="0"/>
            <w:vAlign w:val="center"/>
          </w:tcPr>
          <w:p>
            <w:pPr>
              <w:jc w:val="center"/>
              <w:rPr>
                <w:rFonts w:hint="default" w:ascii="Times New Roman" w:hAnsi="Times New Roman" w:cs="Times New Roman"/>
                <w:b w:val="0"/>
                <w:bCs w:val="0"/>
                <w:color w:val="auto"/>
                <w:sz w:val="21"/>
                <w:szCs w:val="21"/>
                <w:u w:val="none"/>
                <w:lang w:eastAsia="zh-CN"/>
              </w:rPr>
            </w:pPr>
            <w:r>
              <w:rPr>
                <w:rFonts w:hint="eastAsia"/>
                <w:b w:val="0"/>
                <w:bCs w:val="0"/>
                <w:color w:val="auto"/>
                <w:u w:val="none"/>
                <w:lang w:eastAsia="zh-CN"/>
              </w:rPr>
              <w:t>含油废抹布</w:t>
            </w:r>
          </w:p>
        </w:tc>
        <w:tc>
          <w:tcPr>
            <w:tcW w:w="2603" w:type="dxa"/>
            <w:gridSpan w:val="2"/>
            <w:tcBorders>
              <w:tl2br w:val="nil"/>
              <w:tr2bl w:val="nil"/>
            </w:tcBorders>
            <w:noWrap w:val="0"/>
            <w:vAlign w:val="center"/>
          </w:tcPr>
          <w:p>
            <w:pPr>
              <w:snapToGrid w:val="0"/>
              <w:jc w:val="center"/>
              <w:rPr>
                <w:rFonts w:hint="eastAsia"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highlight w:val="none"/>
                <w:u w:val="none"/>
                <w:lang w:val="en-US" w:eastAsia="zh-CN"/>
              </w:rPr>
              <w:t>0.0</w:t>
            </w:r>
            <w:r>
              <w:rPr>
                <w:rFonts w:hint="eastAsia" w:cs="Times New Roman"/>
                <w:b w:val="0"/>
                <w:bCs w:val="0"/>
                <w:color w:val="auto"/>
                <w:highlight w:val="none"/>
                <w:u w:val="none"/>
                <w:lang w:val="en-US" w:eastAsia="zh-CN"/>
              </w:rPr>
              <w:t>5</w:t>
            </w:r>
            <w:r>
              <w:rPr>
                <w:rFonts w:hint="default" w:ascii="Times New Roman" w:hAnsi="Times New Roman" w:cs="Times New Roman"/>
                <w:b w:val="0"/>
                <w:bCs w:val="0"/>
                <w:color w:val="auto"/>
                <w:highlight w:val="none"/>
                <w:u w:val="none"/>
              </w:rPr>
              <w:t>t/a</w:t>
            </w:r>
          </w:p>
        </w:tc>
        <w:tc>
          <w:tcPr>
            <w:tcW w:w="2696" w:type="dxa"/>
            <w:gridSpan w:val="2"/>
            <w:vMerge w:val="continue"/>
            <w:tcBorders>
              <w:tl2br w:val="nil"/>
              <w:tr2bl w:val="nil"/>
            </w:tcBorders>
            <w:noWrap w:val="0"/>
            <w:vAlign w:val="center"/>
          </w:tcPr>
          <w:p>
            <w:pPr>
              <w:jc w:val="center"/>
              <w:rPr>
                <w:rFonts w:hint="default" w:ascii="Times New Roman" w:hAnsi="Times New Roman" w:cs="Times New Roman"/>
                <w:b w:val="0"/>
                <w:bCs w:val="0"/>
                <w:color w:val="auto"/>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vMerge w:val="continue"/>
            <w:tcBorders>
              <w:tl2br w:val="nil"/>
              <w:tr2bl w:val="nil"/>
            </w:tcBorders>
            <w:noWrap w:val="0"/>
            <w:vAlign w:val="center"/>
          </w:tcPr>
          <w:p>
            <w:pPr>
              <w:spacing w:line="400" w:lineRule="exact"/>
              <w:jc w:val="center"/>
              <w:rPr>
                <w:b/>
                <w:bCs/>
                <w:color w:val="auto"/>
                <w:sz w:val="21"/>
                <w:szCs w:val="21"/>
              </w:rPr>
            </w:pPr>
          </w:p>
        </w:tc>
        <w:tc>
          <w:tcPr>
            <w:tcW w:w="409" w:type="dxa"/>
            <w:vMerge w:val="continue"/>
            <w:tcBorders>
              <w:tl2br w:val="nil"/>
              <w:tr2bl w:val="nil"/>
            </w:tcBorders>
            <w:noWrap w:val="0"/>
            <w:vAlign w:val="center"/>
          </w:tcPr>
          <w:p>
            <w:pPr>
              <w:jc w:val="center"/>
              <w:rPr>
                <w:color w:val="auto"/>
                <w:sz w:val="21"/>
                <w:szCs w:val="21"/>
              </w:rPr>
            </w:pPr>
          </w:p>
        </w:tc>
        <w:tc>
          <w:tcPr>
            <w:tcW w:w="696" w:type="dxa"/>
            <w:vMerge w:val="continue"/>
            <w:tcBorders>
              <w:tl2br w:val="nil"/>
              <w:tr2bl w:val="nil"/>
            </w:tcBorders>
            <w:noWrap w:val="0"/>
            <w:vAlign w:val="center"/>
          </w:tcPr>
          <w:p>
            <w:pPr>
              <w:jc w:val="center"/>
              <w:rPr>
                <w:color w:val="auto"/>
                <w:sz w:val="21"/>
                <w:szCs w:val="21"/>
              </w:rPr>
            </w:pPr>
          </w:p>
        </w:tc>
        <w:tc>
          <w:tcPr>
            <w:tcW w:w="1944" w:type="dxa"/>
            <w:tcBorders>
              <w:tl2br w:val="nil"/>
              <w:tr2bl w:val="nil"/>
            </w:tcBorders>
            <w:noWrap w:val="0"/>
            <w:vAlign w:val="center"/>
          </w:tcPr>
          <w:p>
            <w:pPr>
              <w:jc w:val="center"/>
              <w:rPr>
                <w:rFonts w:hint="default" w:ascii="Times New Roman" w:hAnsi="Times New Roman" w:cs="Times New Roman"/>
                <w:b w:val="0"/>
                <w:bCs w:val="0"/>
                <w:color w:val="auto"/>
                <w:sz w:val="21"/>
                <w:szCs w:val="21"/>
                <w:u w:val="none"/>
                <w:lang w:eastAsia="zh-CN"/>
              </w:rPr>
            </w:pPr>
            <w:r>
              <w:rPr>
                <w:rFonts w:hint="eastAsia"/>
                <w:b w:val="0"/>
                <w:bCs w:val="0"/>
                <w:color w:val="auto"/>
                <w:u w:val="none"/>
                <w:lang w:eastAsia="zh-CN"/>
              </w:rPr>
              <w:t>废润滑油</w:t>
            </w:r>
          </w:p>
        </w:tc>
        <w:tc>
          <w:tcPr>
            <w:tcW w:w="2603" w:type="dxa"/>
            <w:gridSpan w:val="2"/>
            <w:tcBorders>
              <w:tl2br w:val="nil"/>
              <w:tr2bl w:val="nil"/>
            </w:tcBorders>
            <w:noWrap w:val="0"/>
            <w:vAlign w:val="center"/>
          </w:tcPr>
          <w:p>
            <w:pPr>
              <w:snapToGrid w:val="0"/>
              <w:jc w:val="center"/>
              <w:rPr>
                <w:rFonts w:hint="eastAsia" w:cs="Times New Roman"/>
                <w:b w:val="0"/>
                <w:bCs w:val="0"/>
                <w:color w:val="auto"/>
                <w:sz w:val="21"/>
                <w:szCs w:val="21"/>
                <w:highlight w:val="none"/>
                <w:u w:val="none"/>
                <w:lang w:val="en-US" w:eastAsia="zh-CN"/>
              </w:rPr>
            </w:pPr>
            <w:r>
              <w:rPr>
                <w:rFonts w:hint="eastAsia" w:cs="Times New Roman"/>
                <w:b w:val="0"/>
                <w:bCs w:val="0"/>
                <w:color w:val="auto"/>
                <w:highlight w:val="none"/>
                <w:u w:val="none"/>
                <w:lang w:val="en-US" w:eastAsia="zh-CN"/>
              </w:rPr>
              <w:t>1</w:t>
            </w:r>
            <w:r>
              <w:rPr>
                <w:rFonts w:hint="eastAsia" w:ascii="Times New Roman" w:hAnsi="Times New Roman" w:cs="Times New Roman"/>
                <w:b w:val="0"/>
                <w:bCs w:val="0"/>
                <w:color w:val="auto"/>
                <w:highlight w:val="none"/>
                <w:u w:val="none"/>
                <w:lang w:val="en-US" w:eastAsia="zh-CN"/>
              </w:rPr>
              <w:t>0</w:t>
            </w:r>
            <w:r>
              <w:rPr>
                <w:rFonts w:hint="default" w:ascii="Times New Roman" w:hAnsi="Times New Roman" w:cs="Times New Roman"/>
                <w:b w:val="0"/>
                <w:bCs w:val="0"/>
                <w:color w:val="auto"/>
                <w:highlight w:val="none"/>
                <w:u w:val="none"/>
                <w:lang w:val="en-US" w:eastAsia="zh-CN"/>
              </w:rPr>
              <w:t>kg</w:t>
            </w:r>
            <w:r>
              <w:rPr>
                <w:rFonts w:hint="default" w:ascii="Times New Roman" w:hAnsi="Times New Roman" w:cs="Times New Roman"/>
                <w:b w:val="0"/>
                <w:bCs w:val="0"/>
                <w:color w:val="auto"/>
                <w:highlight w:val="none"/>
                <w:u w:val="none"/>
              </w:rPr>
              <w:t>/a</w:t>
            </w:r>
          </w:p>
        </w:tc>
        <w:tc>
          <w:tcPr>
            <w:tcW w:w="2696" w:type="dxa"/>
            <w:gridSpan w:val="2"/>
            <w:tcBorders>
              <w:tl2br w:val="nil"/>
              <w:tr2bl w:val="nil"/>
            </w:tcBorders>
            <w:noWrap w:val="0"/>
            <w:vAlign w:val="center"/>
          </w:tcPr>
          <w:p>
            <w:pPr>
              <w:jc w:val="center"/>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0t/a</w:t>
            </w:r>
          </w:p>
          <w:p>
            <w:pPr>
              <w:jc w:val="center"/>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u w:val="none"/>
                <w:lang w:val="en-US" w:eastAsia="zh-CN"/>
              </w:rPr>
              <w:t>（由具有危废处理资质的单位统一回收处理）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752" w:type="dxa"/>
            <w:tcBorders>
              <w:tl2br w:val="nil"/>
              <w:tr2bl w:val="nil"/>
            </w:tcBorders>
            <w:noWrap w:val="0"/>
            <w:vAlign w:val="center"/>
          </w:tcPr>
          <w:p>
            <w:pPr>
              <w:spacing w:line="440" w:lineRule="exact"/>
              <w:jc w:val="center"/>
              <w:rPr>
                <w:b/>
                <w:bCs/>
                <w:color w:val="auto"/>
                <w:sz w:val="21"/>
                <w:szCs w:val="21"/>
              </w:rPr>
            </w:pPr>
            <w:r>
              <w:rPr>
                <w:b/>
                <w:bCs/>
                <w:color w:val="auto"/>
                <w:sz w:val="21"/>
                <w:szCs w:val="21"/>
              </w:rPr>
              <w:t>噪</w:t>
            </w:r>
          </w:p>
          <w:p>
            <w:pPr>
              <w:spacing w:line="440" w:lineRule="exact"/>
              <w:jc w:val="center"/>
              <w:rPr>
                <w:b/>
                <w:bCs/>
                <w:color w:val="auto"/>
                <w:sz w:val="21"/>
                <w:szCs w:val="21"/>
              </w:rPr>
            </w:pPr>
            <w:r>
              <w:rPr>
                <w:b/>
                <w:bCs/>
                <w:color w:val="auto"/>
                <w:sz w:val="21"/>
                <w:szCs w:val="21"/>
              </w:rPr>
              <w:t>声</w:t>
            </w:r>
          </w:p>
        </w:tc>
        <w:tc>
          <w:tcPr>
            <w:tcW w:w="8348" w:type="dxa"/>
            <w:gridSpan w:val="7"/>
            <w:tcBorders>
              <w:tl2br w:val="nil"/>
              <w:tr2bl w:val="nil"/>
            </w:tcBorders>
            <w:noWrap w:val="0"/>
            <w:vAlign w:val="center"/>
          </w:tcPr>
          <w:p>
            <w:pPr>
              <w:spacing w:line="240" w:lineRule="auto"/>
              <w:jc w:val="center"/>
              <w:rPr>
                <w:color w:val="auto"/>
                <w:sz w:val="21"/>
                <w:szCs w:val="21"/>
              </w:rPr>
            </w:pPr>
          </w:p>
          <w:p>
            <w:pPr>
              <w:spacing w:line="240" w:lineRule="auto"/>
              <w:jc w:val="center"/>
              <w:rPr>
                <w:color w:val="auto"/>
                <w:sz w:val="21"/>
                <w:szCs w:val="21"/>
              </w:rPr>
            </w:pPr>
            <w:r>
              <w:rPr>
                <w:color w:val="auto"/>
                <w:sz w:val="21"/>
                <w:szCs w:val="21"/>
              </w:rPr>
              <w:t>本项目在生产过程所</w:t>
            </w:r>
            <w:r>
              <w:rPr>
                <w:rFonts w:hint="default" w:ascii="Times New Roman" w:hAnsi="Times New Roman" w:cs="Times New Roman"/>
                <w:color w:val="auto"/>
                <w:sz w:val="21"/>
                <w:szCs w:val="21"/>
              </w:rPr>
              <w:t>有设备均置于生产车间内，采用加大减震基础，安装减震装置</w:t>
            </w:r>
            <w:r>
              <w:rPr>
                <w:rFonts w:hint="default" w:ascii="Times New Roman" w:hAnsi="Times New Roman" w:cs="Times New Roman"/>
                <w:color w:val="auto"/>
                <w:sz w:val="21"/>
                <w:szCs w:val="21"/>
                <w:lang w:eastAsia="zh-CN"/>
              </w:rPr>
              <w:t>等措施</w:t>
            </w:r>
            <w:r>
              <w:rPr>
                <w:rFonts w:hint="eastAsia" w:cs="Times New Roman"/>
                <w:color w:val="auto"/>
                <w:sz w:val="21"/>
                <w:szCs w:val="21"/>
                <w:lang w:eastAsia="zh-CN"/>
              </w:rPr>
              <w:t>，</w:t>
            </w:r>
            <w:r>
              <w:rPr>
                <w:rFonts w:hint="default" w:ascii="Times New Roman" w:hAnsi="Times New Roman" w:cs="Times New Roman"/>
                <w:color w:val="auto"/>
                <w:sz w:val="21"/>
                <w:szCs w:val="21"/>
              </w:rPr>
              <w:t>经厂房隔声、距离衰减后，厂界噪声能满足《工业企业厂界环境噪声排放标准》（GB12348-2008）</w:t>
            </w:r>
            <w:r>
              <w:rPr>
                <w:rFonts w:hint="eastAsia" w:cs="Times New Roman"/>
                <w:color w:val="auto"/>
                <w:sz w:val="21"/>
                <w:szCs w:val="21"/>
                <w:lang w:val="en-US" w:eastAsia="zh-CN"/>
              </w:rPr>
              <w:t>2</w:t>
            </w:r>
            <w:r>
              <w:rPr>
                <w:rFonts w:hint="default" w:ascii="Times New Roman" w:hAnsi="Times New Roman" w:cs="Times New Roman"/>
                <w:color w:val="auto"/>
                <w:sz w:val="21"/>
                <w:szCs w:val="21"/>
                <w:lang w:val="en-US" w:eastAsia="zh-CN"/>
              </w:rPr>
              <w:t>类</w:t>
            </w:r>
            <w:r>
              <w:rPr>
                <w:rFonts w:hint="default" w:ascii="Times New Roman" w:hAnsi="Times New Roman" w:cs="Times New Roman"/>
                <w:color w:val="auto"/>
                <w:sz w:val="21"/>
                <w:szCs w:val="21"/>
              </w:rPr>
              <w:t>标</w:t>
            </w:r>
            <w:r>
              <w:rPr>
                <w:color w:val="auto"/>
                <w:sz w:val="21"/>
                <w:szCs w:val="21"/>
              </w:rPr>
              <w:t>准的要求</w:t>
            </w:r>
            <w:r>
              <w:rPr>
                <w:rFonts w:hint="eastAsia"/>
                <w:color w:val="auto"/>
                <w:sz w:val="21"/>
                <w:szCs w:val="21"/>
                <w:lang w:eastAsia="zh-CN"/>
              </w:rPr>
              <w:t>。</w:t>
            </w:r>
          </w:p>
          <w:p>
            <w:pPr>
              <w:spacing w:line="240" w:lineRule="auto"/>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9100" w:type="dxa"/>
            <w:gridSpan w:val="8"/>
            <w:tcBorders>
              <w:tl2br w:val="nil"/>
              <w:tr2bl w:val="nil"/>
            </w:tcBorders>
            <w:noWrap w:val="0"/>
            <w:vAlign w:val="top"/>
          </w:tcPr>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keepNext w:val="0"/>
              <w:keepLines w:val="0"/>
              <w:pageBreakBefore w:val="0"/>
              <w:kinsoku/>
              <w:wordWrap/>
              <w:overflowPunct/>
              <w:topLinePunct w:val="0"/>
              <w:autoSpaceDE/>
              <w:autoSpaceDN/>
              <w:bidi w:val="0"/>
              <w:adjustRightInd w:val="0"/>
              <w:snapToGrid w:val="0"/>
              <w:spacing w:line="240" w:lineRule="auto"/>
              <w:ind w:firstLine="422" w:firstLineChars="200"/>
              <w:textAlignment w:val="auto"/>
              <w:rPr>
                <w:b/>
                <w:bCs/>
                <w:color w:val="auto"/>
                <w:sz w:val="21"/>
                <w:szCs w:val="21"/>
              </w:rPr>
            </w:pPr>
          </w:p>
          <w:p>
            <w:pPr>
              <w:pStyle w:val="22"/>
              <w:keepNext w:val="0"/>
              <w:keepLines w:val="0"/>
              <w:pageBreakBefore w:val="0"/>
              <w:kinsoku/>
              <w:wordWrap/>
              <w:overflowPunct/>
              <w:topLinePunct w:val="0"/>
              <w:autoSpaceDE/>
              <w:autoSpaceDN/>
              <w:bidi w:val="0"/>
              <w:adjustRightInd w:val="0"/>
              <w:snapToGrid w:val="0"/>
              <w:spacing w:line="240" w:lineRule="auto"/>
              <w:ind w:left="0" w:leftChars="0" w:firstLine="0" w:firstLineChars="0"/>
              <w:textAlignment w:val="auto"/>
              <w:rPr>
                <w:b/>
                <w:bCs/>
                <w:color w:val="auto"/>
                <w:sz w:val="21"/>
                <w:szCs w:val="21"/>
              </w:rPr>
            </w:pPr>
          </w:p>
          <w:p>
            <w:pPr>
              <w:pStyle w:val="22"/>
              <w:keepNext w:val="0"/>
              <w:keepLines w:val="0"/>
              <w:pageBreakBefore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Times New Roman" w:hAnsi="Times New Roman"/>
                <w:color w:val="auto"/>
                <w:sz w:val="21"/>
                <w:szCs w:val="21"/>
                <w:lang w:eastAsia="zh-CN"/>
              </w:rPr>
            </w:pPr>
            <w:r>
              <w:rPr>
                <w:b/>
                <w:bCs/>
                <w:color w:val="auto"/>
                <w:sz w:val="21"/>
                <w:szCs w:val="21"/>
              </w:rPr>
              <w:t>主要生态影响：</w:t>
            </w:r>
          </w:p>
          <w:p>
            <w:pPr>
              <w:keepNext w:val="0"/>
              <w:keepLines w:val="0"/>
              <w:pageBreakBefore w:val="0"/>
              <w:kinsoku/>
              <w:wordWrap/>
              <w:overflowPunct/>
              <w:topLinePunct w:val="0"/>
              <w:autoSpaceDE/>
              <w:autoSpaceDN/>
              <w:bidi w:val="0"/>
              <w:adjustRightInd w:val="0"/>
              <w:snapToGrid w:val="0"/>
              <w:spacing w:line="240" w:lineRule="auto"/>
              <w:ind w:firstLine="422" w:firstLineChars="200"/>
              <w:textAlignment w:val="auto"/>
              <w:rPr>
                <w:b/>
                <w:bCs/>
                <w:color w:val="auto"/>
                <w:sz w:val="21"/>
                <w:szCs w:val="21"/>
              </w:rPr>
            </w:pPr>
          </w:p>
          <w:p>
            <w:pPr>
              <w:pStyle w:val="22"/>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olor w:val="auto"/>
                <w:sz w:val="21"/>
                <w:szCs w:val="21"/>
              </w:rPr>
            </w:pPr>
            <w:r>
              <w:rPr>
                <w:rFonts w:hint="default" w:ascii="Times New Roman" w:hAnsi="Times New Roman"/>
                <w:color w:val="auto"/>
                <w:sz w:val="21"/>
                <w:szCs w:val="21"/>
              </w:rPr>
              <w:t>项目利用已建成的生产车间及办公用房，不存在施工期对周围生态环境的影响，评价建议项目加强厂区绿化，起到美化环境、降低粉尘和噪声影响的作用。</w:t>
            </w: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p>
            <w:pPr>
              <w:pStyle w:val="22"/>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Times New Roman" w:eastAsia="宋体"/>
                <w:color w:val="auto"/>
                <w:sz w:val="21"/>
                <w:szCs w:val="21"/>
                <w:lang w:eastAsia="zh-CN"/>
              </w:rPr>
            </w:pPr>
          </w:p>
        </w:tc>
      </w:tr>
    </w:tbl>
    <w:p>
      <w:pPr>
        <w:adjustRightInd w:val="0"/>
        <w:snapToGrid w:val="0"/>
        <w:spacing w:line="240" w:lineRule="auto"/>
        <w:rPr>
          <w:rFonts w:hint="eastAsia" w:ascii="宋体" w:hAnsi="宋体" w:eastAsia="宋体" w:cs="宋体"/>
          <w:b/>
          <w:color w:val="auto"/>
          <w:sz w:val="30"/>
        </w:rPr>
      </w:pPr>
      <w:r>
        <w:rPr>
          <w:rFonts w:hint="eastAsia" w:ascii="宋体" w:hAnsi="宋体" w:eastAsia="宋体" w:cs="宋体"/>
          <w:b/>
          <w:color w:val="auto"/>
          <w:sz w:val="30"/>
        </w:rPr>
        <w:t>环境影响分析</w:t>
      </w:r>
    </w:p>
    <w:tbl>
      <w:tblPr>
        <w:tblStyle w:val="15"/>
        <w:tblW w:w="8960" w:type="dxa"/>
        <w:tblInd w:w="10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108" w:hRule="atLeast"/>
        </w:trPr>
        <w:tc>
          <w:tcPr>
            <w:tcW w:w="8960" w:type="dxa"/>
            <w:noWrap w:val="0"/>
            <w:vAlign w:val="top"/>
          </w:tcPr>
          <w:p>
            <w:pPr>
              <w:adjustRightInd w:val="0"/>
              <w:snapToGrid w:val="0"/>
              <w:spacing w:line="360" w:lineRule="auto"/>
              <w:rPr>
                <w:b/>
                <w:color w:val="auto"/>
                <w:sz w:val="28"/>
                <w:szCs w:val="28"/>
              </w:rPr>
            </w:pPr>
            <w:r>
              <w:rPr>
                <w:b/>
                <w:color w:val="auto"/>
                <w:sz w:val="28"/>
                <w:szCs w:val="28"/>
              </w:rPr>
              <w:t>施工期环境影响分析</w:t>
            </w:r>
          </w:p>
          <w:p>
            <w:pPr>
              <w:adjustRightInd w:val="0"/>
              <w:snapToGrid w:val="0"/>
              <w:spacing w:line="360" w:lineRule="auto"/>
              <w:ind w:firstLine="480" w:firstLineChars="200"/>
              <w:rPr>
                <w:rFonts w:hint="eastAsia"/>
                <w:color w:val="auto"/>
                <w:sz w:val="24"/>
              </w:rPr>
            </w:pPr>
            <w:r>
              <w:rPr>
                <w:color w:val="auto"/>
                <w:sz w:val="24"/>
              </w:rPr>
              <w:t>本项目</w:t>
            </w:r>
            <w:r>
              <w:rPr>
                <w:rFonts w:hint="eastAsia"/>
                <w:color w:val="auto"/>
                <w:sz w:val="24"/>
                <w:lang w:eastAsia="zh-CN"/>
              </w:rPr>
              <w:t>生产厂房</w:t>
            </w:r>
            <w:r>
              <w:rPr>
                <w:rFonts w:hint="eastAsia"/>
                <w:color w:val="auto"/>
                <w:sz w:val="24"/>
              </w:rPr>
              <w:t>为</w:t>
            </w:r>
            <w:r>
              <w:rPr>
                <w:rFonts w:hint="eastAsia"/>
                <w:color w:val="auto"/>
                <w:sz w:val="24"/>
                <w:lang w:eastAsia="zh-CN"/>
              </w:rPr>
              <w:t>租赁原有</w:t>
            </w:r>
            <w:r>
              <w:rPr>
                <w:rFonts w:hint="eastAsia"/>
                <w:color w:val="auto"/>
                <w:sz w:val="24"/>
                <w:lang w:val="en-US" w:eastAsia="zh-CN"/>
              </w:rPr>
              <w:t>厂房</w:t>
            </w:r>
            <w:r>
              <w:rPr>
                <w:color w:val="auto"/>
                <w:sz w:val="24"/>
              </w:rPr>
              <w:t>，无土建工程，因此不再对施工期环境影响进行评价。</w:t>
            </w:r>
          </w:p>
          <w:p>
            <w:pPr>
              <w:adjustRightInd w:val="0"/>
              <w:snapToGrid w:val="0"/>
              <w:spacing w:line="360" w:lineRule="auto"/>
              <w:rPr>
                <w:b/>
                <w:color w:val="auto"/>
                <w:sz w:val="28"/>
                <w:szCs w:val="28"/>
              </w:rPr>
            </w:pPr>
            <w:r>
              <w:rPr>
                <w:b/>
                <w:color w:val="auto"/>
                <w:sz w:val="28"/>
                <w:szCs w:val="28"/>
              </w:rPr>
              <w:t>营运期环境影响分析</w:t>
            </w:r>
          </w:p>
          <w:p>
            <w:pPr>
              <w:pStyle w:val="23"/>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b/>
                <w:color w:val="auto"/>
                <w:sz w:val="24"/>
              </w:rPr>
            </w:pPr>
            <w:r>
              <w:rPr>
                <w:rFonts w:hint="eastAsia"/>
                <w:b/>
                <w:color w:val="auto"/>
                <w:sz w:val="24"/>
                <w:lang w:eastAsia="zh-CN"/>
              </w:rPr>
              <w:t>（一）</w:t>
            </w:r>
            <w:r>
              <w:rPr>
                <w:rFonts w:hint="eastAsia"/>
                <w:b/>
                <w:color w:val="auto"/>
                <w:sz w:val="24"/>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ascii="Times New Roman" w:hAnsi="Times New Roman"/>
                <w:color w:val="auto"/>
                <w:sz w:val="24"/>
              </w:rPr>
            </w:pPr>
            <w:r>
              <w:rPr>
                <w:rFonts w:ascii="Times New Roman" w:hAnsi="Times New Roman"/>
                <w:color w:val="auto"/>
                <w:sz w:val="24"/>
              </w:rPr>
              <w:t>本项目劳动定员</w:t>
            </w:r>
            <w:r>
              <w:rPr>
                <w:rFonts w:hint="eastAsia"/>
                <w:color w:val="auto"/>
                <w:sz w:val="24"/>
                <w:lang w:val="en-US" w:eastAsia="zh-CN"/>
              </w:rPr>
              <w:t>16人</w:t>
            </w:r>
            <w:r>
              <w:rPr>
                <w:rFonts w:ascii="Times New Roman" w:hAnsi="Times New Roman"/>
                <w:color w:val="auto"/>
                <w:sz w:val="24"/>
              </w:rPr>
              <w:t>，均不在厂区食宿，年有效工作日</w:t>
            </w:r>
            <w:r>
              <w:rPr>
                <w:rFonts w:hint="eastAsia"/>
                <w:color w:val="auto"/>
                <w:sz w:val="24"/>
                <w:lang w:val="en-US" w:eastAsia="zh-CN"/>
              </w:rPr>
              <w:t>30</w:t>
            </w:r>
            <w:r>
              <w:rPr>
                <w:rFonts w:hint="eastAsia" w:ascii="Times New Roman" w:hAnsi="Times New Roman"/>
                <w:color w:val="auto"/>
                <w:sz w:val="24"/>
                <w:lang w:val="en-US" w:eastAsia="zh-CN"/>
              </w:rPr>
              <w:t>0</w:t>
            </w:r>
            <w:r>
              <w:rPr>
                <w:rFonts w:ascii="Times New Roman" w:hAnsi="Times New Roman"/>
                <w:color w:val="auto"/>
                <w:sz w:val="24"/>
              </w:rPr>
              <w:t>天。</w:t>
            </w:r>
            <w:r>
              <w:rPr>
                <w:rFonts w:hint="eastAsia"/>
                <w:color w:val="auto"/>
                <w:sz w:val="24"/>
              </w:rPr>
              <w:t>根据《建筑给水排水设计规范》（</w:t>
            </w:r>
            <w:r>
              <w:rPr>
                <w:rFonts w:ascii="Times New Roman" w:hAnsi="Times New Roman"/>
                <w:color w:val="auto"/>
                <w:sz w:val="24"/>
              </w:rPr>
              <w:t>GB50015-2003）</w:t>
            </w:r>
            <w:r>
              <w:rPr>
                <w:rFonts w:hint="eastAsia" w:ascii="Times New Roman" w:hAnsi="Times New Roman"/>
                <w:color w:val="auto"/>
                <w:sz w:val="24"/>
              </w:rPr>
              <w:t>（2009年版）</w:t>
            </w:r>
            <w:r>
              <w:rPr>
                <w:rFonts w:ascii="Times New Roman" w:hAnsi="Times New Roman"/>
                <w:color w:val="auto"/>
                <w:sz w:val="24"/>
              </w:rPr>
              <w:t>和</w:t>
            </w:r>
            <w:r>
              <w:rPr>
                <w:rFonts w:hint="eastAsia"/>
                <w:color w:val="auto"/>
                <w:sz w:val="24"/>
              </w:rPr>
              <w:t>《工业企业设计卫生标准》，</w:t>
            </w:r>
            <w:r>
              <w:rPr>
                <w:rFonts w:ascii="Times New Roman" w:hAnsi="Times New Roman"/>
                <w:color w:val="auto"/>
                <w:sz w:val="24"/>
              </w:rPr>
              <w:t>职工生活用水定额按30L/(人·d)计，则生活用水量为</w:t>
            </w:r>
            <w:r>
              <w:rPr>
                <w:rFonts w:hint="eastAsia" w:ascii="Times New Roman" w:hAnsi="Times New Roman"/>
                <w:color w:val="auto"/>
                <w:sz w:val="24"/>
              </w:rPr>
              <w:t>0.</w:t>
            </w:r>
            <w:r>
              <w:rPr>
                <w:rFonts w:hint="eastAsia"/>
                <w:color w:val="auto"/>
                <w:sz w:val="24"/>
                <w:lang w:val="en-US" w:eastAsia="zh-CN"/>
              </w:rPr>
              <w:t>48</w:t>
            </w:r>
            <w:r>
              <w:rPr>
                <w:rFonts w:hint="eastAsia" w:ascii="Times New Roman" w:hAnsi="Times New Roman"/>
                <w:color w:val="auto"/>
                <w:sz w:val="24"/>
              </w:rPr>
              <w:t>m</w:t>
            </w:r>
            <w:r>
              <w:rPr>
                <w:rFonts w:hint="eastAsia" w:ascii="Times New Roman" w:hAnsi="Times New Roman"/>
                <w:color w:val="auto"/>
                <w:sz w:val="24"/>
                <w:vertAlign w:val="superscript"/>
              </w:rPr>
              <w:t>3</w:t>
            </w:r>
            <w:r>
              <w:rPr>
                <w:rFonts w:ascii="Times New Roman" w:hAnsi="Times New Roman"/>
                <w:color w:val="auto"/>
                <w:sz w:val="24"/>
              </w:rPr>
              <w:t>/d（</w:t>
            </w:r>
            <w:r>
              <w:rPr>
                <w:rFonts w:hint="eastAsia"/>
                <w:color w:val="auto"/>
                <w:sz w:val="24"/>
                <w:lang w:val="en-US" w:eastAsia="zh-CN"/>
              </w:rPr>
              <w:t>144</w:t>
            </w:r>
            <w:r>
              <w:rPr>
                <w:rFonts w:hint="eastAsia" w:ascii="Times New Roman" w:hAnsi="Times New Roman"/>
                <w:color w:val="auto"/>
                <w:sz w:val="24"/>
              </w:rPr>
              <w:t>m</w:t>
            </w:r>
            <w:r>
              <w:rPr>
                <w:rFonts w:hint="eastAsia" w:ascii="Times New Roman" w:hAnsi="Times New Roman"/>
                <w:color w:val="auto"/>
                <w:sz w:val="24"/>
                <w:vertAlign w:val="superscript"/>
              </w:rPr>
              <w:t>3</w:t>
            </w:r>
            <w:r>
              <w:rPr>
                <w:rFonts w:ascii="Times New Roman" w:hAnsi="Times New Roman"/>
                <w:color w:val="auto"/>
                <w:sz w:val="24"/>
              </w:rPr>
              <w:t>/a），产污系数按0.8计，则生活污水产生量为</w:t>
            </w:r>
            <w:r>
              <w:rPr>
                <w:rFonts w:hint="eastAsia" w:ascii="Times New Roman" w:hAnsi="Times New Roman"/>
                <w:color w:val="auto"/>
                <w:sz w:val="24"/>
              </w:rPr>
              <w:t>0.</w:t>
            </w:r>
            <w:r>
              <w:rPr>
                <w:rFonts w:hint="eastAsia"/>
                <w:color w:val="auto"/>
                <w:sz w:val="24"/>
                <w:lang w:val="en-US" w:eastAsia="zh-CN"/>
              </w:rPr>
              <w:t>384</w:t>
            </w:r>
            <w:r>
              <w:rPr>
                <w:rFonts w:ascii="Times New Roman" w:hAnsi="Times New Roman"/>
                <w:color w:val="auto"/>
                <w:sz w:val="24"/>
              </w:rPr>
              <w:t>m</w:t>
            </w:r>
            <w:r>
              <w:rPr>
                <w:rFonts w:ascii="Times New Roman" w:hAnsi="Times New Roman"/>
                <w:color w:val="auto"/>
                <w:sz w:val="24"/>
                <w:vertAlign w:val="superscript"/>
              </w:rPr>
              <w:t>3</w:t>
            </w:r>
            <w:r>
              <w:rPr>
                <w:rFonts w:ascii="Times New Roman" w:hAnsi="Times New Roman"/>
                <w:color w:val="auto"/>
                <w:sz w:val="24"/>
              </w:rPr>
              <w:t>/d（</w:t>
            </w:r>
            <w:r>
              <w:rPr>
                <w:rFonts w:hint="eastAsia" w:ascii="Times New Roman" w:hAnsi="Times New Roman"/>
                <w:color w:val="auto"/>
                <w:sz w:val="24"/>
                <w:lang w:val="en-US" w:eastAsia="zh-CN"/>
              </w:rPr>
              <w:t>1</w:t>
            </w:r>
            <w:r>
              <w:rPr>
                <w:rFonts w:hint="eastAsia"/>
                <w:color w:val="auto"/>
                <w:sz w:val="24"/>
                <w:lang w:val="en-US" w:eastAsia="zh-CN"/>
              </w:rPr>
              <w:t>15.2</w:t>
            </w:r>
            <w:r>
              <w:rPr>
                <w:rFonts w:ascii="Times New Roman" w:hAnsi="Times New Roman"/>
                <w:color w:val="auto"/>
                <w:sz w:val="24"/>
              </w:rPr>
              <w:t>m</w:t>
            </w:r>
            <w:r>
              <w:rPr>
                <w:rFonts w:ascii="Times New Roman" w:hAnsi="Times New Roman"/>
                <w:color w:val="auto"/>
                <w:sz w:val="24"/>
                <w:vertAlign w:val="superscript"/>
              </w:rPr>
              <w:t>3</w:t>
            </w:r>
            <w:r>
              <w:rPr>
                <w:rFonts w:ascii="Times New Roman" w:hAnsi="Times New Roman"/>
                <w:color w:val="auto"/>
                <w:sz w:val="24"/>
              </w:rPr>
              <w:t>/a）。污水的主要污染因子有SS</w:t>
            </w:r>
            <w:r>
              <w:rPr>
                <w:rFonts w:hint="eastAsia" w:ascii="Times New Roman" w:hAnsi="Times New Roman"/>
                <w:color w:val="auto"/>
                <w:sz w:val="24"/>
              </w:rPr>
              <w:t>、</w:t>
            </w:r>
            <w:r>
              <w:rPr>
                <w:rFonts w:ascii="Times New Roman" w:hAnsi="Times New Roman"/>
                <w:color w:val="auto"/>
                <w:sz w:val="24"/>
              </w:rPr>
              <w:t>BOD</w:t>
            </w:r>
            <w:r>
              <w:rPr>
                <w:rFonts w:ascii="Times New Roman" w:hAnsi="Times New Roman"/>
                <w:color w:val="auto"/>
                <w:sz w:val="24"/>
                <w:vertAlign w:val="subscript"/>
              </w:rPr>
              <w:t>5</w:t>
            </w:r>
            <w:r>
              <w:rPr>
                <w:rFonts w:ascii="Times New Roman" w:hAnsi="Times New Roman"/>
                <w:color w:val="auto"/>
                <w:sz w:val="24"/>
              </w:rPr>
              <w:t>、TP 、COD、NH</w:t>
            </w:r>
            <w:r>
              <w:rPr>
                <w:rFonts w:ascii="Times New Roman" w:hAnsi="Times New Roman"/>
                <w:color w:val="auto"/>
                <w:sz w:val="24"/>
                <w:vertAlign w:val="subscript"/>
              </w:rPr>
              <w:t>3</w:t>
            </w:r>
            <w:r>
              <w:rPr>
                <w:rFonts w:ascii="Times New Roman" w:hAnsi="Times New Roman"/>
                <w:color w:val="auto"/>
                <w:sz w:val="24"/>
              </w:rPr>
              <w:t>-N。类比一般生活污水水质，废水中各污染物浓度分别为COD 300mg/L、SS 200mg/L、BOD</w:t>
            </w:r>
            <w:r>
              <w:rPr>
                <w:rFonts w:ascii="Times New Roman" w:hAnsi="Times New Roman"/>
                <w:color w:val="auto"/>
                <w:sz w:val="24"/>
                <w:vertAlign w:val="subscript"/>
              </w:rPr>
              <w:t>5</w:t>
            </w:r>
            <w:r>
              <w:rPr>
                <w:rFonts w:hint="eastAsia" w:ascii="Times New Roman" w:hAnsi="Times New Roman"/>
                <w:color w:val="auto"/>
                <w:sz w:val="24"/>
                <w:vertAlign w:val="subscript"/>
              </w:rPr>
              <w:t xml:space="preserve"> </w:t>
            </w:r>
            <w:r>
              <w:rPr>
                <w:rFonts w:ascii="Times New Roman" w:hAnsi="Times New Roman"/>
                <w:color w:val="auto"/>
                <w:sz w:val="24"/>
              </w:rPr>
              <w:t>150mg/L、TP 4mg/L、NH</w:t>
            </w:r>
            <w:r>
              <w:rPr>
                <w:rFonts w:ascii="Times New Roman" w:hAnsi="Times New Roman"/>
                <w:color w:val="auto"/>
                <w:sz w:val="24"/>
                <w:vertAlign w:val="subscript"/>
              </w:rPr>
              <w:t>3</w:t>
            </w:r>
            <w:r>
              <w:rPr>
                <w:rFonts w:ascii="Times New Roman" w:hAnsi="Times New Roman"/>
                <w:color w:val="auto"/>
                <w:sz w:val="24"/>
              </w:rPr>
              <w:t>-N 25mg/L，污染物产生量分别为COD</w:t>
            </w:r>
            <w:r>
              <w:rPr>
                <w:rFonts w:hint="eastAsia"/>
                <w:color w:val="auto"/>
                <w:sz w:val="24"/>
                <w:lang w:val="en-US" w:eastAsia="zh-CN"/>
              </w:rPr>
              <w:t xml:space="preserve"> </w:t>
            </w:r>
            <w:r>
              <w:rPr>
                <w:rFonts w:hint="eastAsia" w:ascii="Times New Roman" w:hAnsi="Times New Roman"/>
                <w:color w:val="auto"/>
                <w:sz w:val="24"/>
              </w:rPr>
              <w:t>0.0</w:t>
            </w:r>
            <w:r>
              <w:rPr>
                <w:rFonts w:hint="eastAsia"/>
                <w:color w:val="auto"/>
                <w:sz w:val="24"/>
                <w:lang w:val="en-US" w:eastAsia="zh-CN"/>
              </w:rPr>
              <w:t>346</w:t>
            </w:r>
            <w:r>
              <w:rPr>
                <w:rFonts w:ascii="Times New Roman" w:hAnsi="Times New Roman"/>
                <w:color w:val="auto"/>
                <w:sz w:val="24"/>
              </w:rPr>
              <w:t xml:space="preserve">t/a、SS </w:t>
            </w:r>
            <w:r>
              <w:rPr>
                <w:rFonts w:hint="eastAsia" w:ascii="Times New Roman" w:hAnsi="Times New Roman"/>
                <w:color w:val="auto"/>
                <w:sz w:val="24"/>
              </w:rPr>
              <w:t>0.0</w:t>
            </w:r>
            <w:r>
              <w:rPr>
                <w:rFonts w:hint="eastAsia"/>
                <w:color w:val="auto"/>
                <w:sz w:val="24"/>
                <w:lang w:val="en-US" w:eastAsia="zh-CN"/>
              </w:rPr>
              <w:t>23</w:t>
            </w:r>
            <w:r>
              <w:rPr>
                <w:rFonts w:hint="eastAsia" w:ascii="Times New Roman" w:hAnsi="Times New Roman"/>
                <w:color w:val="auto"/>
                <w:sz w:val="24"/>
                <w:lang w:val="en-US" w:eastAsia="zh-CN"/>
              </w:rPr>
              <w:t>0</w:t>
            </w:r>
            <w:r>
              <w:rPr>
                <w:rFonts w:ascii="Times New Roman" w:hAnsi="Times New Roman"/>
                <w:color w:val="auto"/>
                <w:sz w:val="24"/>
              </w:rPr>
              <w:t>t/a、BOD</w:t>
            </w:r>
            <w:r>
              <w:rPr>
                <w:rFonts w:ascii="Times New Roman" w:hAnsi="Times New Roman"/>
                <w:color w:val="auto"/>
                <w:sz w:val="24"/>
                <w:vertAlign w:val="subscript"/>
              </w:rPr>
              <w:t>5</w:t>
            </w:r>
            <w:r>
              <w:rPr>
                <w:rFonts w:hint="eastAsia" w:ascii="Times New Roman" w:hAnsi="Times New Roman"/>
                <w:color w:val="auto"/>
                <w:sz w:val="24"/>
                <w:vertAlign w:val="subscript"/>
              </w:rPr>
              <w:t xml:space="preserve"> </w:t>
            </w:r>
            <w:r>
              <w:rPr>
                <w:rFonts w:hint="eastAsia" w:ascii="Times New Roman" w:hAnsi="Times New Roman"/>
                <w:color w:val="auto"/>
                <w:sz w:val="24"/>
              </w:rPr>
              <w:t>0.0</w:t>
            </w:r>
            <w:r>
              <w:rPr>
                <w:rFonts w:hint="eastAsia"/>
                <w:color w:val="auto"/>
                <w:sz w:val="24"/>
                <w:lang w:val="en-US" w:eastAsia="zh-CN"/>
              </w:rPr>
              <w:t>173</w:t>
            </w:r>
            <w:r>
              <w:rPr>
                <w:rFonts w:ascii="Times New Roman" w:hAnsi="Times New Roman"/>
                <w:color w:val="auto"/>
                <w:sz w:val="24"/>
              </w:rPr>
              <w:t>t/a</w:t>
            </w:r>
            <w:r>
              <w:rPr>
                <w:rFonts w:hint="eastAsia" w:ascii="Times New Roman" w:hAnsi="Times New Roman"/>
                <w:color w:val="auto"/>
                <w:sz w:val="24"/>
              </w:rPr>
              <w:t>、TP 0.000</w:t>
            </w:r>
            <w:r>
              <w:rPr>
                <w:rFonts w:hint="eastAsia"/>
                <w:color w:val="auto"/>
                <w:sz w:val="24"/>
                <w:lang w:val="en-US" w:eastAsia="zh-CN"/>
              </w:rPr>
              <w:t>5</w:t>
            </w:r>
            <w:r>
              <w:rPr>
                <w:rFonts w:hint="eastAsia" w:ascii="Times New Roman" w:hAnsi="Times New Roman"/>
                <w:color w:val="auto"/>
                <w:sz w:val="24"/>
              </w:rPr>
              <w:t>mg/L、</w:t>
            </w:r>
            <w:r>
              <w:rPr>
                <w:rFonts w:ascii="Times New Roman" w:hAnsi="Times New Roman"/>
                <w:color w:val="auto"/>
                <w:sz w:val="24"/>
              </w:rPr>
              <w:t>NH</w:t>
            </w:r>
            <w:r>
              <w:rPr>
                <w:rFonts w:ascii="Times New Roman" w:hAnsi="Times New Roman"/>
                <w:color w:val="auto"/>
                <w:sz w:val="24"/>
                <w:vertAlign w:val="subscript"/>
              </w:rPr>
              <w:t>3</w:t>
            </w:r>
            <w:r>
              <w:rPr>
                <w:rFonts w:ascii="Times New Roman" w:hAnsi="Times New Roman"/>
                <w:color w:val="auto"/>
                <w:sz w:val="24"/>
              </w:rPr>
              <w:t>-N 0.00</w:t>
            </w:r>
            <w:r>
              <w:rPr>
                <w:rFonts w:hint="eastAsia"/>
                <w:color w:val="auto"/>
                <w:sz w:val="24"/>
                <w:lang w:val="en-US" w:eastAsia="zh-CN"/>
              </w:rPr>
              <w:t>29</w:t>
            </w:r>
            <w:r>
              <w:rPr>
                <w:rFonts w:ascii="Times New Roman" w:hAnsi="Times New Roman"/>
                <w:color w:val="auto"/>
                <w:sz w:val="24"/>
              </w:rPr>
              <w:t>t/a。生活污水经厂内</w:t>
            </w:r>
            <w:r>
              <w:rPr>
                <w:rFonts w:hint="eastAsia" w:ascii="Times New Roman" w:hAnsi="Times New Roman"/>
                <w:color w:val="auto"/>
                <w:sz w:val="24"/>
                <w:lang w:eastAsia="zh-CN"/>
              </w:rPr>
              <w:t>化粪池处理后</w:t>
            </w:r>
            <w:r>
              <w:rPr>
                <w:rFonts w:ascii="Times New Roman" w:hAnsi="Times New Roman"/>
                <w:color w:val="auto"/>
                <w:sz w:val="24"/>
              </w:rPr>
              <w:t>后定期清运，不外排。</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评价要求：</w:t>
            </w:r>
            <w:r>
              <w:rPr>
                <w:rFonts w:hint="eastAsia" w:ascii="Times New Roman" w:hAnsi="Times New Roman"/>
                <w:color w:val="auto"/>
                <w:sz w:val="24"/>
                <w:lang w:eastAsia="zh-CN"/>
              </w:rPr>
              <w:t>化粪池</w:t>
            </w:r>
            <w:r>
              <w:rPr>
                <w:rFonts w:ascii="Times New Roman" w:hAnsi="Times New Roman"/>
                <w:color w:val="auto"/>
                <w:sz w:val="24"/>
              </w:rPr>
              <w:t>池底和池壁应做好防渗、防漏，避免污染地下水。</w:t>
            </w:r>
          </w:p>
          <w:p>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生活污水经以上措施处理后，对项目周围地表水环境影响较小。</w:t>
            </w:r>
          </w:p>
          <w:p>
            <w:pPr>
              <w:adjustRightInd w:val="0"/>
              <w:snapToGrid w:val="0"/>
              <w:spacing w:line="360" w:lineRule="auto"/>
              <w:ind w:firstLine="482" w:firstLineChars="200"/>
              <w:rPr>
                <w:rFonts w:hAnsi="宋体"/>
                <w:b/>
                <w:snapToGrid w:val="0"/>
                <w:color w:val="auto"/>
                <w:kern w:val="0"/>
                <w:sz w:val="24"/>
              </w:rPr>
            </w:pPr>
            <w:r>
              <w:rPr>
                <w:rFonts w:hint="eastAsia" w:hAnsi="宋体"/>
                <w:b/>
                <w:snapToGrid w:val="0"/>
                <w:color w:val="auto"/>
                <w:kern w:val="0"/>
                <w:sz w:val="24"/>
              </w:rPr>
              <w:t>（</w:t>
            </w:r>
            <w:r>
              <w:rPr>
                <w:rFonts w:hint="eastAsia" w:hAnsi="宋体"/>
                <w:b/>
                <w:snapToGrid w:val="0"/>
                <w:color w:val="auto"/>
                <w:kern w:val="0"/>
                <w:sz w:val="24"/>
                <w:lang w:eastAsia="zh-CN"/>
              </w:rPr>
              <w:t>二</w:t>
            </w:r>
            <w:r>
              <w:rPr>
                <w:rFonts w:hint="eastAsia" w:hAnsi="宋体"/>
                <w:b/>
                <w:snapToGrid w:val="0"/>
                <w:color w:val="auto"/>
                <w:kern w:val="0"/>
                <w:sz w:val="24"/>
              </w:rPr>
              <w:t>）噪声环</w:t>
            </w:r>
            <w:r>
              <w:rPr>
                <w:rFonts w:hint="eastAsia" w:hAnsi="宋体"/>
                <w:b/>
                <w:snapToGrid w:val="0"/>
                <w:color w:val="auto"/>
                <w:kern w:val="0"/>
                <w:sz w:val="24"/>
                <w:highlight w:val="none"/>
              </w:rPr>
              <w:t>境影响分析</w:t>
            </w:r>
          </w:p>
          <w:p>
            <w:pPr>
              <w:adjustRightInd w:val="0"/>
              <w:snapToGrid w:val="0"/>
              <w:spacing w:line="360" w:lineRule="auto"/>
              <w:ind w:firstLine="422" w:firstLineChars="200"/>
              <w:rPr>
                <w:rFonts w:hint="eastAsia"/>
                <w:b w:val="0"/>
                <w:bCs w:val="0"/>
                <w:color w:val="auto"/>
                <w:sz w:val="24"/>
                <w:highlight w:val="none"/>
                <w:u w:val="none"/>
              </w:rPr>
            </w:pPr>
            <w:r>
              <w:rPr>
                <w:b/>
                <w:bCs/>
                <w:color w:val="auto"/>
                <w:highlight w:val="yellow"/>
                <w:u w:val="single"/>
              </w:rPr>
              <w:drawing>
                <wp:anchor distT="0" distB="0" distL="114300" distR="114300" simplePos="0" relativeHeight="251737088" behindDoc="0" locked="0" layoutInCell="1" allowOverlap="1">
                  <wp:simplePos x="0" y="0"/>
                  <wp:positionH relativeFrom="column">
                    <wp:posOffset>874395</wp:posOffset>
                  </wp:positionH>
                  <wp:positionV relativeFrom="paragraph">
                    <wp:posOffset>895350</wp:posOffset>
                  </wp:positionV>
                  <wp:extent cx="3660140" cy="2592070"/>
                  <wp:effectExtent l="0" t="0" r="12700" b="13970"/>
                  <wp:wrapSquare wrapText="bothSides"/>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1"/>
                          <a:srcRect l="10237" t="6185" r="13109" b="2161"/>
                          <a:stretch>
                            <a:fillRect/>
                          </a:stretch>
                        </pic:blipFill>
                        <pic:spPr>
                          <a:xfrm>
                            <a:off x="0" y="0"/>
                            <a:ext cx="3660140" cy="2592070"/>
                          </a:xfrm>
                          <a:prstGeom prst="rect">
                            <a:avLst/>
                          </a:prstGeom>
                          <a:noFill/>
                          <a:ln>
                            <a:noFill/>
                          </a:ln>
                        </pic:spPr>
                      </pic:pic>
                    </a:graphicData>
                  </a:graphic>
                </wp:anchor>
              </w:drawing>
            </w:r>
            <w:r>
              <w:rPr>
                <w:rFonts w:hint="eastAsia"/>
                <w:b w:val="0"/>
                <w:bCs w:val="0"/>
                <w:color w:val="auto"/>
                <w:sz w:val="24"/>
                <w:highlight w:val="none"/>
                <w:u w:val="none"/>
              </w:rPr>
              <w:t>本项目夜间不生产，噪声主要来源于</w:t>
            </w:r>
            <w:r>
              <w:rPr>
                <w:rFonts w:hint="eastAsia" w:cs="Times New Roman"/>
                <w:color w:val="auto"/>
                <w:sz w:val="24"/>
                <w:lang w:eastAsia="zh-CN"/>
              </w:rPr>
              <w:t>车床、立车、钻床、台钻</w:t>
            </w:r>
            <w:r>
              <w:rPr>
                <w:rFonts w:hint="default" w:ascii="Times New Roman" w:hAnsi="Times New Roman" w:eastAsia="宋体" w:cs="Times New Roman"/>
                <w:b w:val="0"/>
                <w:bCs w:val="0"/>
                <w:color w:val="auto"/>
                <w:sz w:val="24"/>
                <w:szCs w:val="24"/>
                <w:highlight w:val="none"/>
                <w:u w:val="none"/>
                <w:lang w:eastAsia="zh-CN"/>
              </w:rPr>
              <w:t>等</w:t>
            </w:r>
            <w:r>
              <w:rPr>
                <w:rFonts w:hint="default" w:ascii="Times New Roman" w:hAnsi="Times New Roman" w:eastAsia="宋体" w:cs="Times New Roman"/>
                <w:b w:val="0"/>
                <w:bCs w:val="0"/>
                <w:color w:val="auto"/>
                <w:sz w:val="24"/>
                <w:szCs w:val="24"/>
                <w:highlight w:val="none"/>
                <w:u w:val="none"/>
              </w:rPr>
              <w:t>机械设备产生的噪声</w:t>
            </w:r>
            <w:r>
              <w:rPr>
                <w:rFonts w:hint="eastAsia"/>
                <w:color w:val="auto"/>
                <w:sz w:val="24"/>
              </w:rPr>
              <w:t>，</w:t>
            </w:r>
            <w:r>
              <w:rPr>
                <w:rFonts w:hAnsi="宋体"/>
                <w:color w:val="auto"/>
                <w:sz w:val="24"/>
              </w:rPr>
              <w:t>其噪声</w:t>
            </w:r>
            <w:r>
              <w:rPr>
                <w:rFonts w:hint="eastAsia" w:hAnsi="宋体"/>
                <w:color w:val="auto"/>
                <w:sz w:val="24"/>
                <w:lang w:eastAsia="zh-CN"/>
              </w:rPr>
              <w:t>源强</w:t>
            </w:r>
            <w:r>
              <w:rPr>
                <w:rFonts w:hAnsi="宋体"/>
                <w:color w:val="auto"/>
                <w:sz w:val="24"/>
              </w:rPr>
              <w:t>一般</w:t>
            </w:r>
            <w:r>
              <w:rPr>
                <w:rFonts w:hint="default" w:ascii="Times New Roman" w:hAnsi="Times New Roman" w:cs="Times New Roman"/>
                <w:color w:val="auto"/>
                <w:sz w:val="24"/>
              </w:rPr>
              <w:t>在</w:t>
            </w:r>
            <w:r>
              <w:rPr>
                <w:rFonts w:hint="default" w:ascii="Times New Roman" w:hAnsi="Times New Roman" w:cs="Times New Roman"/>
                <w:color w:val="auto"/>
                <w:sz w:val="24"/>
                <w:lang w:val="en-US" w:eastAsia="zh-CN"/>
              </w:rPr>
              <w:t>70</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8</w:t>
            </w:r>
            <w:r>
              <w:rPr>
                <w:rFonts w:hint="eastAsia" w:cs="Times New Roman"/>
                <w:color w:val="auto"/>
                <w:sz w:val="24"/>
                <w:lang w:val="en-US" w:eastAsia="zh-CN"/>
              </w:rPr>
              <w:t>0</w:t>
            </w:r>
            <w:r>
              <w:rPr>
                <w:rFonts w:hint="default" w:ascii="Times New Roman" w:hAnsi="Times New Roman" w:cs="Times New Roman"/>
                <w:color w:val="auto"/>
                <w:sz w:val="24"/>
              </w:rPr>
              <w:t>dB(A)</w:t>
            </w:r>
            <w:r>
              <w:rPr>
                <w:rFonts w:hAnsi="宋体"/>
                <w:color w:val="auto"/>
                <w:sz w:val="24"/>
              </w:rPr>
              <w:t>之间。</w:t>
            </w:r>
            <w:r>
              <w:rPr>
                <w:rFonts w:hint="eastAsia" w:ascii="宋体" w:hAnsi="宋体" w:cs="宋体"/>
                <w:b w:val="0"/>
                <w:bCs w:val="0"/>
                <w:color w:val="auto"/>
                <w:sz w:val="24"/>
                <w:u w:val="none"/>
              </w:rPr>
              <w:t>根据《环境影响评价技术导则</w:t>
            </w:r>
            <w:r>
              <w:rPr>
                <w:rFonts w:ascii="宋体" w:hAnsi="宋体" w:cs="宋体"/>
                <w:b w:val="0"/>
                <w:bCs w:val="0"/>
                <w:color w:val="auto"/>
                <w:sz w:val="24"/>
                <w:u w:val="none"/>
              </w:rPr>
              <w:t xml:space="preserve"> </w:t>
            </w:r>
            <w:r>
              <w:rPr>
                <w:rFonts w:hint="eastAsia" w:ascii="宋体" w:hAnsi="宋体" w:cs="宋体"/>
                <w:b w:val="0"/>
                <w:bCs w:val="0"/>
                <w:color w:val="auto"/>
                <w:sz w:val="24"/>
                <w:u w:val="none"/>
              </w:rPr>
              <w:t>声环境》</w:t>
            </w:r>
            <w:r>
              <w:rPr>
                <w:rFonts w:hint="default" w:ascii="Times New Roman" w:hAnsi="Times New Roman" w:eastAsia="宋体" w:cs="Times New Roman"/>
                <w:b w:val="0"/>
                <w:bCs w:val="0"/>
                <w:color w:val="auto"/>
                <w:sz w:val="24"/>
                <w:u w:val="none"/>
              </w:rPr>
              <w:t>（HJ2.4-2009）</w:t>
            </w:r>
            <w:r>
              <w:rPr>
                <w:rFonts w:hint="eastAsia" w:ascii="Times New Roman" w:hAnsi="Times New Roman" w:eastAsia="宋体" w:cs="Times New Roman"/>
                <w:b w:val="0"/>
                <w:bCs w:val="0"/>
                <w:color w:val="auto"/>
                <w:sz w:val="24"/>
                <w:u w:val="none"/>
                <w:lang w:eastAsia="zh-CN"/>
              </w:rPr>
              <w:t>，</w:t>
            </w:r>
            <w:r>
              <w:rPr>
                <w:rFonts w:hint="eastAsia" w:ascii="宋体" w:hAnsi="宋体" w:cs="宋体"/>
                <w:b w:val="0"/>
                <w:bCs w:val="0"/>
                <w:color w:val="auto"/>
                <w:sz w:val="24"/>
                <w:u w:val="none"/>
              </w:rPr>
              <w:t>项目可按照面声源预测模式进行预测。</w:t>
            </w: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b w:val="0"/>
                <w:bCs w:val="0"/>
                <w:color w:val="auto"/>
                <w:sz w:val="24"/>
                <w:highlight w:val="none"/>
                <w:u w:val="none"/>
              </w:rPr>
            </w:pPr>
          </w:p>
          <w:p>
            <w:pPr>
              <w:adjustRightInd w:val="0"/>
              <w:snapToGrid w:val="0"/>
              <w:spacing w:line="360" w:lineRule="auto"/>
              <w:ind w:firstLine="480" w:firstLineChars="200"/>
              <w:rPr>
                <w:rFonts w:hint="eastAsia" w:ascii="宋体" w:hAnsi="宋体" w:cs="宋体"/>
                <w:b w:val="0"/>
                <w:bCs w:val="0"/>
                <w:color w:val="auto"/>
                <w:sz w:val="24"/>
                <w:u w:val="none"/>
              </w:rPr>
            </w:pPr>
          </w:p>
          <w:p>
            <w:pPr>
              <w:pStyle w:val="9"/>
              <w:spacing w:line="360" w:lineRule="auto"/>
              <w:ind w:firstLine="480" w:firstLineChars="200"/>
              <w:rPr>
                <w:b w:val="0"/>
                <w:bCs w:val="0"/>
                <w:color w:val="auto"/>
                <w:highlight w:val="none"/>
                <w:u w:val="none"/>
              </w:rPr>
            </w:pPr>
            <w:r>
              <w:rPr>
                <w:rFonts w:hint="eastAsia"/>
                <w:b w:val="0"/>
                <w:bCs w:val="0"/>
                <w:color w:val="auto"/>
                <w:highlight w:val="none"/>
                <w:u w:val="none"/>
              </w:rPr>
              <w:t>预测点和面声源中心距离</w:t>
            </w:r>
            <w:r>
              <w:rPr>
                <w:b w:val="0"/>
                <w:bCs w:val="0"/>
                <w:color w:val="auto"/>
                <w:highlight w:val="none"/>
                <w:u w:val="none"/>
              </w:rPr>
              <w:t>r</w:t>
            </w:r>
            <w:r>
              <w:rPr>
                <w:rFonts w:hint="eastAsia"/>
                <w:b w:val="0"/>
                <w:bCs w:val="0"/>
                <w:color w:val="auto"/>
                <w:highlight w:val="none"/>
                <w:u w:val="none"/>
              </w:rPr>
              <w:t>处于以下条件时，可按下述方法近似计算：</w:t>
            </w:r>
          </w:p>
          <w:p>
            <w:pPr>
              <w:pStyle w:val="9"/>
              <w:spacing w:line="360" w:lineRule="auto"/>
              <w:ind w:firstLine="480" w:firstLineChars="200"/>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r＜a/π时，几乎不衰减；</w:t>
            </w:r>
          </w:p>
          <w:p>
            <w:pPr>
              <w:pStyle w:val="9"/>
              <w:spacing w:line="360" w:lineRule="auto"/>
              <w:ind w:firstLine="480" w:firstLineChars="200"/>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a/π＜r＜b/π时，距离加倍衰减3dB左右，类似线声源衰减特性；</w:t>
            </w:r>
          </w:p>
          <w:p>
            <w:pPr>
              <w:pStyle w:val="9"/>
              <w:spacing w:line="360" w:lineRule="auto"/>
              <w:ind w:firstLine="480" w:firstLineChars="200"/>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r＞b/π时，距离加倍衰减6dB左右，类似点声源衰减特性。</w:t>
            </w:r>
          </w:p>
          <w:p>
            <w:pPr>
              <w:spacing w:before="16" w:line="360" w:lineRule="auto"/>
              <w:ind w:right="3162" w:firstLine="480" w:firstLineChars="200"/>
              <w:jc w:val="left"/>
              <w:rPr>
                <w:b w:val="0"/>
                <w:bCs w:val="0"/>
                <w:color w:val="auto"/>
                <w:sz w:val="12"/>
                <w:szCs w:val="12"/>
                <w:highlight w:val="none"/>
                <w:u w:val="none"/>
              </w:rPr>
            </w:pPr>
            <w:r>
              <w:rPr>
                <w:rFonts w:hint="eastAsia" w:ascii="宋体" w:hAnsi="宋体" w:cs="宋体"/>
                <w:b w:val="0"/>
                <w:bCs w:val="0"/>
                <w:color w:val="auto"/>
                <w:sz w:val="24"/>
                <w:highlight w:val="none"/>
                <w:u w:val="none"/>
              </w:rPr>
              <w:t>噪声叠加模式：</w:t>
            </w:r>
          </w:p>
          <w:p>
            <w:pPr>
              <w:spacing w:before="81" w:line="116" w:lineRule="exact"/>
              <w:ind w:right="1597" w:firstLine="3381" w:firstLineChars="2300"/>
              <w:rPr>
                <w:rFonts w:eastAsia="Times New Roman"/>
                <w:b w:val="0"/>
                <w:bCs w:val="0"/>
                <w:color w:val="auto"/>
                <w:sz w:val="14"/>
                <w:szCs w:val="14"/>
                <w:highlight w:val="none"/>
                <w:u w:val="none"/>
              </w:rPr>
            </w:pPr>
            <w:r>
              <w:rPr>
                <w:b w:val="0"/>
                <w:bCs w:val="0"/>
                <w:i/>
                <w:color w:val="auto"/>
                <w:w w:val="105"/>
                <w:sz w:val="14"/>
                <w:highlight w:val="none"/>
                <w:u w:val="none"/>
              </w:rPr>
              <w:t>n</w:t>
            </w:r>
          </w:p>
          <w:p>
            <w:pPr>
              <w:spacing w:line="364" w:lineRule="exact"/>
              <w:ind w:left="2336"/>
              <w:jc w:val="left"/>
              <w:rPr>
                <w:rFonts w:eastAsia="Times New Roman"/>
                <w:b w:val="0"/>
                <w:bCs w:val="0"/>
                <w:color w:val="auto"/>
                <w:sz w:val="14"/>
                <w:szCs w:val="14"/>
                <w:highlight w:val="none"/>
                <w:u w:val="none"/>
              </w:rPr>
            </w:pPr>
            <w:r>
              <w:rPr>
                <w:rFonts w:hint="default" w:ascii="Times New Roman" w:hAnsi="Times New Roman" w:eastAsia="Times New Roman" w:cs="Times New Roman"/>
                <w:b w:val="0"/>
                <w:bCs w:val="0"/>
                <w:i/>
                <w:color w:val="auto"/>
                <w:spacing w:val="-1"/>
                <w:w w:val="110"/>
                <w:sz w:val="23"/>
                <w:szCs w:val="23"/>
                <w:highlight w:val="none"/>
                <w:u w:val="none"/>
              </w:rPr>
              <w:t>L</w:t>
            </w:r>
            <w:r>
              <w:rPr>
                <w:rFonts w:hint="default" w:ascii="Times New Roman" w:hAnsi="Times New Roman" w:eastAsia="Times New Roman" w:cs="Times New Roman"/>
                <w:b w:val="0"/>
                <w:bCs w:val="0"/>
                <w:color w:val="auto"/>
                <w:spacing w:val="-1"/>
                <w:w w:val="110"/>
                <w:sz w:val="23"/>
                <w:szCs w:val="23"/>
                <w:highlight w:val="none"/>
                <w:u w:val="none"/>
              </w:rPr>
              <w:t>p</w:t>
            </w:r>
            <w:r>
              <w:rPr>
                <w:rFonts w:eastAsia="Times New Roman"/>
                <w:b w:val="0"/>
                <w:bCs w:val="0"/>
                <w:color w:val="auto"/>
                <w:spacing w:val="-9"/>
                <w:w w:val="110"/>
                <w:sz w:val="23"/>
                <w:szCs w:val="23"/>
                <w:highlight w:val="none"/>
                <w:u w:val="none"/>
              </w:rPr>
              <w:t xml:space="preserve"> </w:t>
            </w:r>
            <w:r>
              <w:rPr>
                <w:rFonts w:ascii="Symbol" w:hAnsi="Symbol" w:eastAsia="Times New Roman" w:cs="Symbol"/>
                <w:b w:val="0"/>
                <w:bCs w:val="0"/>
                <w:color w:val="auto"/>
                <w:w w:val="110"/>
                <w:sz w:val="23"/>
                <w:szCs w:val="23"/>
                <w:highlight w:val="none"/>
                <w:u w:val="none"/>
              </w:rPr>
              <w:t></w:t>
            </w:r>
            <w:r>
              <w:rPr>
                <w:rFonts w:ascii="Symbol" w:hAnsi="Symbol" w:eastAsia="Times New Roman" w:cs="Symbol"/>
                <w:b w:val="0"/>
                <w:bCs w:val="0"/>
                <w:color w:val="auto"/>
                <w:spacing w:val="-34"/>
                <w:w w:val="110"/>
                <w:sz w:val="23"/>
                <w:szCs w:val="23"/>
                <w:highlight w:val="none"/>
                <w:u w:val="none"/>
              </w:rPr>
              <w:t></w:t>
            </w:r>
            <w:r>
              <w:rPr>
                <w:rFonts w:eastAsia="Times New Roman"/>
                <w:b w:val="0"/>
                <w:bCs w:val="0"/>
                <w:color w:val="auto"/>
                <w:spacing w:val="-2"/>
                <w:w w:val="110"/>
                <w:sz w:val="23"/>
                <w:szCs w:val="23"/>
                <w:highlight w:val="none"/>
                <w:u w:val="none"/>
              </w:rPr>
              <w:t>10</w:t>
            </w:r>
            <w:r>
              <w:rPr>
                <w:rFonts w:eastAsia="Times New Roman"/>
                <w:b w:val="0"/>
                <w:bCs w:val="0"/>
                <w:color w:val="auto"/>
                <w:spacing w:val="-42"/>
                <w:w w:val="110"/>
                <w:sz w:val="23"/>
                <w:szCs w:val="23"/>
                <w:highlight w:val="none"/>
                <w:u w:val="none"/>
              </w:rPr>
              <w:t xml:space="preserve"> </w:t>
            </w:r>
            <w:r>
              <w:rPr>
                <w:rFonts w:eastAsia="Times New Roman"/>
                <w:b w:val="0"/>
                <w:bCs w:val="0"/>
                <w:color w:val="auto"/>
                <w:spacing w:val="-6"/>
                <w:w w:val="110"/>
                <w:sz w:val="23"/>
                <w:szCs w:val="23"/>
                <w:highlight w:val="none"/>
                <w:u w:val="none"/>
              </w:rPr>
              <w:t>lg</w:t>
            </w:r>
            <w:r>
              <w:rPr>
                <w:rFonts w:eastAsia="Times New Roman"/>
                <w:b w:val="0"/>
                <w:bCs w:val="0"/>
                <w:color w:val="auto"/>
                <w:spacing w:val="-31"/>
                <w:w w:val="110"/>
                <w:sz w:val="23"/>
                <w:szCs w:val="23"/>
                <w:highlight w:val="none"/>
                <w:u w:val="none"/>
              </w:rPr>
              <w:t xml:space="preserve"> </w:t>
            </w:r>
            <w:r>
              <w:rPr>
                <w:rFonts w:ascii="Symbol" w:hAnsi="Symbol" w:eastAsia="Times New Roman" w:cs="Symbol"/>
                <w:b w:val="0"/>
                <w:bCs w:val="0"/>
                <w:color w:val="auto"/>
                <w:spacing w:val="3"/>
                <w:w w:val="110"/>
                <w:position w:val="-4"/>
                <w:sz w:val="35"/>
                <w:szCs w:val="35"/>
                <w:highlight w:val="none"/>
                <w:u w:val="none"/>
              </w:rPr>
              <w:t></w:t>
            </w:r>
            <w:r>
              <w:rPr>
                <w:rFonts w:eastAsia="Times New Roman"/>
                <w:b w:val="0"/>
                <w:bCs w:val="0"/>
                <w:color w:val="auto"/>
                <w:spacing w:val="3"/>
                <w:w w:val="110"/>
                <w:sz w:val="23"/>
                <w:szCs w:val="23"/>
                <w:highlight w:val="none"/>
                <w:u w:val="none"/>
              </w:rPr>
              <w:t>10</w:t>
            </w:r>
            <w:r>
              <w:rPr>
                <w:rFonts w:eastAsia="Times New Roman"/>
                <w:b w:val="0"/>
                <w:bCs w:val="0"/>
                <w:i/>
                <w:color w:val="auto"/>
                <w:spacing w:val="3"/>
                <w:w w:val="110"/>
                <w:position w:val="11"/>
                <w:sz w:val="14"/>
                <w:szCs w:val="14"/>
                <w:highlight w:val="none"/>
                <w:u w:val="none"/>
              </w:rPr>
              <w:t>Li</w:t>
            </w:r>
            <w:r>
              <w:rPr>
                <w:rFonts w:eastAsia="Times New Roman"/>
                <w:b w:val="0"/>
                <w:bCs w:val="0"/>
                <w:i/>
                <w:color w:val="auto"/>
                <w:spacing w:val="-16"/>
                <w:w w:val="110"/>
                <w:position w:val="11"/>
                <w:sz w:val="14"/>
                <w:szCs w:val="14"/>
                <w:highlight w:val="none"/>
                <w:u w:val="none"/>
              </w:rPr>
              <w:t xml:space="preserve"> </w:t>
            </w:r>
            <w:r>
              <w:rPr>
                <w:rFonts w:eastAsia="Times New Roman"/>
                <w:b w:val="0"/>
                <w:bCs w:val="0"/>
                <w:color w:val="auto"/>
                <w:w w:val="110"/>
                <w:position w:val="11"/>
                <w:sz w:val="14"/>
                <w:szCs w:val="14"/>
                <w:highlight w:val="none"/>
                <w:u w:val="none"/>
              </w:rPr>
              <w:t>/</w:t>
            </w:r>
            <w:r>
              <w:rPr>
                <w:rFonts w:eastAsia="Times New Roman"/>
                <w:b w:val="0"/>
                <w:bCs w:val="0"/>
                <w:color w:val="auto"/>
                <w:spacing w:val="-28"/>
                <w:w w:val="110"/>
                <w:position w:val="11"/>
                <w:sz w:val="14"/>
                <w:szCs w:val="14"/>
                <w:highlight w:val="none"/>
                <w:u w:val="none"/>
              </w:rPr>
              <w:t xml:space="preserve"> </w:t>
            </w:r>
            <w:r>
              <w:rPr>
                <w:rFonts w:eastAsia="Times New Roman"/>
                <w:b w:val="0"/>
                <w:bCs w:val="0"/>
                <w:color w:val="auto"/>
                <w:spacing w:val="8"/>
                <w:w w:val="110"/>
                <w:position w:val="11"/>
                <w:sz w:val="14"/>
                <w:szCs w:val="14"/>
                <w:highlight w:val="none"/>
                <w:u w:val="none"/>
              </w:rPr>
              <w:t>10</w:t>
            </w:r>
          </w:p>
          <w:p>
            <w:pPr>
              <w:spacing w:line="152" w:lineRule="exact"/>
              <w:ind w:right="1587" w:firstLine="3381" w:firstLineChars="2300"/>
              <w:rPr>
                <w:rFonts w:eastAsia="Times New Roman"/>
                <w:b w:val="0"/>
                <w:bCs w:val="0"/>
                <w:color w:val="auto"/>
                <w:sz w:val="14"/>
                <w:szCs w:val="14"/>
                <w:highlight w:val="none"/>
                <w:u w:val="none"/>
              </w:rPr>
            </w:pPr>
            <w:r>
              <w:rPr>
                <w:rFonts w:eastAsia="Times New Roman"/>
                <w:b w:val="0"/>
                <w:bCs w:val="0"/>
                <w:i/>
                <w:color w:val="auto"/>
                <w:w w:val="105"/>
                <w:sz w:val="14"/>
                <w:szCs w:val="14"/>
                <w:highlight w:val="none"/>
                <w:u w:val="none"/>
              </w:rPr>
              <w:t>i</w:t>
            </w:r>
            <w:r>
              <w:rPr>
                <w:rFonts w:ascii="Symbol" w:hAnsi="Symbol" w:cs="Symbol"/>
                <w:b w:val="0"/>
                <w:bCs w:val="0"/>
                <w:color w:val="auto"/>
                <w:w w:val="105"/>
                <w:sz w:val="14"/>
                <w:szCs w:val="14"/>
                <w:highlight w:val="none"/>
                <w:u w:val="none"/>
              </w:rPr>
              <w:t></w:t>
            </w:r>
            <w:r>
              <w:rPr>
                <w:rFonts w:eastAsia="Times New Roman"/>
                <w:b w:val="0"/>
                <w:bCs w:val="0"/>
                <w:color w:val="auto"/>
                <w:w w:val="105"/>
                <w:sz w:val="14"/>
                <w:szCs w:val="14"/>
                <w:highlight w:val="none"/>
                <w:u w:val="none"/>
              </w:rPr>
              <w:t>1</w:t>
            </w:r>
          </w:p>
          <w:p>
            <w:pPr>
              <w:pStyle w:val="6"/>
              <w:keepNext w:val="0"/>
              <w:keepLines w:val="0"/>
              <w:pageBreakBefore w:val="0"/>
              <w:widowControl w:val="0"/>
              <w:kinsoku/>
              <w:wordWrap/>
              <w:overflowPunct/>
              <w:topLinePunct w:val="0"/>
              <w:autoSpaceDE/>
              <w:autoSpaceDN/>
              <w:bidi w:val="0"/>
              <w:adjustRightInd w:val="0"/>
              <w:snapToGrid w:val="0"/>
              <w:spacing w:before="120" w:line="360" w:lineRule="auto"/>
              <w:ind w:right="3162" w:firstLine="480" w:firstLineChars="200"/>
              <w:jc w:val="left"/>
              <w:textAlignment w:val="auto"/>
              <w:rPr>
                <w:rFonts w:hint="default" w:ascii="Times New Roman" w:hAnsi="Times New Roman" w:cs="Times New Roman"/>
                <w:b w:val="0"/>
                <w:bCs w:val="0"/>
                <w:color w:val="auto"/>
                <w:highlight w:val="none"/>
                <w:u w:val="none"/>
              </w:rPr>
            </w:pPr>
            <w:r>
              <w:rPr>
                <w:rFonts w:hint="eastAsia"/>
                <w:b w:val="0"/>
                <w:bCs w:val="0"/>
                <w:color w:val="auto"/>
                <w:highlight w:val="none"/>
                <w:u w:val="none"/>
              </w:rPr>
              <w:t>式中：</w:t>
            </w:r>
            <w:r>
              <w:rPr>
                <w:rFonts w:hint="default" w:ascii="Times New Roman" w:hAnsi="Times New Roman" w:cs="Times New Roman"/>
                <w:b w:val="0"/>
                <w:bCs w:val="0"/>
                <w:color w:val="auto"/>
                <w:highlight w:val="none"/>
                <w:u w:val="none"/>
              </w:rPr>
              <w:t>Lp—预测点噪声叠加值，dB(A)；</w:t>
            </w:r>
          </w:p>
          <w:p>
            <w:pPr>
              <w:keepNext w:val="0"/>
              <w:keepLines w:val="0"/>
              <w:pageBreakBefore w:val="0"/>
              <w:widowControl w:val="0"/>
              <w:kinsoku/>
              <w:wordWrap/>
              <w:overflowPunct/>
              <w:topLinePunct w:val="0"/>
              <w:autoSpaceDE/>
              <w:autoSpaceDN/>
              <w:bidi w:val="0"/>
              <w:adjustRightInd w:val="0"/>
              <w:snapToGrid w:val="0"/>
              <w:spacing w:line="360" w:lineRule="auto"/>
              <w:ind w:firstLine="1320" w:firstLineChars="55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Li—第i个声源的声压级，dB(A)。</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b w:val="0"/>
                <w:bCs w:val="0"/>
                <w:color w:val="auto"/>
                <w:sz w:val="24"/>
                <w:highlight w:val="none"/>
                <w:u w:val="none"/>
              </w:rPr>
            </w:pPr>
            <w:r>
              <w:rPr>
                <w:rFonts w:hint="eastAsia" w:ascii="Times New Roman" w:hAnsi="Times New Roman" w:cs="Times New Roman"/>
                <w:b w:val="0"/>
                <w:bCs w:val="0"/>
                <w:color w:val="auto"/>
                <w:sz w:val="24"/>
                <w:highlight w:val="none"/>
                <w:u w:val="none"/>
                <w:lang w:val="en-US" w:eastAsia="zh-CN"/>
              </w:rPr>
              <w:t>本项目所有生产设备均位于生产车间之内，全部设备噪声源叠加到声源中心后的噪声叠加值见下表。</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default" w:hAnsi="宋体"/>
                <w:color w:val="auto"/>
                <w:sz w:val="24"/>
                <w:lang w:val="en-US" w:eastAsia="zh-CN"/>
              </w:rPr>
            </w:pPr>
            <w:r>
              <w:rPr>
                <w:rFonts w:hint="eastAsia" w:hAnsi="Times New Roman" w:eastAsia="宋体"/>
                <w:b w:val="0"/>
                <w:bCs w:val="0"/>
                <w:color w:val="auto"/>
                <w:highlight w:val="none"/>
                <w:u w:val="none"/>
              </w:rPr>
              <w:t>表</w:t>
            </w:r>
            <w:r>
              <w:rPr>
                <w:rFonts w:hint="eastAsia" w:hAnsi="Times New Roman" w:eastAsia="宋体"/>
                <w:b w:val="0"/>
                <w:bCs w:val="0"/>
                <w:color w:val="auto"/>
                <w:highlight w:val="none"/>
                <w:u w:val="none"/>
                <w:lang w:val="en-US" w:eastAsia="zh-CN"/>
              </w:rPr>
              <w:t xml:space="preserve">21        </w:t>
            </w:r>
            <w:r>
              <w:rPr>
                <w:rFonts w:hint="eastAsia" w:hAnsi="Times New Roman" w:eastAsia="宋体"/>
                <w:b w:val="0"/>
                <w:bCs w:val="0"/>
                <w:color w:val="auto"/>
                <w:highlight w:val="none"/>
                <w:u w:val="none"/>
              </w:rPr>
              <w:t>主要设备噪声及治理措施</w:t>
            </w:r>
          </w:p>
          <w:tbl>
            <w:tblPr>
              <w:tblStyle w:val="15"/>
              <w:tblW w:w="8714"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87"/>
              <w:gridCol w:w="1271"/>
              <w:gridCol w:w="1512"/>
              <w:gridCol w:w="948"/>
              <w:gridCol w:w="1332"/>
              <w:gridCol w:w="296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1271"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噪声源</w:t>
                  </w: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eastAsia="zh-CN"/>
                    </w:rPr>
                  </w:pPr>
                  <w:r>
                    <w:rPr>
                      <w:rFonts w:hint="eastAsia" w:cs="Times New Roman"/>
                      <w:b w:val="0"/>
                      <w:bCs w:val="0"/>
                      <w:color w:val="auto"/>
                      <w:sz w:val="21"/>
                      <w:szCs w:val="21"/>
                      <w:highlight w:val="none"/>
                      <w:u w:val="none"/>
                      <w:lang w:eastAsia="zh-CN"/>
                    </w:rPr>
                    <w:t>规格</w:t>
                  </w:r>
                  <w:r>
                    <w:rPr>
                      <w:rFonts w:hint="eastAsia" w:cs="Times New Roman"/>
                      <w:b w:val="0"/>
                      <w:bCs w:val="0"/>
                      <w:color w:val="auto"/>
                      <w:sz w:val="21"/>
                      <w:szCs w:val="21"/>
                      <w:highlight w:val="none"/>
                      <w:u w:val="none"/>
                      <w:lang w:val="en-US" w:eastAsia="zh-CN"/>
                    </w:rPr>
                    <w:t>/</w:t>
                  </w:r>
                  <w:r>
                    <w:rPr>
                      <w:rFonts w:hint="eastAsia" w:cs="Times New Roman"/>
                      <w:b w:val="0"/>
                      <w:bCs w:val="0"/>
                      <w:color w:val="auto"/>
                      <w:sz w:val="21"/>
                      <w:szCs w:val="21"/>
                      <w:highlight w:val="none"/>
                      <w:u w:val="none"/>
                      <w:lang w:eastAsia="zh-CN"/>
                    </w:rPr>
                    <w:t>型号</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数量</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源强dB(A)</w:t>
                  </w:r>
                </w:p>
              </w:tc>
              <w:tc>
                <w:tcPr>
                  <w:tcW w:w="29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color w:val="auto"/>
                      <w:kern w:val="0"/>
                      <w:sz w:val="21"/>
                      <w:szCs w:val="21"/>
                      <w:highlight w:val="none"/>
                      <w:u w:val="none"/>
                      <w:lang w:val="en-US" w:eastAsia="zh-CN" w:bidi="ar"/>
                    </w:rPr>
                    <w:t>设备噪声在声源中心叠加后的噪声值</w:t>
                  </w:r>
                  <w:r>
                    <w:rPr>
                      <w:rFonts w:hint="default" w:ascii="Times New Roman" w:hAnsi="Times New Roman" w:eastAsia="Times New Roman" w:cs="Times New Roman"/>
                      <w:b w:val="0"/>
                      <w:bCs w:val="0"/>
                      <w:color w:val="auto"/>
                      <w:kern w:val="0"/>
                      <w:sz w:val="21"/>
                      <w:szCs w:val="21"/>
                      <w:highlight w:val="none"/>
                      <w:u w:val="none"/>
                      <w:lang w:val="en-US" w:eastAsia="zh-CN" w:bidi="ar"/>
                    </w:rPr>
                    <w:t>[dB</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A</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1</w:t>
                  </w:r>
                </w:p>
              </w:tc>
              <w:tc>
                <w:tcPr>
                  <w:tcW w:w="1271" w:type="dxa"/>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color w:val="auto"/>
                      <w:sz w:val="21"/>
                      <w:szCs w:val="21"/>
                      <w:lang w:eastAsia="zh-CN"/>
                    </w:rPr>
                    <w:t>车床</w:t>
                  </w: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r>
                    <w:rPr>
                      <w:rFonts w:hint="eastAsia" w:cs="Times New Roman"/>
                      <w:color w:val="auto"/>
                      <w:sz w:val="21"/>
                      <w:szCs w:val="21"/>
                      <w:lang w:val="en-US" w:eastAsia="zh-CN"/>
                    </w:rPr>
                    <w:t>CW6163B</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color w:val="auto"/>
                      <w:sz w:val="21"/>
                      <w:szCs w:val="21"/>
                      <w:lang w:val="en-US" w:eastAsia="zh-CN"/>
                    </w:rPr>
                    <w:t>5台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73</w:t>
                  </w:r>
                </w:p>
              </w:tc>
              <w:tc>
                <w:tcPr>
                  <w:tcW w:w="296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yellow"/>
                      <w:u w:val="none"/>
                      <w:lang w:val="en-US" w:eastAsia="zh-CN"/>
                    </w:rPr>
                  </w:pPr>
                  <w:r>
                    <w:rPr>
                      <w:rFonts w:hint="eastAsia" w:cs="Times New Roman"/>
                      <w:b w:val="0"/>
                      <w:bCs w:val="0"/>
                      <w:color w:val="auto"/>
                      <w:sz w:val="21"/>
                      <w:szCs w:val="21"/>
                      <w:highlight w:val="none"/>
                      <w:u w:val="none"/>
                      <w:lang w:val="en-US" w:eastAsia="zh-CN"/>
                    </w:rPr>
                    <w:t>76</w:t>
                  </w:r>
                  <w:r>
                    <w:rPr>
                      <w:rFonts w:hint="eastAsia" w:ascii="Times New Roman" w:hAnsi="Times New Roman" w:eastAsia="宋体" w:cs="Times New Roman"/>
                      <w:b w:val="0"/>
                      <w:bCs w:val="0"/>
                      <w:color w:val="auto"/>
                      <w:sz w:val="21"/>
                      <w:szCs w:val="21"/>
                      <w:highlight w:val="none"/>
                      <w:u w:val="none"/>
                      <w:lang w:val="en-US" w:eastAsia="zh-CN"/>
                    </w:rPr>
                    <w:t>.</w:t>
                  </w:r>
                  <w:r>
                    <w:rPr>
                      <w:rFonts w:hint="eastAsia" w:cs="Times New Roman"/>
                      <w:b w:val="0"/>
                      <w:bCs w:val="0"/>
                      <w:color w:val="auto"/>
                      <w:sz w:val="21"/>
                      <w:szCs w:val="21"/>
                      <w:highlight w:val="none"/>
                      <w:u w:val="no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eastAsia="zh-CN"/>
                    </w:rPr>
                  </w:pPr>
                </w:p>
              </w:tc>
              <w:tc>
                <w:tcPr>
                  <w:tcW w:w="1271" w:type="dxa"/>
                  <w:vMerge w:val="continue"/>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rPr>
                  </w:pP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rPr>
                  </w:pPr>
                  <w:r>
                    <w:rPr>
                      <w:rFonts w:hint="eastAsia" w:cs="Times New Roman"/>
                      <w:color w:val="auto"/>
                      <w:sz w:val="21"/>
                      <w:szCs w:val="21"/>
                      <w:lang w:val="en-US" w:eastAsia="zh-CN"/>
                    </w:rPr>
                    <w:t>CW6180</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color w:val="auto"/>
                      <w:sz w:val="21"/>
                      <w:szCs w:val="21"/>
                      <w:lang w:val="en-US" w:eastAsia="zh-CN"/>
                    </w:rPr>
                    <w:t>2台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75</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eastAsia="zh-CN"/>
                    </w:rPr>
                  </w:pPr>
                </w:p>
              </w:tc>
              <w:tc>
                <w:tcPr>
                  <w:tcW w:w="1271" w:type="dxa"/>
                  <w:vMerge w:val="continue"/>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eastAsia="zh-CN"/>
                    </w:rPr>
                  </w:pP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eastAsia="zh-CN"/>
                    </w:rPr>
                  </w:pPr>
                  <w:r>
                    <w:rPr>
                      <w:rFonts w:hint="eastAsia" w:cs="Times New Roman"/>
                      <w:color w:val="auto"/>
                      <w:sz w:val="21"/>
                      <w:szCs w:val="21"/>
                      <w:lang w:val="en-US" w:eastAsia="zh-CN"/>
                    </w:rPr>
                    <w:t>PL400</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color w:val="auto"/>
                      <w:sz w:val="21"/>
                      <w:szCs w:val="21"/>
                      <w:lang w:val="en-US" w:eastAsia="zh-CN"/>
                    </w:rPr>
                    <w:t>2台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70</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eastAsia="zh-CN"/>
                    </w:rPr>
                  </w:pPr>
                </w:p>
              </w:tc>
              <w:tc>
                <w:tcPr>
                  <w:tcW w:w="1271" w:type="dxa"/>
                  <w:vMerge w:val="continue"/>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rPr>
                  </w:pP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rPr>
                  </w:pPr>
                  <w:r>
                    <w:rPr>
                      <w:rFonts w:hint="eastAsia" w:cs="Times New Roman"/>
                      <w:color w:val="auto"/>
                      <w:sz w:val="21"/>
                      <w:szCs w:val="21"/>
                      <w:lang w:val="en-US" w:eastAsia="zh-CN"/>
                    </w:rPr>
                    <w:t>CDE6140</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color w:val="auto"/>
                      <w:sz w:val="21"/>
                      <w:szCs w:val="21"/>
                      <w:lang w:val="en-US" w:eastAsia="zh-CN"/>
                    </w:rPr>
                    <w:t>9台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75</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2</w:t>
                  </w:r>
                </w:p>
              </w:tc>
              <w:tc>
                <w:tcPr>
                  <w:tcW w:w="1271" w:type="dxa"/>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color w:val="auto"/>
                      <w:sz w:val="21"/>
                      <w:szCs w:val="21"/>
                      <w:lang w:eastAsia="zh-CN"/>
                    </w:rPr>
                    <w:t>立车</w:t>
                  </w: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r>
                    <w:rPr>
                      <w:rFonts w:hint="eastAsia" w:cs="Times New Roman"/>
                      <w:color w:val="auto"/>
                      <w:sz w:val="21"/>
                      <w:szCs w:val="21"/>
                      <w:lang w:val="en-US" w:eastAsia="zh-CN"/>
                    </w:rPr>
                    <w:t>C5110</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eastAsia" w:cs="Times New Roman"/>
                      <w:color w:val="auto"/>
                      <w:sz w:val="21"/>
                      <w:szCs w:val="21"/>
                      <w:lang w:val="en-US" w:eastAsia="zh-CN"/>
                    </w:rPr>
                    <w:t>1台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79</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lang w:val="en-US" w:eastAsia="zh-CN"/>
                    </w:rPr>
                  </w:pPr>
                </w:p>
              </w:tc>
              <w:tc>
                <w:tcPr>
                  <w:tcW w:w="1271" w:type="dxa"/>
                  <w:vMerge w:val="continue"/>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color w:val="auto"/>
                      <w:sz w:val="21"/>
                      <w:szCs w:val="21"/>
                      <w:lang w:val="en-US" w:eastAsia="zh-CN"/>
                    </w:rPr>
                    <w:t>C516</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eastAsia" w:cs="Times New Roman"/>
                      <w:color w:val="auto"/>
                      <w:sz w:val="21"/>
                      <w:szCs w:val="21"/>
                      <w:lang w:val="en-US" w:eastAsia="zh-CN"/>
                    </w:rPr>
                    <w:t>1台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76</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3</w:t>
                  </w:r>
                </w:p>
              </w:tc>
              <w:tc>
                <w:tcPr>
                  <w:tcW w:w="1271"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color w:val="auto"/>
                      <w:sz w:val="21"/>
                      <w:szCs w:val="21"/>
                      <w:lang w:eastAsia="zh-CN"/>
                    </w:rPr>
                    <w:t>钻床</w:t>
                  </w: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r>
                    <w:rPr>
                      <w:rFonts w:hint="eastAsia" w:cs="Times New Roman"/>
                      <w:color w:val="auto"/>
                      <w:sz w:val="21"/>
                      <w:szCs w:val="21"/>
                      <w:lang w:val="en-US" w:eastAsia="zh-CN"/>
                    </w:rPr>
                    <w:t>Z3050×16</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eastAsia" w:cs="Times New Roman"/>
                      <w:color w:val="auto"/>
                      <w:sz w:val="21"/>
                      <w:szCs w:val="21"/>
                      <w:lang w:val="en-US" w:eastAsia="zh-CN"/>
                    </w:rPr>
                    <w:t>3台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77</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4</w:t>
                  </w:r>
                </w:p>
              </w:tc>
              <w:tc>
                <w:tcPr>
                  <w:tcW w:w="1271"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i w:val="0"/>
                      <w:color w:val="auto"/>
                      <w:kern w:val="0"/>
                      <w:sz w:val="21"/>
                      <w:szCs w:val="21"/>
                      <w:u w:val="none"/>
                      <w:lang w:val="en-US" w:eastAsia="zh-CN" w:bidi="ar"/>
                    </w:rPr>
                  </w:pPr>
                  <w:r>
                    <w:rPr>
                      <w:rFonts w:hint="eastAsia" w:cs="Times New Roman"/>
                      <w:color w:val="auto"/>
                      <w:sz w:val="21"/>
                      <w:szCs w:val="21"/>
                      <w:lang w:eastAsia="zh-CN"/>
                    </w:rPr>
                    <w:t>台钻</w:t>
                  </w:r>
                </w:p>
              </w:tc>
              <w:tc>
                <w:tcPr>
                  <w:tcW w:w="1512"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auto"/>
                      <w:sz w:val="21"/>
                      <w:szCs w:val="21"/>
                      <w:lang w:eastAsia="zh-CN"/>
                    </w:rPr>
                  </w:pPr>
                  <w:r>
                    <w:rPr>
                      <w:rFonts w:hint="eastAsia" w:cs="Times New Roman"/>
                      <w:color w:val="auto"/>
                      <w:sz w:val="21"/>
                      <w:szCs w:val="21"/>
                      <w:lang w:val="en-US" w:eastAsia="zh-CN"/>
                    </w:rPr>
                    <w:t>Z040</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val="en-US" w:eastAsia="zh-CN"/>
                    </w:rPr>
                  </w:pPr>
                  <w:r>
                    <w:rPr>
                      <w:rFonts w:hint="eastAsia" w:cs="Times New Roman"/>
                      <w:color w:val="auto"/>
                      <w:sz w:val="21"/>
                      <w:szCs w:val="21"/>
                      <w:lang w:val="en-US" w:eastAsia="zh-CN"/>
                    </w:rPr>
                    <w:t>15台</w:t>
                  </w:r>
                </w:p>
              </w:tc>
              <w:tc>
                <w:tcPr>
                  <w:tcW w:w="13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79</w:t>
                  </w:r>
                </w:p>
              </w:tc>
              <w:tc>
                <w:tcPr>
                  <w:tcW w:w="296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auto"/>
                      <w:sz w:val="21"/>
                      <w:szCs w:val="21"/>
                      <w:highlight w:val="yellow"/>
                      <w:u w:val="none"/>
                    </w:rPr>
                  </w:pPr>
                </w:p>
              </w:tc>
            </w:tr>
          </w:tbl>
          <w:p>
            <w:pPr>
              <w:pStyle w:val="14"/>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right="0" w:firstLine="480"/>
              <w:jc w:val="both"/>
              <w:textAlignment w:val="auto"/>
              <w:outlineLvl w:val="9"/>
              <w:rPr>
                <w:rFonts w:hint="eastAsia" w:ascii="Times New Roman" w:hAnsi="Times New Roman" w:eastAsia="宋体" w:cs="宋体"/>
                <w:b w:val="0"/>
                <w:bCs w:val="0"/>
                <w:color w:val="auto"/>
                <w:kern w:val="0"/>
                <w:sz w:val="24"/>
                <w:szCs w:val="24"/>
                <w:u w:val="none"/>
                <w:lang w:val="en-US" w:eastAsia="zh-CN" w:bidi="ar"/>
              </w:rPr>
            </w:pPr>
            <w:r>
              <w:rPr>
                <w:rFonts w:hint="default" w:ascii="Times New Roman" w:hAnsi="Times New Roman" w:cs="Times New Roman"/>
                <w:b w:val="0"/>
                <w:bCs w:val="0"/>
                <w:color w:val="auto"/>
                <w:sz w:val="24"/>
                <w:u w:val="none"/>
              </w:rPr>
              <w:t>本项目厂房结构能有效降低噪声，墙体可使噪声减少10dB（A）；各机械设备置于车间内并设置基础减震，基础减震可使噪声减少10dB（A）</w:t>
            </w:r>
            <w:r>
              <w:rPr>
                <w:rFonts w:hint="eastAsia"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采取以上措施后噪声可减小20dB（A）</w:t>
            </w:r>
            <w:r>
              <w:rPr>
                <w:rFonts w:hint="eastAsia"/>
                <w:b w:val="0"/>
                <w:bCs w:val="0"/>
                <w:color w:val="auto"/>
                <w:sz w:val="24"/>
                <w:u w:val="none"/>
                <w:lang w:eastAsia="zh-CN"/>
              </w:rPr>
              <w:t>。</w:t>
            </w:r>
            <w:r>
              <w:rPr>
                <w:rFonts w:hint="eastAsia" w:ascii="Times New Roman" w:hAnsi="Times New Roman" w:eastAsia="宋体" w:cs="宋体"/>
                <w:b w:val="0"/>
                <w:bCs w:val="0"/>
                <w:color w:val="auto"/>
                <w:kern w:val="0"/>
                <w:sz w:val="24"/>
                <w:szCs w:val="20"/>
                <w:u w:val="none"/>
                <w:lang w:val="en-US" w:eastAsia="zh-CN" w:bidi="ar"/>
              </w:rPr>
              <w:t>按《环境影响评价技术导致（声环境）》（</w:t>
            </w:r>
            <w:r>
              <w:rPr>
                <w:rFonts w:hint="default" w:ascii="Times New Roman" w:hAnsi="Times New Roman" w:eastAsia="Times New Roman" w:cs="Times New Roman"/>
                <w:b w:val="0"/>
                <w:bCs w:val="0"/>
                <w:color w:val="auto"/>
                <w:kern w:val="0"/>
                <w:sz w:val="24"/>
                <w:szCs w:val="20"/>
                <w:u w:val="none"/>
                <w:lang w:val="en-US" w:eastAsia="zh-CN" w:bidi="ar"/>
              </w:rPr>
              <w:t>HJ2.4-2009</w:t>
            </w:r>
            <w:r>
              <w:rPr>
                <w:rFonts w:hint="eastAsia" w:ascii="Times New Roman" w:hAnsi="Times New Roman" w:eastAsia="宋体" w:cs="宋体"/>
                <w:b w:val="0"/>
                <w:bCs w:val="0"/>
                <w:color w:val="auto"/>
                <w:kern w:val="0"/>
                <w:sz w:val="24"/>
                <w:szCs w:val="20"/>
                <w:u w:val="none"/>
                <w:lang w:val="en-US" w:eastAsia="zh-CN" w:bidi="ar"/>
              </w:rPr>
              <w:t>）</w:t>
            </w:r>
            <w:r>
              <w:rPr>
                <w:rFonts w:hint="eastAsia" w:ascii="Times New Roman" w:hAnsi="Times New Roman" w:eastAsia="Times New Roman" w:cs="Times New Roman"/>
                <w:b w:val="0"/>
                <w:bCs w:val="0"/>
                <w:color w:val="auto"/>
                <w:kern w:val="0"/>
                <w:sz w:val="24"/>
                <w:szCs w:val="20"/>
                <w:u w:val="none"/>
                <w:lang w:val="en-US" w:eastAsia="zh-CN" w:bidi="ar"/>
              </w:rPr>
              <w:t>，</w:t>
            </w:r>
            <w:r>
              <w:rPr>
                <w:rFonts w:hint="default" w:ascii="Times New Roman" w:hAnsi="Times New Roman" w:eastAsia="Times New Roman" w:cs="Times New Roman"/>
                <w:b w:val="0"/>
                <w:bCs w:val="0"/>
                <w:color w:val="auto"/>
                <w:kern w:val="0"/>
                <w:sz w:val="24"/>
                <w:szCs w:val="20"/>
                <w:u w:val="none"/>
                <w:lang w:val="en-US" w:eastAsia="zh-CN" w:bidi="ar"/>
              </w:rPr>
              <w:t xml:space="preserve"> </w:t>
            </w:r>
            <w:r>
              <w:rPr>
                <w:rFonts w:hint="eastAsia" w:ascii="Times New Roman" w:hAnsi="Times New Roman" w:eastAsia="宋体" w:cs="宋体"/>
                <w:b w:val="0"/>
                <w:bCs w:val="0"/>
                <w:color w:val="auto"/>
                <w:kern w:val="0"/>
                <w:sz w:val="24"/>
                <w:szCs w:val="20"/>
                <w:u w:val="none"/>
                <w:lang w:val="en-US" w:eastAsia="zh-CN" w:bidi="ar"/>
              </w:rPr>
              <w:t>可选择点声源预测模式Stueber公示噪声预测来模拟本项目整体声源的中心随距离的衰减变化规律。</w:t>
            </w:r>
          </w:p>
          <w:p>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color w:val="auto"/>
                <w:highlight w:val="none"/>
                <w:u w:val="none"/>
              </w:rPr>
            </w:pPr>
            <w:r>
              <w:rPr>
                <w:rFonts w:hint="eastAsia"/>
                <w:b w:val="0"/>
                <w:bCs w:val="0"/>
                <w:color w:val="auto"/>
                <w:u w:val="none"/>
              </w:rPr>
              <w:t>对本项目</w:t>
            </w:r>
            <w:r>
              <w:rPr>
                <w:rFonts w:hint="eastAsia" w:hAnsi="宋体"/>
                <w:b w:val="0"/>
                <w:bCs w:val="0"/>
                <w:color w:val="auto"/>
                <w:sz w:val="24"/>
                <w:highlight w:val="none"/>
                <w:u w:val="none"/>
                <w:lang w:val="en-US" w:eastAsia="zh-CN"/>
              </w:rPr>
              <w:t>厂界处</w:t>
            </w:r>
            <w:r>
              <w:rPr>
                <w:rFonts w:hint="default" w:ascii="Times New Roman" w:hAnsi="Times New Roman" w:cs="Times New Roman"/>
                <w:b w:val="0"/>
                <w:bCs w:val="0"/>
                <w:color w:val="auto"/>
                <w:u w:val="none"/>
              </w:rPr>
              <w:t>噪声影响进行预测，预测结果见表</w:t>
            </w:r>
            <w:r>
              <w:rPr>
                <w:rFonts w:hint="eastAsia" w:cs="Times New Roman"/>
                <w:b w:val="0"/>
                <w:bCs w:val="0"/>
                <w:color w:val="auto"/>
                <w:u w:val="none"/>
                <w:lang w:val="en-US" w:eastAsia="zh-CN"/>
              </w:rPr>
              <w:t>22</w:t>
            </w:r>
            <w:r>
              <w:rPr>
                <w:rFonts w:hint="default" w:ascii="Times New Roman" w:hAnsi="Times New Roman" w:cs="Times New Roman"/>
                <w:b w:val="0"/>
                <w:bCs w:val="0"/>
                <w:color w:val="auto"/>
                <w:u w:val="none"/>
              </w:rPr>
              <w:t>。</w:t>
            </w:r>
          </w:p>
          <w:p>
            <w:pPr>
              <w:pStyle w:val="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b w:val="0"/>
                <w:bCs w:val="0"/>
                <w:color w:val="auto"/>
                <w:highlight w:val="none"/>
                <w:u w:val="none"/>
              </w:rPr>
            </w:pPr>
            <w:r>
              <w:rPr>
                <w:rFonts w:hint="default" w:ascii="Times New Roman" w:hAnsi="Times New Roman" w:cs="Times New Roman"/>
                <w:b w:val="0"/>
                <w:bCs w:val="0"/>
                <w:color w:val="auto"/>
                <w:highlight w:val="none"/>
                <w:u w:val="none"/>
              </w:rPr>
              <w:t>表</w:t>
            </w:r>
            <w:r>
              <w:rPr>
                <w:rFonts w:hint="eastAsia" w:cs="Times New Roman"/>
                <w:b w:val="0"/>
                <w:bCs w:val="0"/>
                <w:color w:val="auto"/>
                <w:highlight w:val="none"/>
                <w:u w:val="none"/>
                <w:lang w:val="en-US" w:eastAsia="zh-CN"/>
              </w:rPr>
              <w:t>22</w:t>
            </w:r>
            <w:r>
              <w:rPr>
                <w:rFonts w:hint="default" w:ascii="Times New Roman" w:hAnsi="Times New Roman" w:cs="Times New Roman"/>
                <w:b w:val="0"/>
                <w:bCs w:val="0"/>
                <w:color w:val="auto"/>
                <w:highlight w:val="none"/>
                <w:u w:val="none"/>
              </w:rPr>
              <w:t xml:space="preserve">  </w:t>
            </w:r>
            <w:r>
              <w:rPr>
                <w:rFonts w:hint="default" w:ascii="Times New Roman" w:hAnsi="Times New Roman" w:cs="Times New Roman"/>
                <w:b w:val="0"/>
                <w:bCs w:val="0"/>
                <w:color w:val="auto"/>
                <w:highlight w:val="none"/>
                <w:u w:val="none"/>
                <w:lang w:val="en-US" w:eastAsia="zh-CN"/>
              </w:rPr>
              <w:t xml:space="preserve">    </w:t>
            </w:r>
            <w:r>
              <w:rPr>
                <w:rFonts w:hint="eastAsia"/>
                <w:b w:val="0"/>
                <w:bCs w:val="0"/>
                <w:color w:val="auto"/>
                <w:highlight w:val="none"/>
                <w:u w:val="none"/>
                <w:lang w:val="en-US" w:eastAsia="zh-CN"/>
              </w:rPr>
              <w:t xml:space="preserve">   </w:t>
            </w:r>
            <w:r>
              <w:rPr>
                <w:b w:val="0"/>
                <w:bCs w:val="0"/>
                <w:color w:val="auto"/>
                <w:highlight w:val="none"/>
                <w:u w:val="none"/>
              </w:rPr>
              <w:t xml:space="preserve">   </w:t>
            </w:r>
            <w:r>
              <w:rPr>
                <w:rFonts w:hint="eastAsia"/>
                <w:b w:val="0"/>
                <w:bCs w:val="0"/>
                <w:color w:val="auto"/>
                <w:highlight w:val="none"/>
                <w:u w:val="none"/>
              </w:rPr>
              <w:t>噪声预测结果表</w:t>
            </w:r>
            <w:r>
              <w:rPr>
                <w:b w:val="0"/>
                <w:bCs w:val="0"/>
                <w:color w:val="auto"/>
                <w:highlight w:val="none"/>
                <w:u w:val="none"/>
              </w:rPr>
              <w:tab/>
            </w:r>
            <w:r>
              <w:rPr>
                <w:rFonts w:hint="eastAsia"/>
                <w:b w:val="0"/>
                <w:bCs w:val="0"/>
                <w:color w:val="auto"/>
                <w:highlight w:val="none"/>
                <w:u w:val="none"/>
                <w:lang w:val="en-US" w:eastAsia="zh-CN"/>
              </w:rPr>
              <w:t xml:space="preserve">   </w:t>
            </w:r>
          </w:p>
          <w:tbl>
            <w:tblPr>
              <w:tblStyle w:val="15"/>
              <w:tblW w:w="8714"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331"/>
              <w:gridCol w:w="1882"/>
              <w:gridCol w:w="978"/>
              <w:gridCol w:w="1521"/>
              <w:gridCol w:w="1032"/>
              <w:gridCol w:w="1174"/>
              <w:gridCol w:w="7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color w:val="auto"/>
                      <w:szCs w:val="21"/>
                      <w:highlight w:val="none"/>
                      <w:u w:val="none"/>
                    </w:rPr>
                  </w:pPr>
                  <w:r>
                    <w:rPr>
                      <w:rFonts w:hint="default" w:ascii="Times New Roman" w:hAnsi="Times New Roman" w:cs="Times New Roman"/>
                      <w:b w:val="0"/>
                      <w:bCs w:val="0"/>
                      <w:color w:val="auto"/>
                      <w:szCs w:val="21"/>
                      <w:u w:val="none"/>
                    </w:rPr>
                    <w:t>预测点位</w:t>
                  </w:r>
                </w:p>
              </w:tc>
              <w:tc>
                <w:tcPr>
                  <w:tcW w:w="1882"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color w:val="auto"/>
                      <w:szCs w:val="21"/>
                      <w:highlight w:val="none"/>
                      <w:u w:val="none"/>
                    </w:rPr>
                  </w:pPr>
                  <w:r>
                    <w:rPr>
                      <w:rFonts w:hint="default" w:ascii="Times New Roman" w:hAnsi="Times New Roman" w:cs="Times New Roman"/>
                      <w:b w:val="0"/>
                      <w:bCs w:val="0"/>
                      <w:color w:val="auto"/>
                      <w:szCs w:val="21"/>
                      <w:u w:val="none"/>
                      <w:lang w:val="en-US" w:eastAsia="zh-CN"/>
                    </w:rPr>
                    <w:t>整体声源的中心</w:t>
                  </w:r>
                </w:p>
              </w:tc>
              <w:tc>
                <w:tcPr>
                  <w:tcW w:w="978"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源强</w:t>
                  </w:r>
                </w:p>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eastAsia="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u w:val="none"/>
                    </w:rPr>
                    <w:t>dB(A)</w:t>
                  </w:r>
                </w:p>
              </w:tc>
              <w:tc>
                <w:tcPr>
                  <w:tcW w:w="1521"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pacing w:val="-1"/>
                      <w:szCs w:val="21"/>
                      <w:u w:val="none"/>
                      <w:lang w:eastAsia="zh-CN"/>
                    </w:rPr>
                  </w:pPr>
                  <w:r>
                    <w:rPr>
                      <w:rFonts w:hint="default" w:ascii="Times New Roman" w:hAnsi="Times New Roman" w:cs="Times New Roman"/>
                      <w:b w:val="0"/>
                      <w:bCs w:val="0"/>
                      <w:color w:val="auto"/>
                      <w:spacing w:val="-1"/>
                      <w:szCs w:val="21"/>
                      <w:u w:val="none"/>
                      <w:lang w:eastAsia="zh-CN"/>
                    </w:rPr>
                    <w:t>声</w:t>
                  </w:r>
                  <w:r>
                    <w:rPr>
                      <w:rFonts w:hint="default" w:ascii="Times New Roman" w:hAnsi="Times New Roman" w:cs="Times New Roman"/>
                      <w:b w:val="0"/>
                      <w:bCs w:val="0"/>
                      <w:color w:val="auto"/>
                      <w:spacing w:val="-1"/>
                      <w:szCs w:val="21"/>
                      <w:u w:val="none"/>
                    </w:rPr>
                    <w:t>源</w:t>
                  </w:r>
                  <w:r>
                    <w:rPr>
                      <w:rFonts w:hint="default" w:ascii="Times New Roman" w:hAnsi="Times New Roman" w:cs="Times New Roman"/>
                      <w:b w:val="0"/>
                      <w:bCs w:val="0"/>
                      <w:color w:val="auto"/>
                      <w:spacing w:val="-1"/>
                      <w:szCs w:val="21"/>
                      <w:u w:val="none"/>
                      <w:lang w:eastAsia="zh-CN"/>
                    </w:rPr>
                    <w:t>中心</w:t>
                  </w:r>
                  <w:r>
                    <w:rPr>
                      <w:rFonts w:hint="default" w:ascii="Times New Roman" w:hAnsi="Times New Roman" w:cs="Times New Roman"/>
                      <w:b w:val="0"/>
                      <w:bCs w:val="0"/>
                      <w:color w:val="auto"/>
                      <w:spacing w:val="-1"/>
                      <w:szCs w:val="21"/>
                      <w:u w:val="none"/>
                    </w:rPr>
                    <w:t>距</w:t>
                  </w:r>
                  <w:r>
                    <w:rPr>
                      <w:rFonts w:hint="default" w:ascii="Times New Roman" w:hAnsi="Times New Roman" w:cs="Times New Roman"/>
                      <w:b w:val="0"/>
                      <w:bCs w:val="0"/>
                      <w:color w:val="auto"/>
                      <w:spacing w:val="-1"/>
                      <w:szCs w:val="21"/>
                      <w:u w:val="none"/>
                      <w:lang w:eastAsia="zh-CN"/>
                    </w:rPr>
                    <w:t>厂界</w:t>
                  </w:r>
                  <w:r>
                    <w:rPr>
                      <w:rFonts w:hint="default" w:ascii="Times New Roman" w:hAnsi="Times New Roman" w:cs="Times New Roman"/>
                      <w:b w:val="0"/>
                      <w:bCs w:val="0"/>
                      <w:color w:val="auto"/>
                      <w:spacing w:val="-1"/>
                      <w:szCs w:val="21"/>
                      <w:u w:val="none"/>
                    </w:rPr>
                    <w:t>距离</w:t>
                  </w:r>
                  <w:r>
                    <w:rPr>
                      <w:rFonts w:hint="default" w:ascii="Times New Roman" w:hAnsi="Times New Roman" w:eastAsia="Times New Roman" w:cs="Times New Roman"/>
                      <w:b w:val="0"/>
                      <w:bCs w:val="0"/>
                      <w:color w:val="auto"/>
                      <w:spacing w:val="-1"/>
                      <w:szCs w:val="21"/>
                      <w:u w:val="none"/>
                    </w:rPr>
                    <w:t>(m)</w:t>
                  </w:r>
                </w:p>
              </w:tc>
              <w:tc>
                <w:tcPr>
                  <w:tcW w:w="1032"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pacing w:val="-1"/>
                      <w:szCs w:val="21"/>
                      <w:u w:val="none"/>
                      <w:lang w:eastAsia="zh-CN"/>
                    </w:rPr>
                  </w:pPr>
                  <w:r>
                    <w:rPr>
                      <w:rFonts w:hint="default" w:ascii="Times New Roman" w:hAnsi="Times New Roman" w:cs="Times New Roman"/>
                      <w:b w:val="0"/>
                      <w:bCs w:val="0"/>
                      <w:color w:val="auto"/>
                      <w:spacing w:val="-1"/>
                      <w:szCs w:val="21"/>
                      <w:u w:val="none"/>
                      <w:lang w:eastAsia="zh-CN"/>
                    </w:rPr>
                    <w:t>处理措施</w:t>
                  </w: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CN"/>
                    </w:rPr>
                    <w:t>厂界</w:t>
                  </w:r>
                  <w:r>
                    <w:rPr>
                      <w:rFonts w:hint="default" w:ascii="Times New Roman" w:hAnsi="Times New Roman" w:cs="Times New Roman"/>
                      <w:b w:val="0"/>
                      <w:bCs w:val="0"/>
                      <w:color w:val="auto"/>
                      <w:szCs w:val="21"/>
                      <w:highlight w:val="none"/>
                      <w:u w:val="none"/>
                    </w:rPr>
                    <w:t>贡献值</w:t>
                  </w:r>
                </w:p>
                <w:p>
                  <w:pPr>
                    <w:pStyle w:val="25"/>
                    <w:keepNext w:val="0"/>
                    <w:keepLines w:val="0"/>
                    <w:pageBreakBefore w:val="0"/>
                    <w:widowControl w:val="0"/>
                    <w:kinsoku/>
                    <w:wordWrap/>
                    <w:overflowPunct/>
                    <w:topLinePunct w:val="0"/>
                    <w:autoSpaceDE/>
                    <w:autoSpaceDN/>
                    <w:bidi w:val="0"/>
                    <w:adjustRightInd w:val="0"/>
                    <w:snapToGrid w:val="0"/>
                    <w:spacing w:before="69" w:line="240" w:lineRule="auto"/>
                    <w:ind w:left="0"/>
                    <w:jc w:val="center"/>
                    <w:textAlignment w:val="auto"/>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cs="Times New Roman"/>
                      <w:b w:val="0"/>
                      <w:bCs w:val="0"/>
                      <w:color w:val="auto"/>
                      <w:spacing w:val="-1"/>
                      <w:szCs w:val="21"/>
                      <w:highlight w:val="none"/>
                      <w:u w:val="none"/>
                    </w:rPr>
                    <w:t>dB(A)</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标准值</w:t>
                  </w:r>
                  <w:r>
                    <w:rPr>
                      <w:rFonts w:hint="default" w:ascii="Times New Roman" w:hAnsi="Times New Roman" w:cs="Times New Roman"/>
                      <w:b w:val="0"/>
                      <w:bCs w:val="0"/>
                      <w:color w:val="auto"/>
                      <w:spacing w:val="-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color w:val="auto"/>
                      <w:szCs w:val="21"/>
                      <w:u w:val="none"/>
                    </w:rPr>
                  </w:pPr>
                </w:p>
              </w:tc>
              <w:tc>
                <w:tcPr>
                  <w:tcW w:w="1882"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color w:val="auto"/>
                      <w:szCs w:val="21"/>
                      <w:u w:val="none"/>
                      <w:lang w:val="en-US" w:eastAsia="zh-CN"/>
                    </w:rPr>
                  </w:pPr>
                </w:p>
              </w:tc>
              <w:tc>
                <w:tcPr>
                  <w:tcW w:w="978"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Times New Roman" w:cs="Times New Roman"/>
                      <w:b w:val="0"/>
                      <w:bCs w:val="0"/>
                      <w:color w:val="auto"/>
                      <w:spacing w:val="-1"/>
                      <w:szCs w:val="21"/>
                      <w:u w:val="none"/>
                    </w:rPr>
                  </w:pPr>
                </w:p>
              </w:tc>
              <w:tc>
                <w:tcPr>
                  <w:tcW w:w="1521"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pacing w:val="-1"/>
                      <w:szCs w:val="21"/>
                      <w:u w:val="none"/>
                      <w:lang w:eastAsia="zh-CN"/>
                    </w:rPr>
                  </w:pPr>
                </w:p>
              </w:tc>
              <w:tc>
                <w:tcPr>
                  <w:tcW w:w="1032"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pacing w:val="-1"/>
                      <w:szCs w:val="21"/>
                      <w:u w:val="none"/>
                      <w:lang w:eastAsia="zh-CN"/>
                    </w:rPr>
                  </w:pP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color w:val="auto"/>
                      <w:spacing w:val="-1"/>
                      <w:szCs w:val="21"/>
                      <w:highlight w:val="none"/>
                      <w:u w:val="none"/>
                      <w:lang w:eastAsia="zh-CN"/>
                    </w:rPr>
                  </w:pPr>
                  <w:r>
                    <w:rPr>
                      <w:rFonts w:hint="eastAsia" w:ascii="Times New Roman" w:hAnsi="Times New Roman" w:cs="Times New Roman"/>
                      <w:b w:val="0"/>
                      <w:bCs w:val="0"/>
                      <w:color w:val="auto"/>
                      <w:spacing w:val="-1"/>
                      <w:szCs w:val="21"/>
                      <w:highlight w:val="none"/>
                      <w:u w:val="none"/>
                      <w:lang w:eastAsia="zh-CN"/>
                    </w:rPr>
                    <w:t>昼间</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color w:val="auto"/>
                      <w:szCs w:val="21"/>
                      <w:highlight w:val="none"/>
                      <w:u w:val="none"/>
                    </w:rPr>
                  </w:pPr>
                  <w:r>
                    <w:rPr>
                      <w:rFonts w:hint="eastAsia" w:ascii="Times New Roman" w:hAnsi="Times New Roman" w:cs="Times New Roman"/>
                      <w:b w:val="0"/>
                      <w:bCs w:val="0"/>
                      <w:color w:val="auto"/>
                      <w:spacing w:val="-1"/>
                      <w:szCs w:val="21"/>
                      <w:highlight w:val="none"/>
                      <w:u w:val="none"/>
                      <w:lang w:eastAsia="zh-CN"/>
                    </w:rPr>
                    <w:t>昼间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东厂界</w:t>
                  </w:r>
                </w:p>
              </w:tc>
              <w:tc>
                <w:tcPr>
                  <w:tcW w:w="1882"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声源中心</w:t>
                  </w:r>
                </w:p>
              </w:tc>
              <w:tc>
                <w:tcPr>
                  <w:tcW w:w="978"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76.6</w:t>
                  </w:r>
                </w:p>
              </w:tc>
              <w:tc>
                <w:tcPr>
                  <w:tcW w:w="152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60</w:t>
                  </w:r>
                </w:p>
              </w:tc>
              <w:tc>
                <w:tcPr>
                  <w:tcW w:w="1032" w:type="dxa"/>
                  <w:vMerge w:val="restart"/>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墙体隔声、基础减震</w:t>
                  </w: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42.5</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6</w:t>
                  </w:r>
                  <w:r>
                    <w:rPr>
                      <w:rFonts w:hint="eastAsia" w:cs="Times New Roman"/>
                      <w:b w:val="0"/>
                      <w:bCs w:val="0"/>
                      <w:color w:val="auto"/>
                      <w:szCs w:val="21"/>
                      <w:u w:val="none"/>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西厂界</w:t>
                  </w:r>
                </w:p>
              </w:tc>
              <w:tc>
                <w:tcPr>
                  <w:tcW w:w="1882"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声源中心</w:t>
                  </w:r>
                </w:p>
              </w:tc>
              <w:tc>
                <w:tcPr>
                  <w:tcW w:w="9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76.6</w:t>
                  </w:r>
                </w:p>
              </w:tc>
              <w:tc>
                <w:tcPr>
                  <w:tcW w:w="152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10</w:t>
                  </w:r>
                </w:p>
              </w:tc>
              <w:tc>
                <w:tcPr>
                  <w:tcW w:w="1032"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53.6</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6</w:t>
                  </w:r>
                  <w:r>
                    <w:rPr>
                      <w:rFonts w:hint="eastAsia" w:cs="Times New Roman"/>
                      <w:b w:val="0"/>
                      <w:bCs w:val="0"/>
                      <w:color w:val="auto"/>
                      <w:szCs w:val="21"/>
                      <w:u w:val="none"/>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南厂界</w:t>
                  </w:r>
                </w:p>
              </w:tc>
              <w:tc>
                <w:tcPr>
                  <w:tcW w:w="1882"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声源中心</w:t>
                  </w:r>
                </w:p>
              </w:tc>
              <w:tc>
                <w:tcPr>
                  <w:tcW w:w="9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76.6</w:t>
                  </w:r>
                </w:p>
              </w:tc>
              <w:tc>
                <w:tcPr>
                  <w:tcW w:w="152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15</w:t>
                  </w:r>
                </w:p>
              </w:tc>
              <w:tc>
                <w:tcPr>
                  <w:tcW w:w="1032"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49.4</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6</w:t>
                  </w:r>
                  <w:r>
                    <w:rPr>
                      <w:rFonts w:hint="eastAsia" w:cs="Times New Roman"/>
                      <w:b w:val="0"/>
                      <w:bCs w:val="0"/>
                      <w:color w:val="auto"/>
                      <w:szCs w:val="21"/>
                      <w:u w:val="none"/>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97" w:hRule="atLeast"/>
                <w:jc w:val="center"/>
              </w:trPr>
              <w:tc>
                <w:tcPr>
                  <w:tcW w:w="133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北厂界</w:t>
                  </w:r>
                </w:p>
              </w:tc>
              <w:tc>
                <w:tcPr>
                  <w:tcW w:w="1882"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声源中心</w:t>
                  </w:r>
                </w:p>
              </w:tc>
              <w:tc>
                <w:tcPr>
                  <w:tcW w:w="9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76.6</w:t>
                  </w:r>
                </w:p>
              </w:tc>
              <w:tc>
                <w:tcPr>
                  <w:tcW w:w="1521"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Cs w:val="21"/>
                      <w:u w:val="none"/>
                      <w:lang w:val="en-US" w:eastAsia="zh-CN"/>
                    </w:rPr>
                  </w:pPr>
                  <w:r>
                    <w:rPr>
                      <w:rFonts w:hint="eastAsia" w:cs="Times New Roman"/>
                      <w:b w:val="0"/>
                      <w:bCs w:val="0"/>
                      <w:color w:val="auto"/>
                      <w:szCs w:val="21"/>
                      <w:u w:val="none"/>
                      <w:lang w:val="en-US" w:eastAsia="zh-CN"/>
                    </w:rPr>
                    <w:t>15</w:t>
                  </w:r>
                </w:p>
              </w:tc>
              <w:tc>
                <w:tcPr>
                  <w:tcW w:w="1032" w:type="dxa"/>
                  <w:vMerge w:val="continue"/>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p>
              </w:tc>
              <w:tc>
                <w:tcPr>
                  <w:tcW w:w="1174"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49.4</w:t>
                  </w:r>
                </w:p>
              </w:tc>
              <w:tc>
                <w:tcPr>
                  <w:tcW w:w="796" w:type="dxa"/>
                  <w:tcBorders>
                    <w:tl2br w:val="nil"/>
                    <w:tr2bl w:val="nil"/>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6</w:t>
                  </w:r>
                  <w:r>
                    <w:rPr>
                      <w:rFonts w:hint="eastAsia" w:cs="Times New Roman"/>
                      <w:b w:val="0"/>
                      <w:bCs w:val="0"/>
                      <w:color w:val="auto"/>
                      <w:szCs w:val="21"/>
                      <w:u w:val="none"/>
                      <w:lang w:val="en-US" w:eastAsia="zh-CN"/>
                    </w:rPr>
                    <w:t>0</w:t>
                  </w:r>
                </w:p>
              </w:tc>
            </w:tr>
          </w:tbl>
          <w:p>
            <w:pPr>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160" w:firstLineChars="900"/>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b w:val="0"/>
                <w:bCs w:val="0"/>
                <w:sz w:val="24"/>
                <w:szCs w:val="24"/>
                <w:u w:val="none"/>
              </w:rPr>
              <w:t>表</w:t>
            </w:r>
            <w:r>
              <w:rPr>
                <w:rFonts w:hint="eastAsia" w:cs="Times New Roman"/>
                <w:b w:val="0"/>
                <w:bCs w:val="0"/>
                <w:sz w:val="24"/>
                <w:szCs w:val="24"/>
                <w:u w:val="none"/>
                <w:lang w:val="en-US" w:eastAsia="zh-CN"/>
              </w:rPr>
              <w:t>2</w:t>
            </w:r>
            <w:r>
              <w:rPr>
                <w:rFonts w:hint="eastAsia" w:ascii="Times New Roman" w:hAnsi="Times New Roman" w:cs="Times New Roman"/>
                <w:b w:val="0"/>
                <w:bCs w:val="0"/>
                <w:sz w:val="24"/>
                <w:szCs w:val="24"/>
                <w:u w:val="none"/>
                <w:lang w:val="en-US" w:eastAsia="zh-CN"/>
              </w:rPr>
              <w:t>3</w:t>
            </w:r>
            <w:r>
              <w:rPr>
                <w:b w:val="0"/>
                <w:bCs w:val="0"/>
                <w:sz w:val="24"/>
                <w:szCs w:val="24"/>
                <w:u w:val="none"/>
              </w:rPr>
              <w:t xml:space="preserve">   </w:t>
            </w:r>
            <w:r>
              <w:rPr>
                <w:rFonts w:hint="eastAsia"/>
                <w:b w:val="0"/>
                <w:bCs w:val="0"/>
                <w:color w:val="auto"/>
                <w:sz w:val="24"/>
                <w:szCs w:val="24"/>
                <w:u w:val="none"/>
                <w:lang w:val="en-US" w:eastAsia="zh-CN"/>
              </w:rPr>
              <w:t xml:space="preserve"> </w:t>
            </w:r>
            <w:r>
              <w:rPr>
                <w:rFonts w:hint="eastAsia"/>
                <w:b w:val="0"/>
                <w:bCs w:val="0"/>
                <w:color w:val="auto"/>
                <w:sz w:val="24"/>
                <w:szCs w:val="24"/>
                <w:u w:val="none"/>
                <w:lang w:eastAsia="zh-CN"/>
              </w:rPr>
              <w:t>敏感点</w:t>
            </w:r>
            <w:r>
              <w:rPr>
                <w:rFonts w:hint="eastAsia"/>
                <w:b w:val="0"/>
                <w:bCs w:val="0"/>
                <w:color w:val="auto"/>
                <w:sz w:val="24"/>
                <w:szCs w:val="24"/>
                <w:u w:val="none"/>
              </w:rPr>
              <w:t>噪声</w:t>
            </w:r>
            <w:r>
              <w:rPr>
                <w:rFonts w:hint="eastAsia"/>
                <w:b w:val="0"/>
                <w:bCs w:val="0"/>
                <w:color w:val="auto"/>
                <w:sz w:val="24"/>
                <w:szCs w:val="24"/>
                <w:u w:val="none"/>
                <w:lang w:eastAsia="zh-CN"/>
              </w:rPr>
              <w:t>预测值计算</w:t>
            </w:r>
            <w:r>
              <w:rPr>
                <w:rFonts w:hint="eastAsia"/>
                <w:b w:val="0"/>
                <w:bCs w:val="0"/>
                <w:color w:val="auto"/>
                <w:sz w:val="24"/>
                <w:szCs w:val="24"/>
                <w:u w:val="none"/>
              </w:rPr>
              <w:t>结果表</w:t>
            </w:r>
          </w:p>
          <w:tbl>
            <w:tblPr>
              <w:tblStyle w:val="15"/>
              <w:tblW w:w="8714" w:type="dxa"/>
              <w:jc w:val="center"/>
              <w:tblInd w:w="0" w:type="dxa"/>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
            <w:tblGrid>
              <w:gridCol w:w="971"/>
              <w:gridCol w:w="925"/>
              <w:gridCol w:w="935"/>
              <w:gridCol w:w="1006"/>
              <w:gridCol w:w="1228"/>
              <w:gridCol w:w="1358"/>
              <w:gridCol w:w="1277"/>
              <w:gridCol w:w="1014"/>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598" w:hRule="atLeast"/>
                <w:jc w:val="center"/>
              </w:trPr>
              <w:tc>
                <w:tcPr>
                  <w:tcW w:w="971" w:type="dxa"/>
                  <w:vMerge w:val="restart"/>
                  <w:tcBorders>
                    <w:right w:val="single" w:color="000000" w:sz="8" w:space="0"/>
                  </w:tcBorders>
                  <w:noWrap w:val="0"/>
                  <w:vAlign w:val="center"/>
                </w:tcPr>
                <w:p>
                  <w:pPr>
                    <w:pStyle w:val="25"/>
                    <w:spacing w:before="107"/>
                    <w:jc w:val="center"/>
                    <w:rPr>
                      <w:rFonts w:ascii="宋体" w:cs="宋体"/>
                      <w:b w:val="0"/>
                      <w:bCs w:val="0"/>
                      <w:color w:val="auto"/>
                      <w:szCs w:val="21"/>
                      <w:u w:val="none"/>
                    </w:rPr>
                  </w:pPr>
                  <w:r>
                    <w:rPr>
                      <w:rFonts w:hint="eastAsia" w:ascii="宋体" w:hAnsi="宋体" w:cs="宋体"/>
                      <w:b w:val="0"/>
                      <w:bCs w:val="0"/>
                      <w:color w:val="auto"/>
                      <w:szCs w:val="21"/>
                      <w:u w:val="none"/>
                    </w:rPr>
                    <w:t>预测点位</w:t>
                  </w:r>
                </w:p>
              </w:tc>
              <w:tc>
                <w:tcPr>
                  <w:tcW w:w="925" w:type="dxa"/>
                  <w:vMerge w:val="restart"/>
                  <w:tcBorders>
                    <w:left w:val="single" w:color="000000" w:sz="8" w:space="0"/>
                    <w:right w:val="single" w:color="000000" w:sz="8" w:space="0"/>
                  </w:tcBorders>
                  <w:noWrap w:val="0"/>
                  <w:vAlign w:val="center"/>
                </w:tcPr>
                <w:p>
                  <w:pPr>
                    <w:pStyle w:val="25"/>
                    <w:spacing w:before="107"/>
                    <w:jc w:val="center"/>
                    <w:rPr>
                      <w:rFonts w:hint="default"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噪声源</w:t>
                  </w:r>
                </w:p>
              </w:tc>
              <w:tc>
                <w:tcPr>
                  <w:tcW w:w="935" w:type="dxa"/>
                  <w:vMerge w:val="restart"/>
                  <w:tcBorders>
                    <w:left w:val="single" w:color="000000" w:sz="8" w:space="0"/>
                    <w:right w:val="single" w:color="000000" w:sz="8" w:space="0"/>
                  </w:tcBorders>
                  <w:noWrap w:val="0"/>
                  <w:vAlign w:val="center"/>
                </w:tcPr>
                <w:p>
                  <w:pPr>
                    <w:pStyle w:val="25"/>
                    <w:spacing w:before="107" w:line="240" w:lineRule="auto"/>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源强</w:t>
                  </w:r>
                </w:p>
                <w:p>
                  <w:pPr>
                    <w:pStyle w:val="25"/>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zCs w:val="21"/>
                      <w:u w:val="none"/>
                    </w:rPr>
                  </w:pPr>
                  <w:r>
                    <w:rPr>
                      <w:rFonts w:hint="default" w:ascii="Times New Roman" w:hAnsi="Times New Roman" w:eastAsia="Times New Roman" w:cs="Times New Roman"/>
                      <w:b w:val="0"/>
                      <w:bCs w:val="0"/>
                      <w:color w:val="auto"/>
                      <w:spacing w:val="-1"/>
                      <w:szCs w:val="21"/>
                      <w:u w:val="none"/>
                    </w:rPr>
                    <w:t>dB(A)</w:t>
                  </w:r>
                </w:p>
              </w:tc>
              <w:tc>
                <w:tcPr>
                  <w:tcW w:w="1006" w:type="dxa"/>
                  <w:vMerge w:val="restart"/>
                  <w:tcBorders>
                    <w:left w:val="single" w:color="000000" w:sz="8" w:space="0"/>
                    <w:right w:val="single" w:color="000000" w:sz="8" w:space="0"/>
                  </w:tcBorders>
                  <w:noWrap w:val="0"/>
                  <w:vAlign w:val="center"/>
                </w:tcPr>
                <w:p>
                  <w:pPr>
                    <w:pStyle w:val="25"/>
                    <w:spacing w:before="107"/>
                    <w:jc w:val="center"/>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highlight w:val="none"/>
                      <w:u w:val="none"/>
                    </w:rPr>
                    <w:t>距声源</w:t>
                  </w:r>
                  <w:r>
                    <w:rPr>
                      <w:rFonts w:hint="eastAsia" w:ascii="Times New Roman" w:hAnsi="Times New Roman" w:eastAsia="宋体" w:cs="Times New Roman"/>
                      <w:b w:val="0"/>
                      <w:bCs w:val="0"/>
                      <w:color w:val="auto"/>
                      <w:spacing w:val="-1"/>
                      <w:szCs w:val="21"/>
                      <w:highlight w:val="none"/>
                      <w:u w:val="none"/>
                      <w:lang w:eastAsia="zh-CN"/>
                    </w:rPr>
                    <w:t>中心</w:t>
                  </w:r>
                  <w:r>
                    <w:rPr>
                      <w:rFonts w:hint="default" w:ascii="Times New Roman" w:hAnsi="Times New Roman" w:eastAsia="Times New Roman" w:cs="Times New Roman"/>
                      <w:b w:val="0"/>
                      <w:bCs w:val="0"/>
                      <w:color w:val="auto"/>
                      <w:spacing w:val="-1"/>
                      <w:szCs w:val="21"/>
                      <w:highlight w:val="none"/>
                      <w:u w:val="none"/>
                    </w:rPr>
                    <w:t>距离(m)</w:t>
                  </w:r>
                </w:p>
              </w:tc>
              <w:tc>
                <w:tcPr>
                  <w:tcW w:w="1228" w:type="dxa"/>
                  <w:tcBorders>
                    <w:left w:val="single" w:color="000000" w:sz="8" w:space="0"/>
                    <w:bottom w:val="single" w:color="auto" w:sz="4" w:space="0"/>
                  </w:tcBorders>
                  <w:noWrap w:val="0"/>
                  <w:vAlign w:val="center"/>
                </w:tcPr>
                <w:p>
                  <w:pPr>
                    <w:pStyle w:val="25"/>
                    <w:spacing w:line="240" w:lineRule="exact"/>
                    <w:jc w:val="center"/>
                    <w:rPr>
                      <w:rFonts w:hint="default" w:ascii="Times New Roman" w:hAnsi="Times New Roman" w:eastAsia="Times New Roman" w:cs="Times New Roman"/>
                      <w:b w:val="0"/>
                      <w:bCs w:val="0"/>
                      <w:color w:val="auto"/>
                      <w:szCs w:val="21"/>
                      <w:u w:val="none"/>
                    </w:rPr>
                  </w:pPr>
                  <w:r>
                    <w:rPr>
                      <w:rFonts w:hint="eastAsia" w:ascii="Times New Roman" w:hAnsi="Times New Roman" w:cs="Times New Roman"/>
                      <w:b w:val="0"/>
                      <w:bCs w:val="0"/>
                      <w:color w:val="auto"/>
                      <w:szCs w:val="21"/>
                      <w:u w:val="none"/>
                      <w:lang w:eastAsia="zh-CN"/>
                    </w:rPr>
                    <w:t>敏感点贡献值</w:t>
                  </w:r>
                  <w:r>
                    <w:rPr>
                      <w:rFonts w:hint="default" w:ascii="Times New Roman" w:hAnsi="Times New Roman" w:cs="Times New Roman"/>
                      <w:b w:val="0"/>
                      <w:bCs w:val="0"/>
                      <w:color w:val="auto"/>
                      <w:spacing w:val="-1"/>
                      <w:szCs w:val="21"/>
                      <w:u w:val="none"/>
                    </w:rPr>
                    <w:t>dB(A)</w:t>
                  </w:r>
                </w:p>
              </w:tc>
              <w:tc>
                <w:tcPr>
                  <w:tcW w:w="1358" w:type="dxa"/>
                  <w:tcBorders>
                    <w:left w:val="single" w:color="000000" w:sz="8" w:space="0"/>
                    <w:bottom w:val="single" w:color="auto" w:sz="4" w:space="0"/>
                    <w:right w:val="single" w:color="auto" w:sz="4" w:space="0"/>
                  </w:tcBorders>
                  <w:noWrap w:val="0"/>
                  <w:vAlign w:val="center"/>
                </w:tcPr>
                <w:p>
                  <w:pPr>
                    <w:pStyle w:val="25"/>
                    <w:spacing w:line="240" w:lineRule="exact"/>
                    <w:jc w:val="center"/>
                    <w:rPr>
                      <w:rFonts w:hint="eastAsia" w:ascii="Times New Roman" w:hAnsi="Times New Roman"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敏感点背景值</w:t>
                  </w:r>
                  <w:r>
                    <w:rPr>
                      <w:rFonts w:hint="default" w:ascii="Times New Roman" w:hAnsi="Times New Roman" w:cs="Times New Roman"/>
                      <w:b w:val="0"/>
                      <w:bCs w:val="0"/>
                      <w:color w:val="auto"/>
                      <w:spacing w:val="-1"/>
                      <w:szCs w:val="21"/>
                      <w:u w:val="none"/>
                    </w:rPr>
                    <w:t>dB(A)</w:t>
                  </w:r>
                </w:p>
              </w:tc>
              <w:tc>
                <w:tcPr>
                  <w:tcW w:w="1277" w:type="dxa"/>
                  <w:tcBorders>
                    <w:left w:val="single" w:color="auto" w:sz="4" w:space="0"/>
                    <w:bottom w:val="single" w:color="auto" w:sz="4"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szCs w:val="21"/>
                      <w:u w:val="none"/>
                      <w:lang w:eastAsia="zh-CN"/>
                    </w:rPr>
                  </w:pPr>
                  <w:r>
                    <w:rPr>
                      <w:rFonts w:hint="eastAsia" w:ascii="Times New Roman" w:hAnsi="Times New Roman" w:eastAsia="宋体" w:cs="Times New Roman"/>
                      <w:b w:val="0"/>
                      <w:bCs w:val="0"/>
                      <w:szCs w:val="21"/>
                      <w:u w:val="none"/>
                      <w:lang w:eastAsia="zh-CN"/>
                    </w:rPr>
                    <w:t>敏感点预测值</w:t>
                  </w:r>
                </w:p>
                <w:p>
                  <w:pPr>
                    <w:pStyle w:val="25"/>
                    <w:spacing w:line="240" w:lineRule="exact"/>
                    <w:jc w:val="center"/>
                    <w:rPr>
                      <w:rFonts w:hint="eastAsia" w:ascii="Times New Roman" w:hAnsi="Times New Roman" w:eastAsia="宋体" w:cs="Times New Roman"/>
                      <w:b w:val="0"/>
                      <w:bCs w:val="0"/>
                      <w:color w:val="auto"/>
                      <w:szCs w:val="21"/>
                      <w:u w:val="none"/>
                      <w:lang w:eastAsia="zh-CN"/>
                    </w:rPr>
                  </w:pPr>
                  <w:r>
                    <w:rPr>
                      <w:rFonts w:hint="default" w:ascii="Times New Roman" w:hAnsi="Times New Roman" w:eastAsia="Times New Roman" w:cs="Times New Roman"/>
                      <w:b w:val="0"/>
                      <w:bCs w:val="0"/>
                      <w:spacing w:val="-1"/>
                      <w:szCs w:val="21"/>
                      <w:u w:val="none"/>
                    </w:rPr>
                    <w:t>dB(A)</w:t>
                  </w:r>
                </w:p>
              </w:tc>
              <w:tc>
                <w:tcPr>
                  <w:tcW w:w="1014" w:type="dxa"/>
                  <w:tcBorders>
                    <w:left w:val="single" w:color="auto" w:sz="4" w:space="0"/>
                    <w:bottom w:val="single" w:color="auto" w:sz="4" w:space="0"/>
                  </w:tcBorders>
                  <w:noWrap w:val="0"/>
                  <w:vAlign w:val="center"/>
                </w:tcPr>
                <w:p>
                  <w:pPr>
                    <w:pStyle w:val="25"/>
                    <w:spacing w:line="240" w:lineRule="exact"/>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标准值</w:t>
                  </w:r>
                </w:p>
                <w:p>
                  <w:pPr>
                    <w:pStyle w:val="25"/>
                    <w:spacing w:line="240" w:lineRule="exact"/>
                    <w:jc w:val="center"/>
                    <w:rPr>
                      <w:rFonts w:hint="default" w:ascii="Times New Roman" w:hAnsi="Times New Roman" w:eastAsia="Times New Roman" w:cs="Times New Roman"/>
                      <w:b w:val="0"/>
                      <w:bCs w:val="0"/>
                      <w:spacing w:val="-1"/>
                      <w:szCs w:val="21"/>
                      <w:u w:val="none"/>
                    </w:rPr>
                  </w:pPr>
                  <w:r>
                    <w:rPr>
                      <w:rFonts w:hint="default" w:ascii="Times New Roman" w:hAnsi="Times New Roman" w:cs="Times New Roman"/>
                      <w:b w:val="0"/>
                      <w:bCs w:val="0"/>
                      <w:spacing w:val="-1"/>
                      <w:szCs w:val="21"/>
                      <w:u w:val="none"/>
                    </w:rPr>
                    <w:t>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425" w:hRule="atLeast"/>
                <w:jc w:val="center"/>
              </w:trPr>
              <w:tc>
                <w:tcPr>
                  <w:tcW w:w="971" w:type="dxa"/>
                  <w:vMerge w:val="continue"/>
                  <w:tcBorders>
                    <w:bottom w:val="single" w:color="000000" w:sz="8" w:space="0"/>
                    <w:right w:val="single" w:color="000000" w:sz="8" w:space="0"/>
                  </w:tcBorders>
                  <w:noWrap w:val="0"/>
                  <w:vAlign w:val="center"/>
                </w:tcPr>
                <w:p>
                  <w:pPr>
                    <w:pStyle w:val="25"/>
                    <w:spacing w:before="107"/>
                    <w:jc w:val="center"/>
                    <w:rPr>
                      <w:rFonts w:hint="eastAsia" w:ascii="宋体" w:hAnsi="宋体" w:cs="宋体"/>
                      <w:b w:val="0"/>
                      <w:bCs w:val="0"/>
                      <w:color w:val="auto"/>
                      <w:szCs w:val="21"/>
                      <w:u w:val="none"/>
                    </w:rPr>
                  </w:pPr>
                </w:p>
              </w:tc>
              <w:tc>
                <w:tcPr>
                  <w:tcW w:w="925" w:type="dxa"/>
                  <w:vMerge w:val="continue"/>
                  <w:tcBorders>
                    <w:left w:val="single" w:color="000000" w:sz="8" w:space="0"/>
                    <w:bottom w:val="single" w:color="000000" w:sz="8" w:space="0"/>
                    <w:right w:val="single" w:color="000000" w:sz="8" w:space="0"/>
                  </w:tcBorders>
                  <w:noWrap w:val="0"/>
                  <w:vAlign w:val="center"/>
                </w:tcPr>
                <w:p>
                  <w:pPr>
                    <w:pStyle w:val="25"/>
                    <w:spacing w:before="107"/>
                    <w:jc w:val="center"/>
                    <w:rPr>
                      <w:rFonts w:hint="eastAsia" w:ascii="Times New Roman" w:hAnsi="Times New Roman" w:eastAsia="宋体" w:cs="Times New Roman"/>
                      <w:b w:val="0"/>
                      <w:bCs w:val="0"/>
                      <w:color w:val="auto"/>
                      <w:szCs w:val="21"/>
                      <w:u w:val="none"/>
                      <w:lang w:eastAsia="zh-CN"/>
                    </w:rPr>
                  </w:pPr>
                </w:p>
              </w:tc>
              <w:tc>
                <w:tcPr>
                  <w:tcW w:w="935" w:type="dxa"/>
                  <w:vMerge w:val="continue"/>
                  <w:tcBorders>
                    <w:left w:val="single" w:color="000000" w:sz="8" w:space="0"/>
                    <w:bottom w:val="single" w:color="000000" w:sz="8" w:space="0"/>
                    <w:right w:val="single" w:color="000000" w:sz="8" w:space="0"/>
                  </w:tcBorders>
                  <w:noWrap w:val="0"/>
                  <w:vAlign w:val="center"/>
                </w:tcPr>
                <w:p>
                  <w:pPr>
                    <w:pStyle w:val="25"/>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pacing w:val="-1"/>
                      <w:szCs w:val="21"/>
                      <w:u w:val="none"/>
                    </w:rPr>
                  </w:pPr>
                </w:p>
              </w:tc>
              <w:tc>
                <w:tcPr>
                  <w:tcW w:w="1006" w:type="dxa"/>
                  <w:vMerge w:val="continue"/>
                  <w:tcBorders>
                    <w:left w:val="single" w:color="000000" w:sz="8" w:space="0"/>
                    <w:bottom w:val="single" w:color="000000" w:sz="8" w:space="0"/>
                    <w:right w:val="single" w:color="000000" w:sz="8" w:space="0"/>
                  </w:tcBorders>
                  <w:noWrap w:val="0"/>
                  <w:vAlign w:val="center"/>
                </w:tcPr>
                <w:p>
                  <w:pPr>
                    <w:pStyle w:val="25"/>
                    <w:spacing w:before="107"/>
                    <w:jc w:val="center"/>
                    <w:rPr>
                      <w:rFonts w:hint="default" w:ascii="Times New Roman" w:hAnsi="Times New Roman" w:eastAsia="Times New Roman" w:cs="Times New Roman"/>
                      <w:b w:val="0"/>
                      <w:bCs w:val="0"/>
                      <w:color w:val="auto"/>
                      <w:spacing w:val="-1"/>
                      <w:szCs w:val="21"/>
                      <w:highlight w:val="none"/>
                      <w:u w:val="none"/>
                    </w:rPr>
                  </w:pPr>
                </w:p>
              </w:tc>
              <w:tc>
                <w:tcPr>
                  <w:tcW w:w="1228" w:type="dxa"/>
                  <w:tcBorders>
                    <w:top w:val="single" w:color="auto" w:sz="4" w:space="0"/>
                    <w:left w:val="single" w:color="000000" w:sz="8" w:space="0"/>
                    <w:bottom w:val="single" w:color="000000" w:sz="8" w:space="0"/>
                  </w:tcBorders>
                  <w:noWrap w:val="0"/>
                  <w:vAlign w:val="center"/>
                </w:tcPr>
                <w:p>
                  <w:pPr>
                    <w:pStyle w:val="25"/>
                    <w:spacing w:line="240" w:lineRule="exact"/>
                    <w:jc w:val="center"/>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昼间</w:t>
                  </w:r>
                </w:p>
              </w:tc>
              <w:tc>
                <w:tcPr>
                  <w:tcW w:w="1358" w:type="dxa"/>
                  <w:tcBorders>
                    <w:top w:val="single" w:color="auto" w:sz="4" w:space="0"/>
                    <w:left w:val="single" w:color="000000" w:sz="8" w:space="0"/>
                    <w:bottom w:val="single" w:color="000000" w:sz="8" w:space="0"/>
                    <w:right w:val="single" w:color="auto" w:sz="4" w:space="0"/>
                  </w:tcBorders>
                  <w:noWrap w:val="0"/>
                  <w:vAlign w:val="center"/>
                </w:tcPr>
                <w:p>
                  <w:pPr>
                    <w:pStyle w:val="25"/>
                    <w:spacing w:line="240" w:lineRule="exact"/>
                    <w:jc w:val="center"/>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昼间</w:t>
                  </w:r>
                </w:p>
              </w:tc>
              <w:tc>
                <w:tcPr>
                  <w:tcW w:w="1277" w:type="dxa"/>
                  <w:tcBorders>
                    <w:top w:val="single" w:color="auto" w:sz="4" w:space="0"/>
                    <w:left w:val="single" w:color="auto" w:sz="4" w:space="0"/>
                    <w:bottom w:val="single" w:color="000000" w:sz="8" w:space="0"/>
                  </w:tcBorders>
                  <w:noWrap w:val="0"/>
                  <w:vAlign w:val="center"/>
                </w:tcPr>
                <w:p>
                  <w:pPr>
                    <w:pStyle w:val="25"/>
                    <w:spacing w:line="240" w:lineRule="exact"/>
                    <w:jc w:val="center"/>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昼间</w:t>
                  </w:r>
                </w:p>
              </w:tc>
              <w:tc>
                <w:tcPr>
                  <w:tcW w:w="1014" w:type="dxa"/>
                  <w:tcBorders>
                    <w:top w:val="single" w:color="auto" w:sz="4" w:space="0"/>
                    <w:left w:val="single" w:color="auto" w:sz="4" w:space="0"/>
                    <w:bottom w:val="single" w:color="000000" w:sz="8" w:space="0"/>
                  </w:tcBorders>
                  <w:noWrap w:val="0"/>
                  <w:vAlign w:val="center"/>
                </w:tcPr>
                <w:p>
                  <w:pPr>
                    <w:pStyle w:val="25"/>
                    <w:spacing w:line="240" w:lineRule="exact"/>
                    <w:jc w:val="center"/>
                    <w:rPr>
                      <w:rFonts w:hint="eastAsia" w:ascii="Times New Roman" w:hAnsi="Times New Roman" w:eastAsia="宋体" w:cs="Times New Roman"/>
                      <w:b w:val="0"/>
                      <w:bCs w:val="0"/>
                      <w:color w:val="auto"/>
                      <w:szCs w:val="21"/>
                      <w:u w:val="none"/>
                      <w:lang w:eastAsia="zh-CN"/>
                    </w:rPr>
                  </w:pPr>
                  <w:r>
                    <w:rPr>
                      <w:rFonts w:hint="eastAsia" w:ascii="Times New Roman" w:hAnsi="Times New Roman" w:eastAsia="宋体" w:cs="Times New Roman"/>
                      <w:b w:val="0"/>
                      <w:bCs w:val="0"/>
                      <w:color w:val="auto"/>
                      <w:szCs w:val="21"/>
                      <w:u w:val="none"/>
                      <w:lang w:eastAsia="zh-CN"/>
                    </w:rPr>
                    <w:t>昼间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460" w:hRule="atLeast"/>
                <w:jc w:val="center"/>
              </w:trPr>
              <w:tc>
                <w:tcPr>
                  <w:tcW w:w="971" w:type="dxa"/>
                  <w:tcBorders>
                    <w:top w:val="single" w:color="000000" w:sz="8" w:space="0"/>
                    <w:right w:val="single" w:color="000000" w:sz="8" w:space="0"/>
                  </w:tcBorders>
                  <w:noWrap w:val="0"/>
                  <w:vAlign w:val="center"/>
                </w:tcPr>
                <w:p>
                  <w:pPr>
                    <w:widowControl/>
                    <w:jc w:val="center"/>
                    <w:rPr>
                      <w:rFonts w:ascii="宋体" w:cs="宋体"/>
                      <w:b w:val="0"/>
                      <w:bCs w:val="0"/>
                      <w:color w:val="auto"/>
                      <w:szCs w:val="21"/>
                      <w:u w:val="none"/>
                    </w:rPr>
                  </w:pPr>
                  <w:r>
                    <w:rPr>
                      <w:rFonts w:hint="eastAsia" w:ascii="Times New Roman" w:hAnsi="Times New Roman" w:cs="Times New Roman"/>
                      <w:color w:val="auto"/>
                      <w:sz w:val="21"/>
                      <w:szCs w:val="21"/>
                      <w:lang w:eastAsia="zh-CN"/>
                    </w:rPr>
                    <w:t>东北永康新型社区</w:t>
                  </w:r>
                </w:p>
              </w:tc>
              <w:tc>
                <w:tcPr>
                  <w:tcW w:w="925" w:type="dxa"/>
                  <w:tcBorders>
                    <w:top w:val="single" w:color="000000" w:sz="8" w:space="0"/>
                    <w:left w:val="single" w:color="000000" w:sz="8" w:space="0"/>
                    <w:right w:val="single" w:color="000000" w:sz="8" w:space="0"/>
                  </w:tcBorders>
                  <w:noWrap w:val="0"/>
                  <w:vAlign w:val="center"/>
                </w:tcPr>
                <w:p>
                  <w:pPr>
                    <w:pStyle w:val="25"/>
                    <w:spacing w:line="240" w:lineRule="exact"/>
                    <w:jc w:val="center"/>
                    <w:rPr>
                      <w:rFonts w:hint="default" w:ascii="Times New Roman" w:hAnsi="Times New Roman" w:cs="Times New Roman"/>
                      <w:b w:val="0"/>
                      <w:bCs w:val="0"/>
                      <w:color w:val="auto"/>
                      <w:szCs w:val="21"/>
                      <w:u w:val="none"/>
                      <w:lang w:eastAsia="zh-CN"/>
                    </w:rPr>
                  </w:pPr>
                  <w:r>
                    <w:rPr>
                      <w:rFonts w:hint="default" w:ascii="Times New Roman" w:hAnsi="Times New Roman" w:cs="Times New Roman"/>
                      <w:b w:val="0"/>
                      <w:bCs w:val="0"/>
                      <w:color w:val="auto"/>
                      <w:szCs w:val="21"/>
                      <w:u w:val="none"/>
                      <w:lang w:eastAsia="zh-CN"/>
                    </w:rPr>
                    <w:t>车间中心</w:t>
                  </w:r>
                </w:p>
              </w:tc>
              <w:tc>
                <w:tcPr>
                  <w:tcW w:w="935" w:type="dxa"/>
                  <w:tcBorders>
                    <w:top w:val="single" w:color="000000" w:sz="8" w:space="0"/>
                    <w:left w:val="single" w:color="000000" w:sz="8" w:space="0"/>
                    <w:right w:val="single" w:color="000000" w:sz="8" w:space="0"/>
                  </w:tcBorders>
                  <w:noWrap w:val="0"/>
                  <w:vAlign w:val="center"/>
                </w:tcPr>
                <w:p>
                  <w:pPr>
                    <w:pStyle w:val="25"/>
                    <w:spacing w:line="240" w:lineRule="exact"/>
                    <w:jc w:val="center"/>
                    <w:rPr>
                      <w:rFonts w:hint="default"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76.6</w:t>
                  </w:r>
                </w:p>
              </w:tc>
              <w:tc>
                <w:tcPr>
                  <w:tcW w:w="1006" w:type="dxa"/>
                  <w:tcBorders>
                    <w:top w:val="single" w:color="000000" w:sz="8" w:space="0"/>
                    <w:left w:val="single" w:color="000000" w:sz="8" w:space="0"/>
                    <w:right w:val="single" w:color="000000" w:sz="8" w:space="0"/>
                  </w:tcBorders>
                  <w:noWrap w:val="0"/>
                  <w:vAlign w:val="center"/>
                </w:tcPr>
                <w:p>
                  <w:pPr>
                    <w:pStyle w:val="25"/>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159</w:t>
                  </w:r>
                </w:p>
              </w:tc>
              <w:tc>
                <w:tcPr>
                  <w:tcW w:w="1228" w:type="dxa"/>
                  <w:tcBorders>
                    <w:top w:val="single" w:color="000000" w:sz="8" w:space="0"/>
                    <w:left w:val="single" w:color="000000" w:sz="8" w:space="0"/>
                  </w:tcBorders>
                  <w:noWrap w:val="0"/>
                  <w:vAlign w:val="center"/>
                </w:tcPr>
                <w:p>
                  <w:pPr>
                    <w:pStyle w:val="25"/>
                    <w:spacing w:line="240" w:lineRule="exact"/>
                    <w:jc w:val="center"/>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41.1</w:t>
                  </w:r>
                </w:p>
              </w:tc>
              <w:tc>
                <w:tcPr>
                  <w:tcW w:w="1358" w:type="dxa"/>
                  <w:tcBorders>
                    <w:top w:val="single" w:color="000000" w:sz="8" w:space="0"/>
                    <w:left w:val="single" w:color="000000" w:sz="8" w:space="0"/>
                    <w:right w:val="single" w:color="auto" w:sz="4" w:space="0"/>
                  </w:tcBorders>
                  <w:noWrap w:val="0"/>
                  <w:vAlign w:val="center"/>
                </w:tcPr>
                <w:p>
                  <w:pPr>
                    <w:pStyle w:val="25"/>
                    <w:spacing w:line="240" w:lineRule="exact"/>
                    <w:jc w:val="center"/>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50.6</w:t>
                  </w:r>
                </w:p>
              </w:tc>
              <w:tc>
                <w:tcPr>
                  <w:tcW w:w="1277" w:type="dxa"/>
                  <w:tcBorders>
                    <w:top w:val="single" w:color="000000" w:sz="8" w:space="0"/>
                    <w:left w:val="single" w:color="auto" w:sz="4" w:space="0"/>
                  </w:tcBorders>
                  <w:noWrap w:val="0"/>
                  <w:vAlign w:val="center"/>
                </w:tcPr>
                <w:p>
                  <w:pPr>
                    <w:pStyle w:val="25"/>
                    <w:spacing w:line="240" w:lineRule="exact"/>
                    <w:jc w:val="center"/>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51.2</w:t>
                  </w:r>
                </w:p>
              </w:tc>
              <w:tc>
                <w:tcPr>
                  <w:tcW w:w="1014" w:type="dxa"/>
                  <w:tcBorders>
                    <w:top w:val="single" w:color="000000" w:sz="8" w:space="0"/>
                    <w:left w:val="single" w:color="auto" w:sz="4" w:space="0"/>
                  </w:tcBorders>
                  <w:noWrap w:val="0"/>
                  <w:vAlign w:val="center"/>
                </w:tcPr>
                <w:p>
                  <w:pPr>
                    <w:pStyle w:val="25"/>
                    <w:spacing w:line="240" w:lineRule="exact"/>
                    <w:jc w:val="center"/>
                    <w:rPr>
                      <w:rFonts w:hint="eastAsia" w:ascii="Times New Roman" w:hAnsi="Times New Roman" w:cs="Times New Roman"/>
                      <w:b w:val="0"/>
                      <w:bCs w:val="0"/>
                      <w:color w:val="auto"/>
                      <w:szCs w:val="21"/>
                      <w:u w:val="none"/>
                      <w:lang w:val="en-US" w:eastAsia="zh-CN"/>
                    </w:rPr>
                  </w:pPr>
                  <w:r>
                    <w:rPr>
                      <w:rFonts w:hint="eastAsia" w:ascii="Times New Roman" w:hAnsi="Times New Roman" w:cs="Times New Roman"/>
                      <w:b w:val="0"/>
                      <w:bCs w:val="0"/>
                      <w:color w:val="auto"/>
                      <w:szCs w:val="21"/>
                      <w:u w:val="none"/>
                      <w:lang w:val="en-US" w:eastAsia="zh-CN"/>
                    </w:rPr>
                    <w:t>60</w:t>
                  </w:r>
                </w:p>
              </w:tc>
            </w:tr>
          </w:tbl>
          <w:p>
            <w:pPr>
              <w:keepNext w:val="0"/>
              <w:keepLines w:val="0"/>
              <w:pageBreakBefore w:val="0"/>
              <w:widowControl w:val="0"/>
              <w:tabs>
                <w:tab w:val="left" w:pos="1680"/>
              </w:tabs>
              <w:kinsoku/>
              <w:wordWrap/>
              <w:overflowPunct/>
              <w:topLinePunct w:val="0"/>
              <w:autoSpaceDE/>
              <w:autoSpaceDN/>
              <w:bidi w:val="0"/>
              <w:adjustRightInd w:val="0"/>
              <w:snapToGrid w:val="0"/>
              <w:spacing w:line="360" w:lineRule="auto"/>
              <w:ind w:firstLine="480" w:firstLineChars="200"/>
              <w:textAlignment w:val="auto"/>
              <w:outlineLvl w:val="9"/>
              <w:rPr>
                <w:rFonts w:hint="default" w:hAnsi="宋体"/>
                <w:color w:val="auto"/>
                <w:sz w:val="24"/>
                <w:lang w:val="en-US" w:eastAsia="zh-CN"/>
              </w:rPr>
            </w:pPr>
            <w:r>
              <w:rPr>
                <w:rFonts w:hint="default" w:ascii="Times New Roman" w:hAnsi="Times New Roman" w:cs="Times New Roman"/>
                <w:b w:val="0"/>
                <w:bCs w:val="0"/>
                <w:color w:val="auto"/>
                <w:sz w:val="24"/>
                <w:szCs w:val="24"/>
                <w:u w:val="none"/>
              </w:rPr>
              <w:t>通过减振基础、车间隔声及距离衰减后，项目建设各厂界噪声</w:t>
            </w:r>
            <w:r>
              <w:rPr>
                <w:rFonts w:hint="eastAsia" w:ascii="Times New Roman" w:hAnsi="Times New Roman" w:cs="Times New Roman"/>
                <w:b w:val="0"/>
                <w:bCs w:val="0"/>
                <w:color w:val="auto"/>
                <w:sz w:val="24"/>
                <w:szCs w:val="24"/>
                <w:u w:val="none"/>
                <w:lang w:eastAsia="zh-CN"/>
              </w:rPr>
              <w:t>贡献</w:t>
            </w:r>
            <w:r>
              <w:rPr>
                <w:rFonts w:hint="default" w:ascii="Times New Roman" w:hAnsi="Times New Roman" w:cs="Times New Roman"/>
                <w:b w:val="0"/>
                <w:bCs w:val="0"/>
                <w:color w:val="auto"/>
                <w:sz w:val="24"/>
                <w:szCs w:val="24"/>
                <w:u w:val="none"/>
              </w:rPr>
              <w:t>值能满足《工业企业厂界环境噪声排放标准》（GB12348-2008）</w:t>
            </w:r>
            <w:r>
              <w:rPr>
                <w:rFonts w:hint="eastAsia" w:cs="Times New Roman"/>
                <w:b w:val="0"/>
                <w:bCs w:val="0"/>
                <w:color w:val="auto"/>
                <w:sz w:val="24"/>
                <w:szCs w:val="24"/>
                <w:u w:val="none"/>
                <w:lang w:val="en-US" w:eastAsia="zh-CN"/>
              </w:rPr>
              <w:t>2</w:t>
            </w:r>
            <w:r>
              <w:rPr>
                <w:rFonts w:hint="default" w:ascii="Times New Roman" w:hAnsi="Times New Roman" w:cs="Times New Roman"/>
                <w:b w:val="0"/>
                <w:bCs w:val="0"/>
                <w:color w:val="auto"/>
                <w:sz w:val="24"/>
                <w:szCs w:val="24"/>
                <w:u w:val="none"/>
              </w:rPr>
              <w:t>类标准［昼间≤6</w:t>
            </w:r>
            <w:r>
              <w:rPr>
                <w:rFonts w:hint="eastAsia" w:cs="Times New Roman"/>
                <w:b w:val="0"/>
                <w:bCs w:val="0"/>
                <w:color w:val="auto"/>
                <w:sz w:val="24"/>
                <w:szCs w:val="24"/>
                <w:u w:val="none"/>
                <w:lang w:val="en-US" w:eastAsia="zh-CN"/>
              </w:rPr>
              <w:t>0</w:t>
            </w:r>
            <w:r>
              <w:rPr>
                <w:rFonts w:hint="default" w:ascii="Times New Roman" w:hAnsi="Times New Roman" w:cs="Times New Roman"/>
                <w:b w:val="0"/>
                <w:bCs w:val="0"/>
                <w:color w:val="auto"/>
                <w:sz w:val="24"/>
                <w:szCs w:val="24"/>
                <w:u w:val="none"/>
              </w:rPr>
              <w:t>dB（A）]的要求</w:t>
            </w:r>
            <w:r>
              <w:rPr>
                <w:rFonts w:hint="eastAsia" w:cs="Times New Roman"/>
                <w:b w:val="0"/>
                <w:bCs w:val="0"/>
                <w:color w:val="auto"/>
                <w:sz w:val="24"/>
                <w:szCs w:val="24"/>
                <w:u w:val="none"/>
                <w:lang w:eastAsia="zh-CN"/>
              </w:rPr>
              <w:t>，</w:t>
            </w:r>
            <w:r>
              <w:rPr>
                <w:rFonts w:hint="eastAsia"/>
                <w:sz w:val="24"/>
                <w:szCs w:val="24"/>
                <w:lang w:eastAsia="zh-CN"/>
              </w:rPr>
              <w:t>敏感点噪声能够满足</w:t>
            </w:r>
            <w:r>
              <w:rPr>
                <w:rFonts w:hint="eastAsia"/>
                <w:sz w:val="24"/>
                <w:lang w:eastAsia="zh-CN"/>
              </w:rPr>
              <w:t>《声环境质量标准》（GB3096-2008）</w:t>
            </w:r>
            <w:r>
              <w:rPr>
                <w:rFonts w:hint="eastAsia"/>
                <w:sz w:val="24"/>
                <w:lang w:val="en-US" w:eastAsia="zh-CN"/>
              </w:rPr>
              <w:t>2</w:t>
            </w:r>
            <w:r>
              <w:rPr>
                <w:rFonts w:hint="eastAsia"/>
                <w:sz w:val="24"/>
                <w:lang w:eastAsia="zh-CN"/>
              </w:rPr>
              <w:t>类标准［昼间≤6</w:t>
            </w:r>
            <w:r>
              <w:rPr>
                <w:rFonts w:hint="eastAsia"/>
                <w:sz w:val="24"/>
                <w:lang w:val="en-US" w:eastAsia="zh-CN"/>
              </w:rPr>
              <w:t>0</w:t>
            </w:r>
            <w:r>
              <w:rPr>
                <w:rFonts w:hint="eastAsia"/>
                <w:sz w:val="24"/>
                <w:lang w:eastAsia="zh-CN"/>
              </w:rPr>
              <w:t>dB（A）]要求</w:t>
            </w:r>
            <w:r>
              <w:rPr>
                <w:rFonts w:hint="default" w:ascii="Times New Roman" w:hAnsi="Times New Roman" w:cs="Times New Roman"/>
                <w:b w:val="0"/>
                <w:bCs w:val="0"/>
                <w:color w:val="auto"/>
                <w:sz w:val="24"/>
                <w:szCs w:val="24"/>
                <w:u w:val="none"/>
              </w:rPr>
              <w:t>。</w:t>
            </w:r>
            <w:r>
              <w:rPr>
                <w:rFonts w:hint="default" w:ascii="Times New Roman" w:hAnsi="Times New Roman" w:cs="Times New Roman"/>
                <w:b w:val="0"/>
                <w:bCs w:val="0"/>
                <w:color w:val="auto"/>
                <w:sz w:val="24"/>
                <w:szCs w:val="24"/>
                <w:u w:val="none"/>
                <w:lang w:eastAsia="zh-CN"/>
              </w:rPr>
              <w:t>综上所述，</w:t>
            </w:r>
            <w:r>
              <w:rPr>
                <w:rFonts w:hint="default" w:ascii="Times New Roman" w:hAnsi="Times New Roman" w:cs="Times New Roman"/>
                <w:color w:val="auto"/>
                <w:sz w:val="24"/>
              </w:rPr>
              <w:t>项目运营期噪声对周围环境影响较小。</w:t>
            </w:r>
          </w:p>
          <w:p>
            <w:pPr>
              <w:adjustRightInd w:val="0"/>
              <w:snapToGrid w:val="0"/>
              <w:spacing w:line="360" w:lineRule="auto"/>
              <w:ind w:firstLine="482" w:firstLineChars="200"/>
              <w:rPr>
                <w:b/>
                <w:color w:val="auto"/>
                <w:kern w:val="0"/>
                <w:sz w:val="24"/>
              </w:rPr>
            </w:pPr>
            <w:r>
              <w:rPr>
                <w:rFonts w:hint="eastAsia"/>
                <w:b/>
                <w:color w:val="auto"/>
                <w:kern w:val="0"/>
                <w:sz w:val="24"/>
              </w:rPr>
              <w:t>（</w:t>
            </w:r>
            <w:r>
              <w:rPr>
                <w:rFonts w:hint="eastAsia"/>
                <w:b/>
                <w:color w:val="auto"/>
                <w:kern w:val="0"/>
                <w:sz w:val="24"/>
                <w:lang w:eastAsia="zh-CN"/>
              </w:rPr>
              <w:t>三</w:t>
            </w:r>
            <w:r>
              <w:rPr>
                <w:rFonts w:hint="eastAsia"/>
                <w:b/>
                <w:color w:val="auto"/>
                <w:kern w:val="0"/>
                <w:sz w:val="24"/>
              </w:rPr>
              <w:t>）固体废物环境影响分析</w:t>
            </w:r>
          </w:p>
          <w:p>
            <w:pPr>
              <w:adjustRightInd w:val="0"/>
              <w:snapToGrid w:val="0"/>
              <w:spacing w:line="360" w:lineRule="auto"/>
              <w:ind w:firstLine="480" w:firstLineChars="200"/>
              <w:rPr>
                <w:color w:val="auto"/>
                <w:sz w:val="24"/>
              </w:rPr>
            </w:pPr>
            <w:r>
              <w:rPr>
                <w:color w:val="auto"/>
                <w:sz w:val="24"/>
              </w:rPr>
              <w:t>本项目</w:t>
            </w:r>
            <w:r>
              <w:rPr>
                <w:rFonts w:hint="eastAsia" w:ascii="Times New Roman" w:hAnsi="Times New Roman" w:cs="Times New Roman"/>
                <w:color w:val="auto"/>
                <w:sz w:val="24"/>
                <w:lang w:eastAsia="zh-CN"/>
              </w:rPr>
              <w:t>一般固废包括</w:t>
            </w:r>
            <w:r>
              <w:rPr>
                <w:rFonts w:hint="eastAsia" w:cs="Times New Roman"/>
                <w:color w:val="auto"/>
                <w:sz w:val="24"/>
                <w:lang w:eastAsia="zh-CN"/>
              </w:rPr>
              <w:t>生产过程中产生的金属边角料和</w:t>
            </w:r>
            <w:r>
              <w:rPr>
                <w:rFonts w:hint="eastAsia" w:ascii="Times New Roman" w:hAnsi="Times New Roman" w:cs="Times New Roman"/>
                <w:color w:val="auto"/>
                <w:sz w:val="24"/>
                <w:lang w:eastAsia="zh-CN"/>
              </w:rPr>
              <w:t>生活垃圾</w:t>
            </w:r>
            <w:r>
              <w:rPr>
                <w:rFonts w:hint="eastAsia" w:cs="Times New Roman"/>
                <w:color w:val="auto"/>
                <w:sz w:val="24"/>
                <w:lang w:eastAsia="zh-CN"/>
              </w:rPr>
              <w:t>；</w:t>
            </w:r>
            <w:r>
              <w:rPr>
                <w:color w:val="auto"/>
                <w:sz w:val="24"/>
              </w:rPr>
              <w:t>危险废物主要是</w:t>
            </w:r>
            <w:r>
              <w:rPr>
                <w:rFonts w:hint="eastAsia"/>
                <w:color w:val="auto"/>
                <w:sz w:val="24"/>
                <w:lang w:eastAsia="zh-CN"/>
              </w:rPr>
              <w:t>设备维护</w:t>
            </w:r>
            <w:r>
              <w:rPr>
                <w:color w:val="auto"/>
                <w:sz w:val="24"/>
              </w:rPr>
              <w:t>过程产生的废</w:t>
            </w:r>
            <w:r>
              <w:rPr>
                <w:rFonts w:hint="eastAsia"/>
                <w:color w:val="auto"/>
                <w:sz w:val="24"/>
                <w:lang w:eastAsia="zh-CN"/>
              </w:rPr>
              <w:t>润滑油和含油废抹布</w:t>
            </w:r>
            <w:r>
              <w:rPr>
                <w:color w:val="auto"/>
                <w:sz w:val="24"/>
              </w:rPr>
              <w:t>。</w:t>
            </w:r>
          </w:p>
          <w:p>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一般固废：</w:t>
            </w:r>
          </w:p>
          <w:p>
            <w:pPr>
              <w:adjustRightInd w:val="0"/>
              <w:snapToGrid w:val="0"/>
              <w:spacing w:line="360" w:lineRule="auto"/>
              <w:ind w:firstLine="468" w:firstLineChars="195"/>
              <w:rPr>
                <w:rFonts w:hint="default" w:ascii="Times New Roman" w:hAnsi="Times New Roman" w:cs="Times New Roman"/>
                <w:color w:val="auto"/>
                <w:sz w:val="24"/>
              </w:rPr>
            </w:pPr>
            <w:r>
              <w:rPr>
                <w:rFonts w:hint="default" w:ascii="Times New Roman" w:hAnsi="Times New Roman" w:cs="Times New Roman"/>
                <w:color w:val="auto"/>
                <w:sz w:val="24"/>
              </w:rPr>
              <w:t>（1）</w:t>
            </w:r>
            <w:r>
              <w:rPr>
                <w:rFonts w:hint="eastAsia" w:cs="Times New Roman"/>
                <w:color w:val="auto"/>
                <w:sz w:val="24"/>
                <w:lang w:eastAsia="zh-CN"/>
              </w:rPr>
              <w:t>金属边角料</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由工程计算可知，</w:t>
            </w:r>
            <w:r>
              <w:rPr>
                <w:rFonts w:hint="default" w:ascii="Times New Roman" w:hAnsi="Times New Roman" w:cs="Times New Roman"/>
                <w:color w:val="auto"/>
                <w:sz w:val="24"/>
                <w:highlight w:val="none"/>
                <w:lang w:eastAsia="zh-CN"/>
              </w:rPr>
              <w:t>生产</w:t>
            </w:r>
            <w:r>
              <w:rPr>
                <w:rFonts w:hint="default" w:ascii="Times New Roman" w:hAnsi="Times New Roman" w:cs="Times New Roman"/>
                <w:color w:val="auto"/>
                <w:sz w:val="24"/>
                <w:lang w:eastAsia="zh-CN"/>
              </w:rPr>
              <w:t>环节</w:t>
            </w:r>
            <w:r>
              <w:rPr>
                <w:rFonts w:hint="default" w:ascii="Times New Roman" w:hAnsi="Times New Roman" w:cs="Times New Roman"/>
                <w:color w:val="auto"/>
                <w:sz w:val="24"/>
              </w:rPr>
              <w:t>产生的</w:t>
            </w:r>
            <w:r>
              <w:rPr>
                <w:rFonts w:hint="eastAsia" w:cs="Times New Roman"/>
                <w:color w:val="auto"/>
                <w:sz w:val="24"/>
                <w:lang w:eastAsia="zh-CN"/>
              </w:rPr>
              <w:t>边角料</w:t>
            </w:r>
            <w:r>
              <w:rPr>
                <w:rFonts w:hint="default" w:ascii="Times New Roman" w:hAnsi="Times New Roman" w:cs="Times New Roman"/>
                <w:color w:val="auto"/>
                <w:sz w:val="24"/>
              </w:rPr>
              <w:t>约</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rPr>
              <w:t>t/a</w:t>
            </w:r>
            <w:r>
              <w:rPr>
                <w:rFonts w:hint="default" w:ascii="Times New Roman" w:hAnsi="Times New Roman" w:cs="Times New Roman"/>
                <w:color w:val="auto"/>
                <w:sz w:val="24"/>
                <w:lang w:eastAsia="zh-CN"/>
              </w:rPr>
              <w:t>，</w:t>
            </w:r>
            <w:r>
              <w:rPr>
                <w:rFonts w:hint="eastAsia" w:cs="Times New Roman"/>
                <w:color w:val="auto"/>
                <w:sz w:val="24"/>
                <w:lang w:val="en-US" w:eastAsia="zh-CN"/>
              </w:rPr>
              <w:t>厂区一般固废暂存间</w:t>
            </w:r>
            <w:r>
              <w:rPr>
                <w:rFonts w:hint="eastAsia" w:cs="Times New Roman"/>
                <w:color w:val="auto"/>
                <w:sz w:val="24"/>
                <w:szCs w:val="24"/>
                <w:lang w:val="en-US" w:eastAsia="zh-CN"/>
              </w:rPr>
              <w:t>（</w:t>
            </w:r>
            <w:r>
              <w:rPr>
                <w:rFonts w:hint="default" w:ascii="Times New Roman" w:hAnsi="Times New Roman" w:eastAsia="宋体" w:cs="Times New Roman"/>
                <w:b w:val="0"/>
                <w:bCs w:val="0"/>
                <w:color w:val="auto"/>
                <w:sz w:val="24"/>
                <w:szCs w:val="24"/>
                <w:highlight w:val="none"/>
                <w:u w:val="none"/>
                <w:lang w:eastAsia="zh-CN"/>
              </w:rPr>
              <w:t>不少</w:t>
            </w:r>
            <w:r>
              <w:rPr>
                <w:rFonts w:hint="eastAsia" w:cs="Times New Roman"/>
                <w:b w:val="0"/>
                <w:bCs w:val="0"/>
                <w:color w:val="auto"/>
                <w:sz w:val="24"/>
                <w:szCs w:val="24"/>
                <w:highlight w:val="none"/>
                <w:u w:val="none"/>
                <w:lang w:eastAsia="zh-CN"/>
              </w:rPr>
              <w:t>于</w:t>
            </w:r>
            <w:r>
              <w:rPr>
                <w:rFonts w:hint="default" w:ascii="Times New Roman" w:hAnsi="Times New Roman" w:eastAsia="宋体" w:cs="Times New Roman"/>
                <w:b w:val="0"/>
                <w:bCs w:val="0"/>
                <w:color w:val="auto"/>
                <w:sz w:val="24"/>
                <w:szCs w:val="24"/>
                <w:highlight w:val="none"/>
                <w:u w:val="none"/>
                <w:lang w:val="en-US" w:eastAsia="zh-CN"/>
              </w:rPr>
              <w:t>5m</w:t>
            </w:r>
            <w:r>
              <w:rPr>
                <w:rFonts w:hint="default" w:ascii="Times New Roman" w:hAnsi="Times New Roman" w:eastAsia="宋体" w:cs="Times New Roman"/>
                <w:b w:val="0"/>
                <w:bCs w:val="0"/>
                <w:color w:val="auto"/>
                <w:sz w:val="24"/>
                <w:szCs w:val="24"/>
                <w:highlight w:val="none"/>
                <w:u w:val="none"/>
                <w:vertAlign w:val="superscript"/>
                <w:lang w:val="en-US" w:eastAsia="zh-CN"/>
              </w:rPr>
              <w:t>2</w:t>
            </w:r>
            <w:r>
              <w:rPr>
                <w:rFonts w:hint="eastAsia" w:cs="Times New Roman"/>
                <w:color w:val="auto"/>
                <w:sz w:val="24"/>
                <w:szCs w:val="24"/>
                <w:lang w:val="en-US" w:eastAsia="zh-CN"/>
              </w:rPr>
              <w:t>）</w:t>
            </w:r>
            <w:r>
              <w:rPr>
                <w:rFonts w:hint="eastAsia" w:cs="Times New Roman"/>
                <w:color w:val="auto"/>
                <w:sz w:val="24"/>
                <w:lang w:val="en-US" w:eastAsia="zh-CN"/>
              </w:rPr>
              <w:t>暂存后，统一外售</w:t>
            </w:r>
            <w:r>
              <w:rPr>
                <w:rFonts w:hint="default" w:ascii="Times New Roman" w:hAnsi="Times New Roman" w:cs="Times New Roman"/>
                <w:color w:val="auto"/>
                <w:sz w:val="24"/>
                <w:lang w:val="en-US" w:eastAsia="zh-CN"/>
              </w:rPr>
              <w:t>。</w:t>
            </w:r>
          </w:p>
          <w:p>
            <w:pPr>
              <w:adjustRightInd w:val="0"/>
              <w:snapToGrid w:val="0"/>
              <w:spacing w:line="360" w:lineRule="auto"/>
              <w:ind w:firstLine="468" w:firstLineChars="195"/>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）生活垃圾：本项目职工人数为</w:t>
            </w:r>
            <w:r>
              <w:rPr>
                <w:rFonts w:hint="default" w:ascii="Times New Roman" w:hAnsi="Times New Roman" w:cs="Times New Roman"/>
                <w:color w:val="auto"/>
                <w:sz w:val="24"/>
                <w:lang w:val="en-US" w:eastAsia="zh-CN"/>
              </w:rPr>
              <w:t>16人</w:t>
            </w:r>
            <w:r>
              <w:rPr>
                <w:rFonts w:hint="default" w:ascii="Times New Roman" w:hAnsi="Times New Roman" w:cs="Times New Roman"/>
                <w:color w:val="auto"/>
                <w:sz w:val="24"/>
                <w:lang w:eastAsia="zh-CN"/>
              </w:rPr>
              <w:t>，生活垃圾以0.5kg/（p.d）计，则生活垃圾产生量为</w:t>
            </w:r>
            <w:r>
              <w:rPr>
                <w:rFonts w:hint="default" w:ascii="Times New Roman" w:hAnsi="Times New Roman" w:cs="Times New Roman"/>
                <w:color w:val="auto"/>
                <w:sz w:val="24"/>
                <w:lang w:val="en-US" w:eastAsia="zh-CN"/>
              </w:rPr>
              <w:t>2.4</w:t>
            </w:r>
            <w:r>
              <w:rPr>
                <w:rFonts w:hint="default" w:ascii="Times New Roman" w:hAnsi="Times New Roman" w:cs="Times New Roman"/>
                <w:color w:val="auto"/>
                <w:sz w:val="24"/>
                <w:lang w:eastAsia="zh-CN"/>
              </w:rPr>
              <w:t>t/a，运至垃圾中转站集中处理。</w:t>
            </w:r>
          </w:p>
          <w:p>
            <w:pPr>
              <w:adjustRightInd w:val="0"/>
              <w:snapToGrid w:val="0"/>
              <w:spacing w:line="360" w:lineRule="auto"/>
              <w:ind w:firstLine="480" w:firstLineChars="200"/>
              <w:rPr>
                <w:rFonts w:hint="eastAsia"/>
                <w:b w:val="0"/>
                <w:bCs/>
                <w:color w:val="auto"/>
                <w:sz w:val="24"/>
                <w:u w:val="none"/>
                <w:lang w:eastAsia="zh-CN"/>
              </w:rPr>
            </w:pPr>
            <w:r>
              <w:rPr>
                <w:rFonts w:hint="eastAsia"/>
                <w:b w:val="0"/>
                <w:bCs/>
                <w:color w:val="auto"/>
                <w:sz w:val="24"/>
                <w:u w:val="none"/>
                <w:lang w:eastAsia="zh-CN"/>
              </w:rPr>
              <w:t>危险废物：</w:t>
            </w:r>
          </w:p>
          <w:p>
            <w:pPr>
              <w:adjustRightInd w:val="0"/>
              <w:snapToGrid w:val="0"/>
              <w:spacing w:line="360" w:lineRule="auto"/>
              <w:ind w:firstLine="480" w:firstLineChars="200"/>
              <w:rPr>
                <w:b w:val="0"/>
                <w:bCs/>
                <w:color w:val="auto"/>
                <w:u w:val="none"/>
              </w:rPr>
            </w:pPr>
            <w:r>
              <w:rPr>
                <w:rFonts w:hint="default" w:ascii="Times New Roman" w:hAnsi="Times New Roman" w:eastAsia="宋体" w:cs="Times New Roman"/>
                <w:b w:val="0"/>
                <w:bCs/>
                <w:color w:val="auto"/>
                <w:sz w:val="24"/>
                <w:u w:val="none"/>
                <w:lang w:eastAsia="zh-CN"/>
              </w:rPr>
              <w:t>根据查找</w:t>
            </w:r>
            <w:r>
              <w:rPr>
                <w:rFonts w:hint="default" w:ascii="Times New Roman" w:hAnsi="Times New Roman" w:eastAsia="宋体" w:cs="Times New Roman"/>
                <w:b w:val="0"/>
                <w:bCs/>
                <w:color w:val="auto"/>
                <w:sz w:val="24"/>
                <w:u w:val="none"/>
                <w:lang w:val="en-US" w:eastAsia="zh-CN"/>
              </w:rPr>
              <w:t>《国家危险废物名录》（2016），</w:t>
            </w:r>
            <w:r>
              <w:rPr>
                <w:rFonts w:hint="eastAsia" w:ascii="Times New Roman" w:hAnsi="Times New Roman" w:eastAsia="宋体" w:cs="Times New Roman"/>
                <w:b w:val="0"/>
                <w:bCs/>
                <w:color w:val="auto"/>
                <w:sz w:val="24"/>
                <w:u w:val="none"/>
                <w:lang w:val="en-US" w:eastAsia="zh-CN"/>
              </w:rPr>
              <w:t>本项目设备维护过程中产生的废</w:t>
            </w:r>
            <w:r>
              <w:rPr>
                <w:rFonts w:hint="eastAsia" w:cs="Times New Roman"/>
                <w:b w:val="0"/>
                <w:bCs/>
                <w:color w:val="auto"/>
                <w:sz w:val="24"/>
                <w:u w:val="none"/>
                <w:lang w:val="en-US" w:eastAsia="zh-CN"/>
              </w:rPr>
              <w:t>润滑油</w:t>
            </w:r>
            <w:r>
              <w:rPr>
                <w:rFonts w:hint="eastAsia" w:ascii="Times New Roman" w:hAnsi="Times New Roman" w:eastAsia="宋体" w:cs="Times New Roman"/>
                <w:b w:val="0"/>
                <w:bCs/>
                <w:color w:val="auto"/>
                <w:sz w:val="24"/>
                <w:u w:val="none"/>
                <w:lang w:val="en-US" w:eastAsia="zh-CN"/>
              </w:rPr>
              <w:t>属于危险废物，属于“</w:t>
            </w:r>
            <w:r>
              <w:rPr>
                <w:rFonts w:hint="default" w:ascii="Times New Roman" w:hAnsi="Times New Roman" w:eastAsia="宋体" w:cs="Times New Roman"/>
                <w:b w:val="0"/>
                <w:bCs/>
                <w:color w:val="auto"/>
                <w:sz w:val="24"/>
                <w:u w:val="none"/>
                <w:lang w:val="en-US" w:eastAsia="zh-CN"/>
              </w:rPr>
              <w:t>HW</w:t>
            </w:r>
            <w:r>
              <w:rPr>
                <w:rFonts w:hint="default" w:ascii="Times New Roman" w:hAnsi="Times New Roman" w:cs="Times New Roman"/>
                <w:b w:val="0"/>
                <w:bCs/>
                <w:color w:val="auto"/>
                <w:sz w:val="24"/>
                <w:u w:val="none"/>
                <w:lang w:val="en-US" w:eastAsia="zh-CN"/>
              </w:rPr>
              <w:t xml:space="preserve">08 </w:t>
            </w:r>
            <w:r>
              <w:rPr>
                <w:rFonts w:hint="eastAsia" w:cs="Times New Roman"/>
                <w:b w:val="0"/>
                <w:bCs/>
                <w:color w:val="auto"/>
                <w:sz w:val="24"/>
                <w:u w:val="none"/>
                <w:lang w:val="en-US" w:eastAsia="zh-CN"/>
              </w:rPr>
              <w:t>废矿物油与含矿物油废物（危废代码：</w:t>
            </w:r>
            <w:r>
              <w:rPr>
                <w:rFonts w:hint="eastAsia" w:ascii="Times New Roman" w:hAnsi="Times New Roman" w:eastAsia="宋体" w:cs="Times New Roman"/>
                <w:b w:val="0"/>
                <w:bCs/>
                <w:color w:val="auto"/>
                <w:sz w:val="24"/>
                <w:highlight w:val="none"/>
                <w:u w:val="none"/>
                <w:lang w:val="en-US" w:eastAsia="zh-CN"/>
              </w:rPr>
              <w:t xml:space="preserve">900-249-08 </w:t>
            </w:r>
            <w:r>
              <w:rPr>
                <w:rFonts w:hint="eastAsia" w:cs="Times New Roman"/>
                <w:b w:val="0"/>
                <w:bCs/>
                <w:color w:val="auto"/>
                <w:sz w:val="24"/>
                <w:u w:val="none"/>
                <w:lang w:val="en-US" w:eastAsia="zh-CN"/>
              </w:rPr>
              <w:t>其他生产、销售、使用过程中产生的废矿物油及含矿物油废物）</w:t>
            </w:r>
            <w:r>
              <w:rPr>
                <w:rFonts w:hint="eastAsia" w:ascii="Times New Roman" w:hAnsi="Times New Roman" w:eastAsia="宋体" w:cs="Times New Roman"/>
                <w:b w:val="0"/>
                <w:bCs/>
                <w:color w:val="auto"/>
                <w:sz w:val="24"/>
                <w:u w:val="none"/>
                <w:lang w:val="en-US" w:eastAsia="zh-CN"/>
              </w:rPr>
              <w:t>”危废类别，</w:t>
            </w:r>
            <w:r>
              <w:rPr>
                <w:rFonts w:ascii="Times New Roman" w:hAnsi="Times New Roman"/>
                <w:b w:val="0"/>
                <w:bCs/>
                <w:color w:val="auto"/>
                <w:sz w:val="24"/>
                <w:u w:val="none"/>
              </w:rPr>
              <w:t>含油废抹布属于</w:t>
            </w:r>
            <w:r>
              <w:rPr>
                <w:rFonts w:hint="eastAsia" w:ascii="Times New Roman" w:hAnsi="Times New Roman"/>
                <w:b w:val="0"/>
                <w:bCs/>
                <w:color w:val="auto"/>
                <w:sz w:val="24"/>
                <w:u w:val="none"/>
              </w:rPr>
              <w:t>危险废物豁免管理清单</w:t>
            </w:r>
            <w:r>
              <w:rPr>
                <w:rFonts w:ascii="Times New Roman" w:hAnsi="Times New Roman"/>
                <w:b w:val="0"/>
                <w:bCs/>
                <w:color w:val="auto"/>
                <w:sz w:val="24"/>
                <w:u w:val="none"/>
              </w:rPr>
              <w:t>中</w:t>
            </w:r>
            <w:r>
              <w:rPr>
                <w:rFonts w:hint="eastAsia" w:ascii="Times New Roman" w:hAnsi="Times New Roman"/>
                <w:b w:val="0"/>
                <w:bCs/>
                <w:color w:val="auto"/>
                <w:sz w:val="24"/>
                <w:u w:val="none"/>
                <w:lang w:eastAsia="zh-CN"/>
              </w:rPr>
              <w:t>“</w:t>
            </w:r>
            <w:r>
              <w:rPr>
                <w:rFonts w:ascii="Times New Roman" w:hAnsi="Times New Roman"/>
                <w:b w:val="0"/>
                <w:bCs/>
                <w:color w:val="auto"/>
                <w:sz w:val="24"/>
                <w:u w:val="none"/>
              </w:rPr>
              <w:t>900-041-49</w:t>
            </w:r>
            <w:r>
              <w:rPr>
                <w:rFonts w:hint="eastAsia" w:ascii="Times New Roman" w:hAnsi="Times New Roman"/>
                <w:b w:val="0"/>
                <w:bCs/>
                <w:color w:val="auto"/>
                <w:sz w:val="24"/>
                <w:u w:val="none"/>
                <w:lang w:val="en-US" w:eastAsia="zh-CN"/>
              </w:rPr>
              <w:t xml:space="preserve">  </w:t>
            </w:r>
            <w:r>
              <w:rPr>
                <w:rFonts w:ascii="Times New Roman" w:hAnsi="Times New Roman"/>
                <w:b w:val="0"/>
                <w:bCs/>
                <w:color w:val="auto"/>
                <w:sz w:val="24"/>
                <w:u w:val="none"/>
              </w:rPr>
              <w:t>废弃的含油抹布、劳保用品</w:t>
            </w:r>
            <w:r>
              <w:rPr>
                <w:rFonts w:hint="eastAsia" w:ascii="Times New Roman" w:hAnsi="Times New Roman"/>
                <w:b w:val="0"/>
                <w:bCs/>
                <w:color w:val="auto"/>
                <w:sz w:val="24"/>
                <w:u w:val="none"/>
                <w:lang w:eastAsia="zh-CN"/>
              </w:rPr>
              <w:t>”</w:t>
            </w:r>
            <w:r>
              <w:rPr>
                <w:rFonts w:ascii="Times New Roman" w:hAnsi="Times New Roman"/>
                <w:b w:val="0"/>
                <w:bCs/>
                <w:color w:val="auto"/>
                <w:sz w:val="24"/>
                <w:u w:val="none"/>
              </w:rPr>
              <w:t>，</w:t>
            </w:r>
            <w:r>
              <w:rPr>
                <w:rFonts w:hint="eastAsia" w:ascii="Times New Roman" w:hAnsi="Times New Roman"/>
                <w:b w:val="0"/>
                <w:bCs/>
                <w:color w:val="auto"/>
                <w:sz w:val="24"/>
                <w:u w:val="none"/>
                <w:lang w:eastAsia="zh-CN"/>
              </w:rPr>
              <w:t>豁免环节为全部环节</w:t>
            </w:r>
            <w:r>
              <w:rPr>
                <w:rFonts w:hint="eastAsia" w:ascii="Times New Roman" w:hAnsi="Times New Roman" w:eastAsia="宋体" w:cs="Times New Roman"/>
                <w:b w:val="0"/>
                <w:bCs/>
                <w:color w:val="auto"/>
                <w:sz w:val="24"/>
                <w:u w:val="none"/>
                <w:lang w:val="en-US" w:eastAsia="zh-CN"/>
              </w:rPr>
              <w:t>。</w:t>
            </w:r>
            <w:r>
              <w:rPr>
                <w:rFonts w:hint="eastAsia"/>
                <w:b w:val="0"/>
                <w:bCs/>
                <w:color w:val="auto"/>
                <w:sz w:val="24"/>
                <w:u w:val="none"/>
                <w:lang w:val="en-US" w:eastAsia="zh-CN"/>
              </w:rPr>
              <w:t>项目一年</w:t>
            </w:r>
            <w:r>
              <w:rPr>
                <w:rFonts w:hint="default" w:ascii="Times New Roman" w:hAnsi="Times New Roman" w:cs="Times New Roman"/>
                <w:b w:val="0"/>
                <w:bCs/>
                <w:color w:val="auto"/>
                <w:sz w:val="24"/>
                <w:u w:val="none"/>
                <w:lang w:val="en-US" w:eastAsia="zh-CN"/>
              </w:rPr>
              <w:t>约使用</w:t>
            </w:r>
            <w:r>
              <w:rPr>
                <w:rFonts w:hint="eastAsia" w:cs="Times New Roman"/>
                <w:b w:val="0"/>
                <w:bCs/>
                <w:color w:val="auto"/>
                <w:sz w:val="24"/>
                <w:u w:val="none"/>
                <w:lang w:val="en-US" w:eastAsia="zh-CN"/>
              </w:rPr>
              <w:t>100</w:t>
            </w:r>
            <w:r>
              <w:rPr>
                <w:rFonts w:hint="default" w:ascii="Times New Roman" w:hAnsi="Times New Roman" w:cs="Times New Roman"/>
                <w:b w:val="0"/>
                <w:bCs/>
                <w:color w:val="auto"/>
                <w:sz w:val="24"/>
                <w:u w:val="none"/>
                <w:lang w:val="en-US" w:eastAsia="zh-CN"/>
              </w:rPr>
              <w:t>kg</w:t>
            </w:r>
            <w:r>
              <w:rPr>
                <w:rFonts w:hint="eastAsia" w:cs="Times New Roman"/>
                <w:b w:val="0"/>
                <w:bCs/>
                <w:color w:val="auto"/>
                <w:sz w:val="24"/>
                <w:u w:val="none"/>
                <w:lang w:val="en-US" w:eastAsia="zh-CN"/>
              </w:rPr>
              <w:t>润滑油</w:t>
            </w:r>
            <w:r>
              <w:rPr>
                <w:rFonts w:hint="default" w:ascii="Times New Roman" w:hAnsi="Times New Roman" w:cs="Times New Roman"/>
                <w:b w:val="0"/>
                <w:bCs/>
                <w:color w:val="auto"/>
                <w:sz w:val="24"/>
                <w:u w:val="none"/>
                <w:lang w:val="en-US" w:eastAsia="zh-CN"/>
              </w:rPr>
              <w:t>，废</w:t>
            </w:r>
            <w:r>
              <w:rPr>
                <w:rFonts w:hint="eastAsia" w:cs="Times New Roman"/>
                <w:b w:val="0"/>
                <w:bCs/>
                <w:color w:val="auto"/>
                <w:sz w:val="24"/>
                <w:u w:val="none"/>
                <w:lang w:val="en-US" w:eastAsia="zh-CN"/>
              </w:rPr>
              <w:t>润滑油</w:t>
            </w:r>
            <w:r>
              <w:rPr>
                <w:rFonts w:hint="default" w:ascii="Times New Roman" w:hAnsi="Times New Roman" w:cs="Times New Roman"/>
                <w:b w:val="0"/>
                <w:bCs/>
                <w:color w:val="auto"/>
                <w:sz w:val="24"/>
                <w:u w:val="none"/>
                <w:lang w:val="en-US" w:eastAsia="zh-CN"/>
              </w:rPr>
              <w:t>年产生量按使用量10%计算，则废</w:t>
            </w:r>
            <w:r>
              <w:rPr>
                <w:rFonts w:hint="eastAsia" w:cs="Times New Roman"/>
                <w:b w:val="0"/>
                <w:bCs/>
                <w:color w:val="auto"/>
                <w:sz w:val="24"/>
                <w:u w:val="none"/>
                <w:lang w:val="en-US" w:eastAsia="zh-CN"/>
              </w:rPr>
              <w:t>润滑油</w:t>
            </w:r>
            <w:r>
              <w:rPr>
                <w:rFonts w:hint="default" w:ascii="Times New Roman" w:hAnsi="Times New Roman" w:cs="Times New Roman"/>
                <w:b w:val="0"/>
                <w:bCs/>
                <w:color w:val="auto"/>
                <w:sz w:val="24"/>
                <w:u w:val="none"/>
                <w:lang w:val="en-US" w:eastAsia="zh-CN"/>
              </w:rPr>
              <w:t>产生量为</w:t>
            </w:r>
            <w:r>
              <w:rPr>
                <w:rFonts w:hint="eastAsia" w:cs="Times New Roman"/>
                <w:b w:val="0"/>
                <w:bCs/>
                <w:color w:val="auto"/>
                <w:sz w:val="24"/>
                <w:u w:val="none"/>
                <w:lang w:val="en-US" w:eastAsia="zh-CN"/>
              </w:rPr>
              <w:t>10</w:t>
            </w:r>
            <w:r>
              <w:rPr>
                <w:rFonts w:hint="default" w:ascii="Times New Roman" w:hAnsi="Times New Roman" w:cs="Times New Roman"/>
                <w:b w:val="0"/>
                <w:bCs/>
                <w:color w:val="auto"/>
                <w:sz w:val="24"/>
                <w:u w:val="none"/>
                <w:lang w:val="en-US" w:eastAsia="zh-CN"/>
              </w:rPr>
              <w:t>kg/a。</w:t>
            </w:r>
            <w:r>
              <w:rPr>
                <w:rFonts w:ascii="Times New Roman" w:hAnsi="Times New Roman"/>
                <w:b w:val="0"/>
                <w:bCs/>
                <w:color w:val="auto"/>
                <w:sz w:val="24"/>
                <w:u w:val="none"/>
              </w:rPr>
              <w:t>类比同类</w:t>
            </w:r>
            <w:r>
              <w:rPr>
                <w:rFonts w:hint="eastAsia" w:ascii="Times New Roman" w:hAnsi="Times New Roman"/>
                <w:b w:val="0"/>
                <w:bCs/>
                <w:color w:val="auto"/>
                <w:sz w:val="24"/>
                <w:u w:val="none"/>
                <w:lang w:eastAsia="zh-CN"/>
              </w:rPr>
              <w:t>项目</w:t>
            </w:r>
            <w:r>
              <w:rPr>
                <w:rFonts w:ascii="Times New Roman" w:hAnsi="Times New Roman"/>
                <w:b w:val="0"/>
                <w:bCs/>
                <w:color w:val="auto"/>
                <w:sz w:val="24"/>
                <w:u w:val="none"/>
              </w:rPr>
              <w:t>，含油废抹布年产生量约为0.0</w:t>
            </w:r>
            <w:r>
              <w:rPr>
                <w:rFonts w:hint="eastAsia"/>
                <w:b w:val="0"/>
                <w:bCs/>
                <w:color w:val="auto"/>
                <w:sz w:val="24"/>
                <w:u w:val="none"/>
                <w:lang w:val="en-US" w:eastAsia="zh-CN"/>
              </w:rPr>
              <w:t>5</w:t>
            </w:r>
            <w:r>
              <w:rPr>
                <w:rFonts w:ascii="Times New Roman" w:hAnsi="Times New Roman"/>
                <w:b w:val="0"/>
                <w:bCs/>
                <w:color w:val="auto"/>
                <w:sz w:val="24"/>
                <w:u w:val="none"/>
              </w:rPr>
              <w:t>t/a，可混入生活垃圾中，集中收集后，运至垃圾中转站集中处理。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jc w:val="both"/>
              <w:textAlignment w:val="auto"/>
              <w:rPr>
                <w:color w:val="auto"/>
                <w:sz w:val="24"/>
              </w:rPr>
            </w:pPr>
            <w:r>
              <w:rPr>
                <w:rFonts w:hint="default" w:ascii="Times New Roman" w:hAnsi="Times New Roman" w:eastAsia="宋体" w:cs="Times New Roman"/>
                <w:color w:val="auto"/>
                <w:sz w:val="24"/>
                <w:lang w:val="en-US" w:eastAsia="zh-CN"/>
              </w:rPr>
              <w:t>厂区统一</w:t>
            </w:r>
            <w:r>
              <w:rPr>
                <w:rFonts w:hint="default" w:ascii="Times New Roman" w:hAnsi="Times New Roman" w:cs="Times New Roman"/>
                <w:color w:val="auto"/>
                <w:sz w:val="24"/>
                <w:lang w:val="en-US" w:eastAsia="zh-CN"/>
              </w:rPr>
              <w:t>用专用容器</w:t>
            </w:r>
            <w:r>
              <w:rPr>
                <w:rFonts w:hint="default" w:ascii="Times New Roman" w:hAnsi="Times New Roman" w:eastAsia="宋体" w:cs="Times New Roman"/>
                <w:color w:val="auto"/>
                <w:sz w:val="24"/>
                <w:lang w:val="en-US" w:eastAsia="zh-CN"/>
              </w:rPr>
              <w:t>收集至危废暂存间（</w:t>
            </w:r>
            <w:r>
              <w:rPr>
                <w:rFonts w:hint="default" w:ascii="Times New Roman" w:hAnsi="Times New Roman" w:cs="Times New Roman"/>
                <w:color w:val="auto"/>
                <w:sz w:val="24"/>
                <w:lang w:val="en-US" w:eastAsia="zh-CN"/>
              </w:rPr>
              <w:t>建筑面积</w:t>
            </w:r>
            <w:r>
              <w:rPr>
                <w:rFonts w:hint="default" w:ascii="Times New Roman" w:hAnsi="Times New Roman" w:eastAsia="宋体" w:cs="Times New Roman"/>
                <w:color w:val="auto"/>
                <w:sz w:val="24"/>
                <w:lang w:val="en-US" w:eastAsia="zh-CN"/>
              </w:rPr>
              <w:t>不小于</w:t>
            </w:r>
            <w:r>
              <w:rPr>
                <w:rFonts w:hint="eastAsia" w:ascii="Times New Roman" w:hAnsi="Times New Roman" w:eastAsia="宋体" w:cs="Times New Roman"/>
                <w:color w:val="auto"/>
                <w:sz w:val="24"/>
                <w:lang w:val="en-US" w:eastAsia="zh-CN"/>
              </w:rPr>
              <w:t>5m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）暂存，</w:t>
            </w:r>
            <w:r>
              <w:rPr>
                <w:rFonts w:hint="eastAsia" w:ascii="Times New Roman" w:hAnsi="Times New Roman" w:eastAsia="宋体" w:cs="Times New Roman"/>
                <w:color w:val="auto"/>
                <w:sz w:val="24"/>
                <w:szCs w:val="24"/>
                <w:lang w:val="en-US" w:eastAsia="zh-CN"/>
              </w:rPr>
              <w:t>该危废</w:t>
            </w:r>
            <w:r>
              <w:rPr>
                <w:rFonts w:hint="eastAsia"/>
                <w:color w:val="auto"/>
                <w:sz w:val="24"/>
                <w:szCs w:val="24"/>
              </w:rPr>
              <w:t>由具有危废处理资质的单位进行定期回收统一处理</w:t>
            </w:r>
            <w:r>
              <w:rPr>
                <w:rFonts w:hint="eastAsia" w:ascii="Times New Roman" w:hAnsi="Times New Roman" w:eastAsia="宋体" w:cs="Times New Roman"/>
                <w:color w:val="auto"/>
                <w:sz w:val="24"/>
                <w:lang w:val="en-US" w:eastAsia="zh-CN"/>
              </w:rPr>
              <w:t>，对周围环境影响较小</w:t>
            </w:r>
            <w:r>
              <w:rPr>
                <w:rFonts w:hint="eastAsia" w:cs="Times New Roman"/>
                <w:color w:val="auto"/>
                <w:sz w:val="24"/>
                <w:lang w:val="en-US" w:eastAsia="zh-CN"/>
              </w:rPr>
              <w:t>。</w:t>
            </w:r>
          </w:p>
          <w:p>
            <w:pPr>
              <w:pStyle w:val="4"/>
              <w:keepNext w:val="0"/>
              <w:keepLines w:val="0"/>
              <w:pageBreakBefore w:val="0"/>
              <w:widowControl/>
              <w:suppressLineNumbers w:val="0"/>
              <w:shd w:val="clear" w:color="auto" w:fill="FFFFFF"/>
              <w:kinsoku/>
              <w:wordWrap/>
              <w:overflowPunct/>
              <w:topLinePunct w:val="0"/>
              <w:autoSpaceDE/>
              <w:autoSpaceDN/>
              <w:bidi w:val="0"/>
              <w:adjustRightInd w:val="0"/>
              <w:snapToGrid w:val="0"/>
              <w:spacing w:before="0" w:beforeLines="0" w:after="0" w:afterLines="0" w:afterAutospacing="0" w:line="360" w:lineRule="auto"/>
              <w:ind w:left="0" w:firstLine="480" w:firstLineChars="200"/>
              <w:jc w:val="both"/>
              <w:textAlignment w:val="auto"/>
              <w:rPr>
                <w:rFonts w:hint="default" w:ascii="Times New Roman" w:hAnsi="Times New Roman" w:eastAsia="宋体" w:cs="Times New Roman"/>
                <w:b w:val="0"/>
                <w:bCs w:val="0"/>
                <w:color w:val="auto"/>
                <w:sz w:val="24"/>
                <w:u w:val="none"/>
              </w:rPr>
            </w:pPr>
            <w:r>
              <w:rPr>
                <w:rFonts w:hint="default" w:ascii="Times New Roman" w:hAnsi="Times New Roman" w:eastAsia="宋体" w:cs="Times New Roman"/>
                <w:b w:val="0"/>
                <w:bCs/>
                <w:color w:val="auto"/>
                <w:sz w:val="24"/>
              </w:rPr>
              <w:t>危废暂存措施及要求：项目产生的危险废物在未处理前</w:t>
            </w:r>
            <w:r>
              <w:rPr>
                <w:rFonts w:hint="default" w:ascii="Times New Roman" w:hAnsi="Times New Roman" w:eastAsia="宋体" w:cs="Times New Roman"/>
                <w:b w:val="0"/>
                <w:bCs/>
                <w:color w:val="auto"/>
                <w:sz w:val="24"/>
                <w:lang w:eastAsia="zh-CN"/>
              </w:rPr>
              <w:t>用专用容器收集后</w:t>
            </w:r>
            <w:r>
              <w:rPr>
                <w:rFonts w:hint="default" w:ascii="Times New Roman" w:hAnsi="Times New Roman" w:eastAsia="宋体" w:cs="Times New Roman"/>
                <w:b w:val="0"/>
                <w:bCs/>
                <w:color w:val="auto"/>
                <w:sz w:val="24"/>
              </w:rPr>
              <w:t>均临时存储于厂区内，设置危废暂存间（</w:t>
            </w:r>
            <w:r>
              <w:rPr>
                <w:rFonts w:hint="default" w:ascii="Times New Roman" w:hAnsi="Times New Roman" w:eastAsia="宋体" w:cs="Times New Roman"/>
                <w:b w:val="0"/>
                <w:bCs/>
                <w:color w:val="auto"/>
                <w:sz w:val="24"/>
                <w:lang w:eastAsia="zh-CN"/>
              </w:rPr>
              <w:t>建筑</w:t>
            </w:r>
            <w:r>
              <w:rPr>
                <w:rFonts w:hint="default" w:ascii="Times New Roman" w:hAnsi="Times New Roman" w:eastAsia="宋体" w:cs="Times New Roman"/>
                <w:b w:val="0"/>
                <w:bCs/>
                <w:color w:val="auto"/>
                <w:sz w:val="24"/>
              </w:rPr>
              <w:t>面积不小于</w:t>
            </w:r>
            <w:r>
              <w:rPr>
                <w:rFonts w:hint="eastAsia" w:ascii="Times New Roman" w:hAnsi="Times New Roman" w:eastAsia="宋体" w:cs="Times New Roman"/>
                <w:b w:val="0"/>
                <w:bCs/>
                <w:color w:val="auto"/>
                <w:sz w:val="24"/>
                <w:lang w:val="en-US" w:eastAsia="zh-CN"/>
              </w:rPr>
              <w:t>5</w:t>
            </w:r>
            <w:r>
              <w:rPr>
                <w:rFonts w:hint="default" w:ascii="Times New Roman" w:hAnsi="Times New Roman" w:eastAsia="宋体" w:cs="Times New Roman"/>
                <w:b w:val="0"/>
                <w:bCs/>
                <w:color w:val="auto"/>
                <w:sz w:val="24"/>
              </w:rPr>
              <w:t>m</w:t>
            </w:r>
            <w:r>
              <w:rPr>
                <w:rFonts w:hint="default" w:ascii="Times New Roman" w:hAnsi="Times New Roman" w:eastAsia="宋体" w:cs="Times New Roman"/>
                <w:b w:val="0"/>
                <w:bCs/>
                <w:color w:val="auto"/>
                <w:sz w:val="24"/>
                <w:vertAlign w:val="superscript"/>
              </w:rPr>
              <w:t>2</w:t>
            </w:r>
            <w:r>
              <w:rPr>
                <w:rFonts w:hint="default" w:ascii="Times New Roman" w:hAnsi="Times New Roman" w:eastAsia="宋体" w:cs="Times New Roman"/>
                <w:b w:val="0"/>
                <w:bCs/>
                <w:color w:val="auto"/>
                <w:sz w:val="24"/>
              </w:rPr>
              <w:t>），将危废单独装入</w:t>
            </w:r>
            <w:r>
              <w:rPr>
                <w:rFonts w:hint="default" w:ascii="Times New Roman" w:hAnsi="Times New Roman" w:eastAsia="宋体" w:cs="Times New Roman"/>
                <w:b w:val="0"/>
                <w:bCs/>
                <w:color w:val="auto"/>
                <w:sz w:val="24"/>
                <w:lang w:eastAsia="zh-CN"/>
              </w:rPr>
              <w:t>专用</w:t>
            </w:r>
            <w:r>
              <w:rPr>
                <w:rFonts w:hint="default" w:ascii="Times New Roman" w:hAnsi="Times New Roman" w:eastAsia="宋体" w:cs="Times New Roman"/>
                <w:b w:val="0"/>
                <w:bCs/>
                <w:color w:val="auto"/>
                <w:sz w:val="24"/>
              </w:rPr>
              <w:t>容器内，并在容器上粘贴危险废物标签。危险废物贮存设施都必须按</w:t>
            </w:r>
            <w:r>
              <w:rPr>
                <w:rFonts w:hint="eastAsia" w:ascii="Times New Roman" w:hAnsi="Times New Roman" w:cs="Times New Roman"/>
                <w:b w:val="0"/>
                <w:bCs/>
                <w:color w:val="auto"/>
                <w:sz w:val="24"/>
                <w:lang w:eastAsia="zh-CN"/>
              </w:rPr>
              <w:t>《环境保护图形标志固体废物贮存（处置）场》（</w:t>
            </w:r>
            <w:r>
              <w:rPr>
                <w:rFonts w:hint="default" w:ascii="Times New Roman" w:hAnsi="Times New Roman" w:eastAsia="宋体" w:cs="Times New Roman"/>
                <w:b w:val="0"/>
                <w:bCs/>
                <w:color w:val="auto"/>
                <w:sz w:val="24"/>
              </w:rPr>
              <w:t>GB15562.2</w:t>
            </w:r>
            <w:r>
              <w:rPr>
                <w:rFonts w:hint="default" w:ascii="Times New Roman" w:hAnsi="Times New Roman" w:eastAsia="宋体" w:cs="Times New Roman"/>
                <w:b w:val="0"/>
                <w:bCs/>
                <w:color w:val="auto"/>
                <w:sz w:val="24"/>
                <w:lang w:val="en-US" w:eastAsia="zh-CN"/>
              </w:rPr>
              <w:t>-1995</w:t>
            </w:r>
            <w:r>
              <w:rPr>
                <w:rFonts w:hint="eastAsia" w:ascii="Times New Roman" w:hAnsi="Times New Roman" w:cs="Times New Roman"/>
                <w:b w:val="0"/>
                <w:bCs/>
                <w:color w:val="auto"/>
                <w:sz w:val="24"/>
                <w:lang w:eastAsia="zh-CN"/>
              </w:rPr>
              <w:t>）</w:t>
            </w:r>
            <w:r>
              <w:rPr>
                <w:rFonts w:hint="default" w:ascii="Times New Roman" w:hAnsi="Times New Roman" w:eastAsia="宋体" w:cs="Times New Roman"/>
                <w:b w:val="0"/>
                <w:bCs/>
                <w:color w:val="auto"/>
                <w:sz w:val="24"/>
              </w:rPr>
              <w:t>的规定设置警示标志，周围应设置围墙或其它防护</w:t>
            </w:r>
            <w:r>
              <w:rPr>
                <w:rFonts w:hint="default" w:ascii="Times New Roman" w:hAnsi="Times New Roman" w:eastAsia="宋体" w:cs="Times New Roman"/>
                <w:b w:val="0"/>
                <w:bCs w:val="0"/>
                <w:color w:val="auto"/>
                <w:sz w:val="24"/>
                <w:u w:val="none"/>
              </w:rPr>
              <w:t>栅栏。贮存场所应设置配备通讯设备、照明设施、安全防护服装及工具，并设有应急防护设施。为防止其产生二次污染，应当使用符合标准的容器盛装危险废物，材质要符合要求，装载危险废物的容器必须完好无损。危废</w:t>
            </w:r>
            <w:r>
              <w:rPr>
                <w:rFonts w:hint="default" w:ascii="Times New Roman" w:hAnsi="Times New Roman" w:eastAsia="宋体" w:cs="Times New Roman"/>
                <w:b w:val="0"/>
                <w:bCs w:val="0"/>
                <w:color w:val="auto"/>
                <w:sz w:val="24"/>
                <w:u w:val="none"/>
                <w:lang w:eastAsia="zh-CN"/>
              </w:rPr>
              <w:t>暂存</w:t>
            </w:r>
            <w:r>
              <w:rPr>
                <w:rFonts w:hint="default" w:ascii="Times New Roman" w:hAnsi="Times New Roman" w:eastAsia="宋体" w:cs="Times New Roman"/>
                <w:b w:val="0"/>
                <w:bCs w:val="0"/>
                <w:color w:val="auto"/>
                <w:sz w:val="24"/>
                <w:u w:val="none"/>
              </w:rPr>
              <w:t>间的混凝土基础做防渗处理，防渗层采用2mm厚的防渗材料，保证渗透系数≤10</w:t>
            </w:r>
            <w:r>
              <w:rPr>
                <w:rFonts w:hint="default" w:ascii="Times New Roman" w:hAnsi="Times New Roman" w:eastAsia="宋体" w:cs="Times New Roman"/>
                <w:b w:val="0"/>
                <w:bCs w:val="0"/>
                <w:color w:val="auto"/>
                <w:sz w:val="24"/>
                <w:u w:val="none"/>
                <w:vertAlign w:val="superscript"/>
              </w:rPr>
              <w:t>-10</w:t>
            </w:r>
            <w:r>
              <w:rPr>
                <w:rFonts w:hint="default" w:ascii="Times New Roman" w:hAnsi="Times New Roman" w:eastAsia="宋体" w:cs="Times New Roman"/>
                <w:b w:val="0"/>
                <w:bCs w:val="0"/>
                <w:color w:val="auto"/>
                <w:sz w:val="24"/>
                <w:u w:val="none"/>
              </w:rPr>
              <w:t>cm/s，并采用环氧漆做防腐防渗处理</w:t>
            </w:r>
            <w:r>
              <w:rPr>
                <w:rFonts w:hint="default" w:ascii="Times New Roman" w:hAnsi="Times New Roman" w:eastAsia="宋体" w:cs="Times New Roman"/>
                <w:b w:val="0"/>
                <w:bCs w:val="0"/>
                <w:color w:val="auto"/>
                <w:sz w:val="24"/>
                <w:u w:val="none"/>
                <w:lang w:eastAsia="zh-CN"/>
              </w:rPr>
              <w:t>，</w:t>
            </w:r>
            <w:r>
              <w:rPr>
                <w:rFonts w:hint="default" w:ascii="Times New Roman" w:hAnsi="Times New Roman" w:eastAsia="宋体" w:cs="Times New Roman"/>
                <w:b w:val="0"/>
                <w:bCs w:val="0"/>
                <w:color w:val="auto"/>
                <w:sz w:val="24"/>
                <w:u w:val="none"/>
              </w:rPr>
              <w:t>建筑材料必须与各危险废物相容，基础必须防震、防渗。危险废</w:t>
            </w:r>
            <w:r>
              <w:rPr>
                <w:rFonts w:hint="default" w:ascii="Times New Roman" w:hAnsi="Times New Roman" w:eastAsia="宋体" w:cs="Times New Roman"/>
                <w:b w:val="0"/>
                <w:bCs w:val="0"/>
                <w:color w:val="auto"/>
                <w:sz w:val="24"/>
                <w:u w:val="none"/>
                <w:lang w:eastAsia="zh-CN"/>
              </w:rPr>
              <w:t>物</w:t>
            </w:r>
            <w:r>
              <w:rPr>
                <w:rFonts w:hint="default" w:ascii="Times New Roman" w:hAnsi="Times New Roman" w:eastAsia="宋体" w:cs="Times New Roman"/>
                <w:b w:val="0"/>
                <w:bCs w:val="0"/>
                <w:color w:val="auto"/>
                <w:sz w:val="24"/>
                <w:u w:val="none"/>
              </w:rPr>
              <w:t>临时废物贮存设施应符合《危险废物贮存污染控制标准》</w:t>
            </w:r>
            <w:r>
              <w:rPr>
                <w:rFonts w:hint="eastAsia" w:ascii="Times New Roman" w:hAnsi="Times New Roman" w:eastAsia="宋体" w:cs="Times New Roman"/>
                <w:b w:val="0"/>
                <w:bCs w:val="0"/>
                <w:color w:val="auto"/>
                <w:sz w:val="24"/>
                <w:u w:val="none"/>
                <w:lang w:eastAsia="zh-CN"/>
              </w:rPr>
              <w:t>（</w:t>
            </w:r>
            <w:r>
              <w:rPr>
                <w:rFonts w:hint="default" w:ascii="Times New Roman" w:hAnsi="Times New Roman" w:eastAsia="宋体" w:cs="Times New Roman"/>
                <w:b w:val="0"/>
                <w:bCs w:val="0"/>
                <w:color w:val="auto"/>
                <w:sz w:val="24"/>
                <w:u w:val="none"/>
              </w:rPr>
              <w:t>GB18597-2001</w:t>
            </w:r>
            <w:r>
              <w:rPr>
                <w:rFonts w:hint="eastAsia" w:ascii="Times New Roman" w:hAnsi="Times New Roman" w:eastAsia="宋体" w:cs="Times New Roman"/>
                <w:b w:val="0"/>
                <w:bCs w:val="0"/>
                <w:color w:val="auto"/>
                <w:sz w:val="24"/>
                <w:u w:val="none"/>
                <w:lang w:eastAsia="zh-CN"/>
              </w:rPr>
              <w:t>）</w:t>
            </w:r>
            <w:r>
              <w:rPr>
                <w:rFonts w:hint="default" w:ascii="Times New Roman" w:hAnsi="Times New Roman" w:eastAsia="宋体" w:cs="Times New Roman"/>
                <w:b w:val="0"/>
                <w:bCs w:val="0"/>
                <w:color w:val="auto"/>
                <w:sz w:val="24"/>
                <w:u w:val="none"/>
              </w:rPr>
              <w:t>（2013年修订）相关要求。危险废</w:t>
            </w:r>
            <w:r>
              <w:rPr>
                <w:rFonts w:hint="default" w:ascii="Times New Roman" w:hAnsi="Times New Roman" w:eastAsia="宋体" w:cs="Times New Roman"/>
                <w:b w:val="0"/>
                <w:bCs w:val="0"/>
                <w:color w:val="auto"/>
                <w:sz w:val="24"/>
                <w:u w:val="none"/>
                <w:lang w:eastAsia="zh-CN"/>
              </w:rPr>
              <w:t>物</w:t>
            </w:r>
            <w:r>
              <w:rPr>
                <w:rFonts w:hint="default" w:ascii="Times New Roman" w:hAnsi="Times New Roman" w:eastAsia="宋体" w:cs="Times New Roman"/>
                <w:b w:val="0"/>
                <w:bCs w:val="0"/>
                <w:color w:val="auto"/>
                <w:sz w:val="24"/>
                <w:u w:val="none"/>
              </w:rPr>
              <w:t>严禁直接丢弃，必须交由有危险废物处置资质的单位进行回收处理。</w:t>
            </w:r>
          </w:p>
          <w:p>
            <w:pPr>
              <w:adjustRightInd w:val="0"/>
              <w:snapToGrid w:val="0"/>
              <w:spacing w:line="360" w:lineRule="auto"/>
              <w:ind w:firstLine="482"/>
              <w:rPr>
                <w:bCs/>
                <w:color w:val="auto"/>
                <w:sz w:val="24"/>
              </w:rPr>
            </w:pPr>
            <w:r>
              <w:rPr>
                <w:rFonts w:hint="eastAsia" w:cs="Times New Roman"/>
                <w:b w:val="0"/>
                <w:bCs w:val="0"/>
                <w:color w:val="auto"/>
                <w:sz w:val="24"/>
                <w:u w:val="none"/>
                <w:lang w:val="en-US" w:eastAsia="zh-CN"/>
              </w:rPr>
              <w:drawing>
                <wp:anchor distT="0" distB="0" distL="114300" distR="114300" simplePos="0" relativeHeight="251748352" behindDoc="0" locked="0" layoutInCell="1" allowOverlap="1">
                  <wp:simplePos x="0" y="0"/>
                  <wp:positionH relativeFrom="column">
                    <wp:posOffset>800735</wp:posOffset>
                  </wp:positionH>
                  <wp:positionV relativeFrom="paragraph">
                    <wp:posOffset>332740</wp:posOffset>
                  </wp:positionV>
                  <wp:extent cx="3901440" cy="2870200"/>
                  <wp:effectExtent l="0" t="0" r="0" b="10160"/>
                  <wp:wrapSquare wrapText="bothSides"/>
                  <wp:docPr id="26" name="图片 2" descr="3ddf323e49733ee70ce0a7e35830d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3ddf323e49733ee70ce0a7e35830da78"/>
                          <pic:cNvPicPr>
                            <a:picLocks noChangeAspect="1"/>
                          </pic:cNvPicPr>
                        </pic:nvPicPr>
                        <pic:blipFill>
                          <a:blip r:embed="rId12"/>
                          <a:srcRect b="2324"/>
                          <a:stretch>
                            <a:fillRect/>
                          </a:stretch>
                        </pic:blipFill>
                        <pic:spPr>
                          <a:xfrm>
                            <a:off x="0" y="0"/>
                            <a:ext cx="3901440" cy="2870200"/>
                          </a:xfrm>
                          <a:prstGeom prst="rect">
                            <a:avLst/>
                          </a:prstGeom>
                          <a:noFill/>
                          <a:ln>
                            <a:noFill/>
                          </a:ln>
                        </pic:spPr>
                      </pic:pic>
                    </a:graphicData>
                  </a:graphic>
                </wp:anchor>
              </w:drawing>
            </w:r>
            <w:r>
              <w:rPr>
                <w:rFonts w:hint="eastAsia" w:cs="Times New Roman"/>
                <w:b w:val="0"/>
                <w:bCs w:val="0"/>
                <w:color w:val="auto"/>
                <w:sz w:val="24"/>
                <w:u w:val="none"/>
                <w:lang w:eastAsia="zh-CN"/>
              </w:rPr>
              <w:t>危险废物贮存间门口需张贴标准规范的危险废物标识和危废信息板，如下图：</w:t>
            </w:r>
          </w:p>
          <w:p>
            <w:pPr>
              <w:adjustRightInd w:val="0"/>
              <w:snapToGrid w:val="0"/>
              <w:spacing w:line="360" w:lineRule="auto"/>
              <w:ind w:firstLine="480" w:firstLineChars="200"/>
              <w:rPr>
                <w:bCs/>
                <w:color w:val="auto"/>
                <w:sz w:val="24"/>
              </w:rPr>
            </w:pPr>
          </w:p>
          <w:p>
            <w:pPr>
              <w:pStyle w:val="3"/>
              <w:rPr>
                <w:bCs/>
                <w:color w:val="auto"/>
                <w:sz w:val="24"/>
              </w:rPr>
            </w:pPr>
          </w:p>
          <w:p>
            <w:pPr>
              <w:rPr>
                <w:bCs/>
                <w:color w:val="auto"/>
                <w:sz w:val="24"/>
              </w:rPr>
            </w:pPr>
          </w:p>
          <w:p>
            <w:pPr>
              <w:pStyle w:val="3"/>
              <w:rPr>
                <w:bCs/>
                <w:color w:val="auto"/>
                <w:sz w:val="24"/>
              </w:rPr>
            </w:pPr>
          </w:p>
          <w:p>
            <w:pPr>
              <w:rPr>
                <w:bCs/>
                <w:color w:val="auto"/>
                <w:sz w:val="24"/>
              </w:rPr>
            </w:pPr>
          </w:p>
          <w:p>
            <w:pPr>
              <w:pStyle w:val="3"/>
              <w:keepNext/>
              <w:keepLines/>
              <w:pageBreakBefore w:val="0"/>
              <w:widowControl w:val="0"/>
              <w:kinsoku/>
              <w:wordWrap/>
              <w:overflowPunct/>
              <w:topLinePunct w:val="0"/>
              <w:autoSpaceDE/>
              <w:autoSpaceDN/>
              <w:bidi w:val="0"/>
              <w:adjustRightInd w:val="0"/>
              <w:snapToGrid w:val="0"/>
              <w:spacing w:before="0" w:after="0" w:line="360" w:lineRule="auto"/>
              <w:textAlignment w:val="auto"/>
              <w:outlineLvl w:val="0"/>
              <w:rPr>
                <w:color w:val="auto"/>
                <w:sz w:val="24"/>
                <w:szCs w:val="24"/>
              </w:rPr>
            </w:pPr>
          </w:p>
          <w:p>
            <w:pPr>
              <w:rPr>
                <w:color w:val="auto"/>
              </w:rPr>
            </w:pPr>
          </w:p>
          <w:p>
            <w:pPr>
              <w:adjustRightInd w:val="0"/>
              <w:snapToGrid w:val="0"/>
              <w:spacing w:line="360" w:lineRule="auto"/>
              <w:ind w:firstLine="480" w:firstLineChars="200"/>
              <w:rPr>
                <w:bCs/>
                <w:color w:val="auto"/>
                <w:sz w:val="24"/>
              </w:rPr>
            </w:pPr>
            <w:r>
              <w:rPr>
                <w:bCs/>
                <w:color w:val="auto"/>
                <w:sz w:val="24"/>
              </w:rPr>
              <w:t>评价认为，建设项目固体废物全部妥善处置，能够避免固体废物排放对环境的二次污染，不会对当地的景观环境和生态环境产生不利影响。</w:t>
            </w:r>
          </w:p>
          <w:p>
            <w:pPr>
              <w:tabs>
                <w:tab w:val="left" w:pos="3255"/>
              </w:tabs>
              <w:adjustRightInd w:val="0"/>
              <w:snapToGrid w:val="0"/>
              <w:spacing w:line="360" w:lineRule="auto"/>
              <w:ind w:firstLine="482" w:firstLineChars="200"/>
              <w:rPr>
                <w:b/>
                <w:color w:val="auto"/>
                <w:sz w:val="24"/>
              </w:rPr>
            </w:pPr>
            <w:r>
              <w:rPr>
                <w:rFonts w:hint="eastAsia"/>
                <w:b/>
                <w:color w:val="auto"/>
                <w:sz w:val="24"/>
              </w:rPr>
              <w:t>（</w:t>
            </w:r>
            <w:r>
              <w:rPr>
                <w:rFonts w:hint="eastAsia"/>
                <w:b/>
                <w:color w:val="auto"/>
                <w:sz w:val="24"/>
                <w:lang w:eastAsia="zh-CN"/>
              </w:rPr>
              <w:t>四</w:t>
            </w:r>
            <w:r>
              <w:rPr>
                <w:rFonts w:hint="eastAsia"/>
                <w:b/>
                <w:color w:val="auto"/>
                <w:sz w:val="24"/>
              </w:rPr>
              <w:t>）生态环境影响分析</w:t>
            </w:r>
          </w:p>
          <w:p>
            <w:pPr>
              <w:tabs>
                <w:tab w:val="left" w:pos="3255"/>
              </w:tabs>
              <w:adjustRightInd w:val="0"/>
              <w:snapToGrid w:val="0"/>
              <w:spacing w:line="360" w:lineRule="auto"/>
              <w:ind w:firstLine="480" w:firstLineChars="200"/>
              <w:rPr>
                <w:rFonts w:hint="eastAsia"/>
                <w:color w:val="auto"/>
                <w:kern w:val="0"/>
                <w:sz w:val="24"/>
              </w:rPr>
            </w:pPr>
            <w:r>
              <w:rPr>
                <w:color w:val="auto"/>
                <w:kern w:val="0"/>
                <w:sz w:val="24"/>
              </w:rPr>
              <w:t>据现场勘查，</w:t>
            </w:r>
            <w:r>
              <w:rPr>
                <w:rFonts w:hint="eastAsia"/>
                <w:color w:val="auto"/>
                <w:kern w:val="0"/>
                <w:sz w:val="24"/>
              </w:rPr>
              <w:t>项目</w:t>
            </w:r>
            <w:r>
              <w:rPr>
                <w:rFonts w:hint="eastAsia"/>
                <w:color w:val="auto"/>
                <w:kern w:val="0"/>
                <w:sz w:val="24"/>
                <w:lang w:val="en-US" w:eastAsia="zh-CN"/>
              </w:rPr>
              <w:t>租赁现有厂房</w:t>
            </w:r>
            <w:r>
              <w:rPr>
                <w:rFonts w:hint="eastAsia"/>
                <w:color w:val="auto"/>
                <w:kern w:val="0"/>
                <w:sz w:val="24"/>
              </w:rPr>
              <w:t>，施工期对周围生态环境的影响已结束，评价建议项目建成后加强厂区绿化，不仅美化环境，同时起到降低噪声的作用。</w:t>
            </w:r>
          </w:p>
          <w:p>
            <w:pPr>
              <w:pStyle w:val="5"/>
              <w:adjustRightInd w:val="0"/>
              <w:snapToGrid w:val="0"/>
              <w:spacing w:line="360" w:lineRule="auto"/>
              <w:ind w:firstLine="482" w:firstLineChars="200"/>
              <w:rPr>
                <w:rFonts w:hint="eastAsia" w:hAnsi="宋体"/>
                <w:b/>
                <w:color w:val="auto"/>
                <w:sz w:val="24"/>
              </w:rPr>
            </w:pPr>
            <w:r>
              <w:rPr>
                <w:rFonts w:hint="eastAsia" w:hAnsi="宋体"/>
                <w:b/>
                <w:color w:val="auto"/>
                <w:sz w:val="24"/>
              </w:rPr>
              <w:t>（</w:t>
            </w:r>
            <w:r>
              <w:rPr>
                <w:rFonts w:hint="eastAsia" w:hAnsi="宋体"/>
                <w:b/>
                <w:color w:val="auto"/>
                <w:sz w:val="24"/>
                <w:lang w:eastAsia="zh-CN"/>
              </w:rPr>
              <w:t>五</w:t>
            </w:r>
            <w:r>
              <w:rPr>
                <w:rFonts w:hint="eastAsia" w:hAnsi="宋体"/>
                <w:b/>
                <w:color w:val="auto"/>
                <w:sz w:val="24"/>
              </w:rPr>
              <w:t>）选址可行性分析</w:t>
            </w:r>
          </w:p>
          <w:p>
            <w:pPr>
              <w:autoSpaceDE w:val="0"/>
              <w:autoSpaceDN w:val="0"/>
              <w:adjustRightInd w:val="0"/>
              <w:snapToGrid w:val="0"/>
              <w:spacing w:line="360" w:lineRule="auto"/>
              <w:ind w:firstLine="480" w:firstLineChars="200"/>
              <w:rPr>
                <w:rFonts w:hint="eastAsia" w:hAnsi="宋体"/>
                <w:color w:val="auto"/>
                <w:sz w:val="24"/>
                <w:lang w:eastAsia="zh-CN"/>
              </w:rPr>
            </w:pPr>
            <w:r>
              <w:rPr>
                <w:rFonts w:hAnsi="宋体"/>
                <w:color w:val="auto"/>
                <w:sz w:val="24"/>
              </w:rPr>
              <w:t>本项目位于</w:t>
            </w:r>
            <w:r>
              <w:rPr>
                <w:rFonts w:hint="eastAsia"/>
                <w:color w:val="auto"/>
                <w:sz w:val="24"/>
                <w:lang w:eastAsia="zh-CN"/>
              </w:rPr>
              <w:t>新乡市新乡县合河乡新王线东北永康路口南100米</w:t>
            </w:r>
            <w:r>
              <w:rPr>
                <w:rFonts w:hAnsi="宋体"/>
                <w:color w:val="auto"/>
                <w:sz w:val="24"/>
              </w:rPr>
              <w:t>，</w:t>
            </w:r>
            <w:r>
              <w:rPr>
                <w:rFonts w:hint="eastAsia"/>
                <w:color w:val="auto"/>
                <w:sz w:val="24"/>
              </w:rPr>
              <w:t>经现场勘查，本建设项目周围无学校、医院、文物保护、风景名胜等环境敏感目标。</w:t>
            </w:r>
            <w:r>
              <w:rPr>
                <w:rFonts w:hint="default" w:ascii="Times New Roman" w:hAnsi="Times New Roman" w:eastAsia="宋体" w:cs="Times New Roman"/>
                <w:b w:val="0"/>
                <w:bCs/>
                <w:color w:val="auto"/>
                <w:sz w:val="24"/>
                <w:szCs w:val="24"/>
                <w:lang w:val="en-US" w:eastAsia="zh-CN"/>
              </w:rPr>
              <w:t>根据《合河乡土地利用总体规划（2010-2020年）》和《新乡县土地利用总体规划（2010-2020年）》可知，本项目选址属于</w:t>
            </w:r>
            <w:r>
              <w:rPr>
                <w:rFonts w:hint="eastAsia" w:cs="Times New Roman"/>
                <w:b w:val="0"/>
                <w:bCs/>
                <w:color w:val="auto"/>
                <w:sz w:val="24"/>
                <w:szCs w:val="24"/>
                <w:lang w:val="en-US" w:eastAsia="zh-CN"/>
              </w:rPr>
              <w:t>建设</w:t>
            </w:r>
            <w:r>
              <w:rPr>
                <w:rFonts w:hint="default" w:ascii="Times New Roman" w:hAnsi="Times New Roman" w:eastAsia="宋体" w:cs="Times New Roman"/>
                <w:b w:val="0"/>
                <w:bCs/>
                <w:color w:val="auto"/>
                <w:sz w:val="24"/>
                <w:szCs w:val="24"/>
                <w:lang w:val="en-US" w:eastAsia="zh-CN"/>
              </w:rPr>
              <w:t>用地。</w:t>
            </w:r>
            <w:r>
              <w:rPr>
                <w:rFonts w:hint="eastAsia" w:hAnsi="宋体"/>
                <w:color w:val="auto"/>
                <w:sz w:val="24"/>
              </w:rPr>
              <w:t>项目所在地四周环境为：</w:t>
            </w:r>
            <w:r>
              <w:rPr>
                <w:rFonts w:hint="eastAsia" w:hAnsi="宋体"/>
                <w:color w:val="auto"/>
                <w:sz w:val="24"/>
                <w:lang w:eastAsia="zh-CN"/>
              </w:rPr>
              <w:t>项目</w:t>
            </w:r>
            <w:r>
              <w:rPr>
                <w:rFonts w:hint="eastAsia" w:hAnsi="宋体"/>
                <w:color w:val="auto"/>
                <w:sz w:val="24"/>
                <w:lang w:val="en-US" w:eastAsia="zh-CN"/>
              </w:rPr>
              <w:t>北侧紧邻制钉厂，约57m处为喜上喜有限公司，约388m处为东北永康村；东北侧约159m处为东北永康新型社区，约284m处为基督教堂，约815m处为石村；东侧约11m处为新振机械有限公司，约12m处为新乡县海晨机械有限公司，约491m处为合河三中；南侧紧邻新乡县玉强振动机械有限公司；西南</w:t>
            </w:r>
            <w:r>
              <w:rPr>
                <w:rFonts w:hint="eastAsia" w:hAnsi="宋体"/>
                <w:color w:val="auto"/>
                <w:sz w:val="24"/>
                <w:lang w:eastAsia="zh-CN"/>
              </w:rPr>
              <w:t>侧约</w:t>
            </w:r>
            <w:r>
              <w:rPr>
                <w:rFonts w:hint="eastAsia" w:hAnsi="宋体"/>
                <w:color w:val="auto"/>
                <w:sz w:val="24"/>
                <w:lang w:val="en-US" w:eastAsia="zh-CN"/>
              </w:rPr>
              <w:t>525m处为南永康村；西侧紧邻空厂房，</w:t>
            </w:r>
            <w:r>
              <w:rPr>
                <w:rFonts w:hint="eastAsia" w:hAnsi="宋体"/>
                <w:color w:val="auto"/>
                <w:sz w:val="24"/>
                <w:lang w:eastAsia="zh-CN"/>
              </w:rPr>
              <w:t>约</w:t>
            </w:r>
            <w:r>
              <w:rPr>
                <w:rFonts w:hint="eastAsia" w:hAnsi="宋体"/>
                <w:color w:val="auto"/>
                <w:sz w:val="24"/>
                <w:lang w:val="en-US" w:eastAsia="zh-CN"/>
              </w:rPr>
              <w:t>678m处为西永康村</w:t>
            </w:r>
            <w:r>
              <w:rPr>
                <w:rFonts w:hint="default" w:ascii="Times New Roman" w:hAnsi="Times New Roman" w:cs="Times New Roman"/>
                <w:color w:val="auto"/>
                <w:sz w:val="24"/>
                <w:lang w:eastAsia="zh-CN"/>
              </w:rPr>
              <w:t>。</w:t>
            </w:r>
          </w:p>
          <w:p>
            <w:pPr>
              <w:autoSpaceDE w:val="0"/>
              <w:autoSpaceDN w:val="0"/>
              <w:adjustRightInd w:val="0"/>
              <w:snapToGrid w:val="0"/>
              <w:spacing w:line="360" w:lineRule="auto"/>
              <w:ind w:firstLine="480" w:firstLineChars="200"/>
              <w:rPr>
                <w:rFonts w:hint="eastAsia"/>
                <w:bCs/>
                <w:color w:val="auto"/>
                <w:sz w:val="24"/>
              </w:rPr>
            </w:pPr>
            <w:r>
              <w:rPr>
                <w:rFonts w:hint="eastAsia"/>
                <w:bCs/>
                <w:color w:val="auto"/>
                <w:sz w:val="24"/>
              </w:rPr>
              <w:t>项目营运期间产生废水经</w:t>
            </w:r>
            <w:r>
              <w:rPr>
                <w:rFonts w:hint="eastAsia"/>
                <w:bCs/>
                <w:color w:val="auto"/>
                <w:sz w:val="24"/>
                <w:lang w:eastAsia="zh-CN"/>
              </w:rPr>
              <w:t>厂区</w:t>
            </w:r>
            <w:r>
              <w:rPr>
                <w:rFonts w:hint="eastAsia"/>
                <w:bCs/>
                <w:color w:val="auto"/>
                <w:sz w:val="24"/>
              </w:rPr>
              <w:t>化粪池处理后</w:t>
            </w:r>
            <w:r>
              <w:rPr>
                <w:rFonts w:hint="eastAsia"/>
                <w:bCs/>
                <w:color w:val="auto"/>
                <w:sz w:val="24"/>
                <w:lang w:eastAsia="zh-CN"/>
              </w:rPr>
              <w:t>定期清运，不外排</w:t>
            </w:r>
            <w:r>
              <w:rPr>
                <w:rFonts w:hint="eastAsia"/>
                <w:bCs/>
                <w:color w:val="auto"/>
                <w:sz w:val="24"/>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color w:val="auto"/>
                <w:sz w:val="24"/>
              </w:rPr>
            </w:pPr>
            <w:r>
              <w:rPr>
                <w:rFonts w:hint="eastAsia"/>
                <w:bCs/>
                <w:color w:val="auto"/>
                <w:sz w:val="24"/>
                <w:lang w:eastAsia="zh-CN"/>
              </w:rPr>
              <w:t>终上所述，</w:t>
            </w:r>
            <w:r>
              <w:rPr>
                <w:bCs/>
                <w:color w:val="auto"/>
                <w:sz w:val="24"/>
              </w:rPr>
              <w:t>项目营运期间产生的废水、噪声和固体废物等方面环境影响，在采用相应的污染防治措施后</w:t>
            </w:r>
            <w:r>
              <w:rPr>
                <w:rFonts w:hint="eastAsia"/>
                <w:color w:val="auto"/>
                <w:sz w:val="24"/>
              </w:rPr>
              <w:t>污染物均得到合理的处置</w:t>
            </w:r>
            <w:r>
              <w:rPr>
                <w:bCs/>
                <w:color w:val="auto"/>
                <w:sz w:val="24"/>
              </w:rPr>
              <w:t>，对周围环境及敏感点影响较小，</w:t>
            </w:r>
            <w:r>
              <w:rPr>
                <w:rFonts w:hint="eastAsia"/>
                <w:iCs/>
                <w:color w:val="auto"/>
                <w:sz w:val="24"/>
              </w:rPr>
              <w:t>故</w:t>
            </w:r>
            <w:r>
              <w:rPr>
                <w:rFonts w:hint="eastAsia"/>
                <w:color w:val="auto"/>
                <w:sz w:val="24"/>
              </w:rPr>
              <w:t>从环保角度出发，</w:t>
            </w:r>
            <w:r>
              <w:rPr>
                <w:color w:val="auto"/>
                <w:sz w:val="24"/>
              </w:rPr>
              <w:t>评价认为项目选址可行。</w:t>
            </w:r>
          </w:p>
          <w:p>
            <w:pPr>
              <w:adjustRightInd w:val="0"/>
              <w:snapToGrid w:val="0"/>
              <w:spacing w:line="360" w:lineRule="auto"/>
              <w:ind w:firstLine="482" w:firstLineChars="200"/>
              <w:rPr>
                <w:rFonts w:hAnsi="宋体"/>
                <w:b/>
                <w:snapToGrid w:val="0"/>
                <w:color w:val="auto"/>
                <w:sz w:val="24"/>
              </w:rPr>
            </w:pPr>
            <w:r>
              <w:rPr>
                <w:rFonts w:hint="eastAsia" w:hAnsi="宋体"/>
                <w:b/>
                <w:snapToGrid w:val="0"/>
                <w:color w:val="auto"/>
                <w:sz w:val="24"/>
              </w:rPr>
              <w:t>（</w:t>
            </w:r>
            <w:r>
              <w:rPr>
                <w:rFonts w:hint="eastAsia" w:hAnsi="宋体"/>
                <w:b/>
                <w:color w:val="auto"/>
                <w:sz w:val="24"/>
              </w:rPr>
              <w:t>六</w:t>
            </w:r>
            <w:r>
              <w:rPr>
                <w:rFonts w:hint="eastAsia" w:hAnsi="宋体"/>
                <w:b/>
                <w:snapToGrid w:val="0"/>
                <w:color w:val="auto"/>
                <w:sz w:val="24"/>
              </w:rPr>
              <w:t>）环保投资估算</w:t>
            </w:r>
          </w:p>
          <w:p>
            <w:pPr>
              <w:adjustRightInd w:val="0"/>
              <w:snapToGrid w:val="0"/>
              <w:spacing w:line="360" w:lineRule="auto"/>
              <w:ind w:firstLine="480"/>
              <w:rPr>
                <w:rFonts w:hint="default" w:ascii="Times New Roman" w:hAnsi="Times New Roman" w:cs="Times New Roman"/>
                <w:snapToGrid w:val="0"/>
                <w:color w:val="auto"/>
                <w:kern w:val="0"/>
                <w:sz w:val="24"/>
              </w:rPr>
            </w:pPr>
            <w:r>
              <w:rPr>
                <w:rFonts w:hint="eastAsia" w:hAnsi="宋体"/>
                <w:snapToGrid w:val="0"/>
                <w:color w:val="auto"/>
                <w:kern w:val="0"/>
                <w:sz w:val="24"/>
              </w:rPr>
              <w:t>本项目总投资</w:t>
            </w:r>
            <w:r>
              <w:rPr>
                <w:rFonts w:hint="default" w:ascii="Times New Roman" w:hAnsi="Times New Roman" w:cs="Times New Roman"/>
                <w:snapToGrid w:val="0"/>
                <w:color w:val="auto"/>
                <w:kern w:val="0"/>
                <w:sz w:val="24"/>
              </w:rPr>
              <w:t>为</w:t>
            </w:r>
            <w:r>
              <w:rPr>
                <w:rFonts w:hint="eastAsia" w:cs="Times New Roman"/>
                <w:snapToGrid w:val="0"/>
                <w:color w:val="auto"/>
                <w:kern w:val="0"/>
                <w:sz w:val="24"/>
                <w:lang w:val="en-US" w:eastAsia="zh-CN"/>
              </w:rPr>
              <w:t>100万元</w:t>
            </w:r>
            <w:r>
              <w:rPr>
                <w:rFonts w:hint="default" w:ascii="Times New Roman" w:hAnsi="Times New Roman" w:cs="Times New Roman"/>
                <w:snapToGrid w:val="0"/>
                <w:color w:val="auto"/>
                <w:kern w:val="0"/>
                <w:sz w:val="24"/>
              </w:rPr>
              <w:t>，其中环保投资为</w:t>
            </w:r>
            <w:r>
              <w:rPr>
                <w:rFonts w:hint="eastAsia" w:cs="Times New Roman"/>
                <w:snapToGrid w:val="0"/>
                <w:color w:val="auto"/>
                <w:kern w:val="0"/>
                <w:sz w:val="24"/>
                <w:lang w:val="en-US" w:eastAsia="zh-CN"/>
              </w:rPr>
              <w:t>8.55</w:t>
            </w:r>
            <w:r>
              <w:rPr>
                <w:rFonts w:hint="default" w:ascii="Times New Roman" w:hAnsi="Times New Roman" w:cs="Times New Roman"/>
                <w:snapToGrid w:val="0"/>
                <w:color w:val="auto"/>
                <w:kern w:val="0"/>
                <w:sz w:val="24"/>
              </w:rPr>
              <w:t>万元，占总投资的</w:t>
            </w:r>
            <w:r>
              <w:rPr>
                <w:rFonts w:hint="eastAsia" w:cs="Times New Roman"/>
                <w:snapToGrid w:val="0"/>
                <w:color w:val="auto"/>
                <w:kern w:val="0"/>
                <w:sz w:val="24"/>
                <w:lang w:val="en-US" w:eastAsia="zh-CN"/>
              </w:rPr>
              <w:t>8.55</w:t>
            </w:r>
            <w:r>
              <w:rPr>
                <w:rFonts w:hint="default" w:ascii="Times New Roman" w:hAnsi="Times New Roman" w:cs="Times New Roman"/>
                <w:snapToGrid w:val="0"/>
                <w:color w:val="auto"/>
                <w:kern w:val="0"/>
                <w:sz w:val="24"/>
              </w:rPr>
              <w:t>%。环保投资估算表见下表</w:t>
            </w:r>
            <w:r>
              <w:rPr>
                <w:rFonts w:hint="eastAsia" w:cs="Times New Roman"/>
                <w:snapToGrid w:val="0"/>
                <w:color w:val="auto"/>
                <w:kern w:val="0"/>
                <w:sz w:val="24"/>
                <w:lang w:val="en-US" w:eastAsia="zh-CN"/>
              </w:rPr>
              <w:t>24</w:t>
            </w:r>
            <w:r>
              <w:rPr>
                <w:rFonts w:hint="default" w:ascii="Times New Roman" w:hAnsi="Times New Roman" w:cs="Times New Roman"/>
                <w:snapToGrid w:val="0"/>
                <w:color w:val="auto"/>
                <w:kern w:val="0"/>
                <w:sz w:val="24"/>
              </w:rPr>
              <w:t>。</w:t>
            </w:r>
          </w:p>
          <w:p>
            <w:pPr>
              <w:adjustRightInd w:val="0"/>
              <w:snapToGrid w:val="0"/>
              <w:spacing w:line="240" w:lineRule="auto"/>
              <w:ind w:firstLine="1440" w:firstLineChars="600"/>
              <w:rPr>
                <w:bCs/>
                <w:snapToGrid w:val="0"/>
                <w:color w:val="auto"/>
                <w:kern w:val="0"/>
                <w:sz w:val="24"/>
              </w:rPr>
            </w:pPr>
            <w:r>
              <w:rPr>
                <w:rFonts w:hint="default" w:ascii="Times New Roman" w:hAnsi="Times New Roman" w:cs="Times New Roman"/>
                <w:bCs/>
                <w:snapToGrid w:val="0"/>
                <w:color w:val="auto"/>
                <w:kern w:val="0"/>
                <w:sz w:val="24"/>
              </w:rPr>
              <w:t>表</w:t>
            </w:r>
            <w:r>
              <w:rPr>
                <w:rFonts w:hint="eastAsia" w:cs="Times New Roman"/>
                <w:bCs/>
                <w:snapToGrid w:val="0"/>
                <w:color w:val="auto"/>
                <w:kern w:val="0"/>
                <w:sz w:val="24"/>
                <w:lang w:val="en-US" w:eastAsia="zh-CN"/>
              </w:rPr>
              <w:t>24</w:t>
            </w:r>
            <w:r>
              <w:rPr>
                <w:rFonts w:hint="default" w:ascii="Times New Roman" w:hAnsi="Times New Roman" w:cs="Times New Roman"/>
                <w:bCs/>
                <w:snapToGrid w:val="0"/>
                <w:color w:val="auto"/>
                <w:kern w:val="0"/>
                <w:sz w:val="24"/>
              </w:rPr>
              <w:t xml:space="preserve">           </w:t>
            </w:r>
            <w:r>
              <w:rPr>
                <w:bCs/>
                <w:snapToGrid w:val="0"/>
                <w:color w:val="auto"/>
                <w:kern w:val="0"/>
                <w:sz w:val="24"/>
              </w:rPr>
              <w:t>本项目环保投资估算一览表</w:t>
            </w:r>
          </w:p>
          <w:tbl>
            <w:tblPr>
              <w:tblStyle w:val="15"/>
              <w:tblW w:w="87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59"/>
              <w:gridCol w:w="1717"/>
              <w:gridCol w:w="4151"/>
              <w:gridCol w:w="15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651" w:type="dxa"/>
                  <w:noWrap w:val="0"/>
                  <w:vAlign w:val="center"/>
                </w:tcPr>
                <w:p>
                  <w:pPr>
                    <w:adjustRightInd w:val="0"/>
                    <w:snapToGrid w:val="0"/>
                    <w:spacing w:line="240" w:lineRule="auto"/>
                    <w:jc w:val="center"/>
                    <w:rPr>
                      <w:color w:val="auto"/>
                      <w:szCs w:val="21"/>
                    </w:rPr>
                  </w:pPr>
                  <w:r>
                    <w:rPr>
                      <w:color w:val="auto"/>
                      <w:szCs w:val="21"/>
                    </w:rPr>
                    <w:t>类别</w:t>
                  </w:r>
                </w:p>
              </w:tc>
              <w:tc>
                <w:tcPr>
                  <w:tcW w:w="2376" w:type="dxa"/>
                  <w:gridSpan w:val="2"/>
                  <w:noWrap w:val="0"/>
                  <w:vAlign w:val="center"/>
                </w:tcPr>
                <w:p>
                  <w:pPr>
                    <w:adjustRightInd w:val="0"/>
                    <w:snapToGrid w:val="0"/>
                    <w:spacing w:line="240" w:lineRule="auto"/>
                    <w:jc w:val="center"/>
                    <w:rPr>
                      <w:color w:val="auto"/>
                      <w:szCs w:val="21"/>
                    </w:rPr>
                  </w:pPr>
                  <w:r>
                    <w:rPr>
                      <w:color w:val="auto"/>
                      <w:szCs w:val="21"/>
                    </w:rPr>
                    <w:t>污染源</w:t>
                  </w:r>
                </w:p>
              </w:tc>
              <w:tc>
                <w:tcPr>
                  <w:tcW w:w="4151"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治理措施</w:t>
                  </w:r>
                </w:p>
              </w:tc>
              <w:tc>
                <w:tcPr>
                  <w:tcW w:w="1536"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651" w:type="dxa"/>
                  <w:noWrap w:val="0"/>
                  <w:vAlign w:val="center"/>
                </w:tcPr>
                <w:p>
                  <w:pPr>
                    <w:adjustRightInd w:val="0"/>
                    <w:snapToGrid w:val="0"/>
                    <w:spacing w:line="240" w:lineRule="auto"/>
                    <w:jc w:val="center"/>
                    <w:rPr>
                      <w:color w:val="auto"/>
                      <w:szCs w:val="21"/>
                    </w:rPr>
                  </w:pPr>
                  <w:r>
                    <w:rPr>
                      <w:color w:val="auto"/>
                      <w:kern w:val="0"/>
                      <w:szCs w:val="21"/>
                    </w:rPr>
                    <w:t>废水</w:t>
                  </w:r>
                </w:p>
              </w:tc>
              <w:tc>
                <w:tcPr>
                  <w:tcW w:w="2376" w:type="dxa"/>
                  <w:gridSpan w:val="2"/>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4151"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化粪池（有效容积不小于</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536" w:type="dxa"/>
                  <w:noWrap w:val="0"/>
                  <w:vAlign w:val="center"/>
                </w:tcPr>
                <w:p>
                  <w:pPr>
                    <w:adjustRightInd w:val="0"/>
                    <w:snapToGrid w:val="0"/>
                    <w:spacing w:line="240" w:lineRule="auto"/>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651" w:type="dxa"/>
                  <w:noWrap w:val="0"/>
                  <w:vAlign w:val="center"/>
                </w:tcPr>
                <w:p>
                  <w:pPr>
                    <w:adjustRightInd w:val="0"/>
                    <w:snapToGrid w:val="0"/>
                    <w:spacing w:line="240" w:lineRule="auto"/>
                    <w:jc w:val="center"/>
                    <w:rPr>
                      <w:color w:val="auto"/>
                      <w:kern w:val="0"/>
                      <w:szCs w:val="21"/>
                    </w:rPr>
                  </w:pPr>
                  <w:r>
                    <w:rPr>
                      <w:color w:val="auto"/>
                      <w:kern w:val="0"/>
                      <w:szCs w:val="21"/>
                    </w:rPr>
                    <w:t>噪声</w:t>
                  </w:r>
                </w:p>
              </w:tc>
              <w:tc>
                <w:tcPr>
                  <w:tcW w:w="2376" w:type="dxa"/>
                  <w:gridSpan w:val="2"/>
                  <w:noWrap w:val="0"/>
                  <w:vAlign w:val="center"/>
                </w:tcPr>
                <w:p>
                  <w:pPr>
                    <w:adjustRightInd w:val="0"/>
                    <w:snapToGrid w:val="0"/>
                    <w:spacing w:line="240" w:lineRule="auto"/>
                    <w:jc w:val="center"/>
                    <w:rPr>
                      <w:color w:val="auto"/>
                      <w:kern w:val="0"/>
                      <w:szCs w:val="21"/>
                    </w:rPr>
                  </w:pPr>
                  <w:r>
                    <w:rPr>
                      <w:color w:val="auto"/>
                      <w:szCs w:val="21"/>
                    </w:rPr>
                    <w:t>生产设备</w:t>
                  </w:r>
                </w:p>
              </w:tc>
              <w:tc>
                <w:tcPr>
                  <w:tcW w:w="4151"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减振基础、厂房隔音</w:t>
                  </w:r>
                </w:p>
              </w:tc>
              <w:tc>
                <w:tcPr>
                  <w:tcW w:w="1536" w:type="dxa"/>
                  <w:noWrap w:val="0"/>
                  <w:vAlign w:val="center"/>
                </w:tcPr>
                <w:p>
                  <w:pPr>
                    <w:adjustRightInd w:val="0"/>
                    <w:snapToGrid w:val="0"/>
                    <w:spacing w:line="240" w:lineRule="auto"/>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color w:val="auto"/>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0" w:hRule="atLeast"/>
                <w:jc w:val="center"/>
              </w:trPr>
              <w:tc>
                <w:tcPr>
                  <w:tcW w:w="651" w:type="dxa"/>
                  <w:vMerge w:val="restart"/>
                  <w:noWrap w:val="0"/>
                  <w:vAlign w:val="center"/>
                </w:tcPr>
                <w:p>
                  <w:pPr>
                    <w:adjustRightInd w:val="0"/>
                    <w:snapToGrid w:val="0"/>
                    <w:spacing w:line="240" w:lineRule="auto"/>
                    <w:jc w:val="center"/>
                    <w:rPr>
                      <w:color w:val="auto"/>
                      <w:kern w:val="0"/>
                      <w:szCs w:val="21"/>
                    </w:rPr>
                  </w:pPr>
                  <w:r>
                    <w:rPr>
                      <w:color w:val="auto"/>
                      <w:kern w:val="0"/>
                      <w:szCs w:val="21"/>
                    </w:rPr>
                    <w:t>固体废物</w:t>
                  </w:r>
                </w:p>
              </w:tc>
              <w:tc>
                <w:tcPr>
                  <w:tcW w:w="659" w:type="dxa"/>
                  <w:vMerge w:val="restart"/>
                  <w:noWrap w:val="0"/>
                  <w:vAlign w:val="center"/>
                </w:tcPr>
                <w:p>
                  <w:pPr>
                    <w:adjustRightInd w:val="0"/>
                    <w:snapToGrid w:val="0"/>
                    <w:spacing w:line="240" w:lineRule="auto"/>
                    <w:jc w:val="center"/>
                    <w:rPr>
                      <w:rFonts w:hint="eastAsia" w:eastAsia="宋体"/>
                      <w:color w:val="auto"/>
                      <w:kern w:val="0"/>
                      <w:szCs w:val="21"/>
                      <w:lang w:eastAsia="zh-CN"/>
                    </w:rPr>
                  </w:pPr>
                  <w:r>
                    <w:rPr>
                      <w:rFonts w:hint="eastAsia"/>
                      <w:color w:val="auto"/>
                      <w:kern w:val="0"/>
                      <w:szCs w:val="21"/>
                      <w:lang w:eastAsia="zh-CN"/>
                    </w:rPr>
                    <w:t>一般固废</w:t>
                  </w:r>
                </w:p>
              </w:tc>
              <w:tc>
                <w:tcPr>
                  <w:tcW w:w="1717" w:type="dxa"/>
                  <w:noWrap w:val="0"/>
                  <w:vAlign w:val="center"/>
                </w:tcPr>
                <w:p>
                  <w:pPr>
                    <w:pStyle w:val="20"/>
                    <w:adjustRightInd w:val="0"/>
                    <w:snapToGrid w:val="0"/>
                    <w:jc w:val="center"/>
                    <w:rPr>
                      <w:rFonts w:hint="eastAsia"/>
                      <w:color w:val="auto"/>
                      <w:sz w:val="21"/>
                      <w:szCs w:val="21"/>
                      <w:lang w:eastAsia="zh-CN"/>
                    </w:rPr>
                  </w:pPr>
                  <w:r>
                    <w:rPr>
                      <w:rFonts w:hint="eastAsia"/>
                      <w:color w:val="auto"/>
                      <w:sz w:val="21"/>
                      <w:szCs w:val="21"/>
                      <w:lang w:eastAsia="zh-CN"/>
                    </w:rPr>
                    <w:t>金属边角料</w:t>
                  </w:r>
                </w:p>
              </w:tc>
              <w:tc>
                <w:tcPr>
                  <w:tcW w:w="4151"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固废暂存间（</w:t>
                  </w:r>
                  <w:r>
                    <w:rPr>
                      <w:rFonts w:hint="default" w:ascii="Times New Roman" w:hAnsi="Times New Roman" w:cs="Times New Roman"/>
                      <w:color w:val="auto"/>
                      <w:szCs w:val="21"/>
                      <w:lang w:eastAsia="zh-CN"/>
                    </w:rPr>
                    <w:t>建筑面积</w:t>
                  </w:r>
                  <w:r>
                    <w:rPr>
                      <w:rFonts w:hint="default" w:ascii="Times New Roman" w:hAnsi="Times New Roman" w:cs="Times New Roman"/>
                      <w:color w:val="auto"/>
                      <w:sz w:val="21"/>
                      <w:szCs w:val="21"/>
                    </w:rPr>
                    <w:t>不小于</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p>
              </w:tc>
              <w:tc>
                <w:tcPr>
                  <w:tcW w:w="1536" w:type="dxa"/>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r>
                    <w:rPr>
                      <w:rFonts w:hint="default" w:ascii="Times New Roman" w:hAnsi="Times New Roman" w:cs="Times New Roman"/>
                      <w:color w:val="auto"/>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jc w:val="center"/>
              </w:trPr>
              <w:tc>
                <w:tcPr>
                  <w:tcW w:w="651" w:type="dxa"/>
                  <w:vMerge w:val="continue"/>
                  <w:noWrap w:val="0"/>
                  <w:vAlign w:val="center"/>
                </w:tcPr>
                <w:p>
                  <w:pPr>
                    <w:adjustRightInd w:val="0"/>
                    <w:snapToGrid w:val="0"/>
                    <w:spacing w:line="240" w:lineRule="auto"/>
                    <w:jc w:val="center"/>
                    <w:rPr>
                      <w:color w:val="auto"/>
                      <w:kern w:val="0"/>
                      <w:szCs w:val="21"/>
                    </w:rPr>
                  </w:pPr>
                </w:p>
              </w:tc>
              <w:tc>
                <w:tcPr>
                  <w:tcW w:w="659" w:type="dxa"/>
                  <w:vMerge w:val="continue"/>
                  <w:noWrap w:val="0"/>
                  <w:vAlign w:val="center"/>
                </w:tcPr>
                <w:p>
                  <w:pPr>
                    <w:adjustRightInd w:val="0"/>
                    <w:snapToGrid w:val="0"/>
                    <w:spacing w:line="240" w:lineRule="auto"/>
                    <w:jc w:val="center"/>
                    <w:rPr>
                      <w:color w:val="auto"/>
                      <w:szCs w:val="21"/>
                    </w:rPr>
                  </w:pPr>
                </w:p>
              </w:tc>
              <w:tc>
                <w:tcPr>
                  <w:tcW w:w="1717" w:type="dxa"/>
                  <w:noWrap w:val="0"/>
                  <w:vAlign w:val="center"/>
                </w:tcPr>
                <w:p>
                  <w:pPr>
                    <w:pStyle w:val="20"/>
                    <w:adjustRightInd w:val="0"/>
                    <w:snapToGrid w:val="0"/>
                    <w:jc w:val="center"/>
                    <w:rPr>
                      <w:color w:val="auto"/>
                      <w:szCs w:val="21"/>
                    </w:rPr>
                  </w:pPr>
                  <w:r>
                    <w:rPr>
                      <w:rFonts w:hint="default" w:ascii="Times New Roman" w:hAnsi="Times New Roman" w:cs="Times New Roman"/>
                      <w:bCs/>
                      <w:color w:val="auto"/>
                      <w:sz w:val="21"/>
                      <w:szCs w:val="21"/>
                      <w:lang w:eastAsia="zh-CN"/>
                    </w:rPr>
                    <w:t>生活垃圾</w:t>
                  </w:r>
                </w:p>
              </w:tc>
              <w:tc>
                <w:tcPr>
                  <w:tcW w:w="4151" w:type="dxa"/>
                  <w:vMerge w:val="restart"/>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垃圾桶若干</w:t>
                  </w:r>
                </w:p>
              </w:tc>
              <w:tc>
                <w:tcPr>
                  <w:tcW w:w="1536" w:type="dxa"/>
                  <w:vMerge w:val="restart"/>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r>
                    <w:rPr>
                      <w:rFonts w:hint="default" w:ascii="Times New Roman" w:hAnsi="Times New Roman" w:cs="Times New Roman"/>
                      <w:color w:val="auto"/>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4" w:hRule="atLeast"/>
                <w:jc w:val="center"/>
              </w:trPr>
              <w:tc>
                <w:tcPr>
                  <w:tcW w:w="651" w:type="dxa"/>
                  <w:vMerge w:val="continue"/>
                  <w:noWrap w:val="0"/>
                  <w:vAlign w:val="center"/>
                </w:tcPr>
                <w:p>
                  <w:pPr>
                    <w:adjustRightInd w:val="0"/>
                    <w:snapToGrid w:val="0"/>
                    <w:spacing w:line="240" w:lineRule="auto"/>
                    <w:jc w:val="center"/>
                    <w:rPr>
                      <w:color w:val="auto"/>
                      <w:kern w:val="0"/>
                      <w:szCs w:val="21"/>
                    </w:rPr>
                  </w:pPr>
                </w:p>
              </w:tc>
              <w:tc>
                <w:tcPr>
                  <w:tcW w:w="659" w:type="dxa"/>
                  <w:vMerge w:val="restart"/>
                  <w:noWrap w:val="0"/>
                  <w:vAlign w:val="center"/>
                </w:tcPr>
                <w:p>
                  <w:pPr>
                    <w:adjustRightInd w:val="0"/>
                    <w:snapToGrid w:val="0"/>
                    <w:spacing w:line="240" w:lineRule="auto"/>
                    <w:jc w:val="center"/>
                    <w:rPr>
                      <w:rFonts w:hint="eastAsia" w:eastAsia="宋体"/>
                      <w:color w:val="auto"/>
                      <w:szCs w:val="21"/>
                      <w:lang w:eastAsia="zh-CN"/>
                    </w:rPr>
                  </w:pPr>
                  <w:r>
                    <w:rPr>
                      <w:rFonts w:hint="eastAsia"/>
                      <w:color w:val="auto"/>
                      <w:szCs w:val="21"/>
                      <w:lang w:eastAsia="zh-CN"/>
                    </w:rPr>
                    <w:t>危险废物</w:t>
                  </w:r>
                </w:p>
              </w:tc>
              <w:tc>
                <w:tcPr>
                  <w:tcW w:w="1717" w:type="dxa"/>
                  <w:noWrap w:val="0"/>
                  <w:vAlign w:val="center"/>
                </w:tcPr>
                <w:p>
                  <w:pPr>
                    <w:adjustRightInd w:val="0"/>
                    <w:snapToGrid w:val="0"/>
                    <w:jc w:val="center"/>
                    <w:rPr>
                      <w:rFonts w:hint="default" w:ascii="Times New Roman" w:hAnsi="Times New Roman" w:cs="Times New Roman"/>
                      <w:b w:val="0"/>
                      <w:bCs w:val="0"/>
                      <w:color w:val="auto"/>
                      <w:sz w:val="21"/>
                      <w:szCs w:val="21"/>
                      <w:u w:val="none"/>
                      <w:lang w:eastAsia="zh-CN"/>
                    </w:rPr>
                  </w:pPr>
                  <w:r>
                    <w:rPr>
                      <w:rFonts w:hint="eastAsia"/>
                      <w:color w:val="auto"/>
                      <w:sz w:val="21"/>
                      <w:szCs w:val="21"/>
                      <w:lang w:eastAsia="zh-CN"/>
                    </w:rPr>
                    <w:t>含油废抹布</w:t>
                  </w:r>
                </w:p>
              </w:tc>
              <w:tc>
                <w:tcPr>
                  <w:tcW w:w="4151" w:type="dxa"/>
                  <w:vMerge w:val="continue"/>
                  <w:noWrap w:val="0"/>
                  <w:vAlign w:val="center"/>
                </w:tcPr>
                <w:p>
                  <w:pPr>
                    <w:adjustRightInd w:val="0"/>
                    <w:snapToGrid w:val="0"/>
                    <w:spacing w:line="240" w:lineRule="auto"/>
                    <w:jc w:val="center"/>
                    <w:rPr>
                      <w:rFonts w:hint="default" w:ascii="Times New Roman" w:hAnsi="Times New Roman" w:cs="Times New Roman"/>
                      <w:b w:val="0"/>
                      <w:bCs w:val="0"/>
                      <w:color w:val="auto"/>
                      <w:szCs w:val="21"/>
                      <w:u w:val="none"/>
                    </w:rPr>
                  </w:pPr>
                </w:p>
              </w:tc>
              <w:tc>
                <w:tcPr>
                  <w:tcW w:w="1536" w:type="dxa"/>
                  <w:vMerge w:val="continue"/>
                  <w:noWrap w:val="0"/>
                  <w:vAlign w:val="center"/>
                </w:tcPr>
                <w:p>
                  <w:pPr>
                    <w:adjustRightInd w:val="0"/>
                    <w:snapToGrid w:val="0"/>
                    <w:spacing w:line="240" w:lineRule="auto"/>
                    <w:jc w:val="center"/>
                    <w:rPr>
                      <w:rFonts w:hint="eastAsia" w:ascii="Times New Roman" w:hAnsi="Times New Roman" w:eastAsia="宋体" w:cs="Times New Roman"/>
                      <w:color w:val="auto"/>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6" w:hRule="atLeast"/>
                <w:jc w:val="center"/>
              </w:trPr>
              <w:tc>
                <w:tcPr>
                  <w:tcW w:w="651" w:type="dxa"/>
                  <w:vMerge w:val="continue"/>
                  <w:noWrap w:val="0"/>
                  <w:vAlign w:val="center"/>
                </w:tcPr>
                <w:p>
                  <w:pPr>
                    <w:adjustRightInd w:val="0"/>
                    <w:snapToGrid w:val="0"/>
                    <w:spacing w:line="240" w:lineRule="auto"/>
                    <w:jc w:val="center"/>
                    <w:rPr>
                      <w:color w:val="auto"/>
                      <w:kern w:val="0"/>
                      <w:szCs w:val="21"/>
                    </w:rPr>
                  </w:pPr>
                </w:p>
              </w:tc>
              <w:tc>
                <w:tcPr>
                  <w:tcW w:w="659" w:type="dxa"/>
                  <w:vMerge w:val="continue"/>
                  <w:noWrap w:val="0"/>
                  <w:vAlign w:val="center"/>
                </w:tcPr>
                <w:p>
                  <w:pPr>
                    <w:adjustRightInd w:val="0"/>
                    <w:snapToGrid w:val="0"/>
                    <w:spacing w:line="240" w:lineRule="auto"/>
                    <w:jc w:val="center"/>
                    <w:rPr>
                      <w:rFonts w:hint="eastAsia"/>
                      <w:color w:val="auto"/>
                      <w:szCs w:val="21"/>
                      <w:lang w:eastAsia="zh-CN"/>
                    </w:rPr>
                  </w:pPr>
                </w:p>
              </w:tc>
              <w:tc>
                <w:tcPr>
                  <w:tcW w:w="1717" w:type="dxa"/>
                  <w:noWrap w:val="0"/>
                  <w:vAlign w:val="center"/>
                </w:tcPr>
                <w:p>
                  <w:pPr>
                    <w:adjustRightInd w:val="0"/>
                    <w:snapToGrid w:val="0"/>
                    <w:jc w:val="center"/>
                    <w:rPr>
                      <w:rFonts w:ascii="Times New Roman" w:hAnsi="Times New Roman"/>
                      <w:b w:val="0"/>
                      <w:bCs w:val="0"/>
                      <w:color w:val="auto"/>
                      <w:szCs w:val="21"/>
                      <w:u w:val="none"/>
                    </w:rPr>
                  </w:pPr>
                  <w:r>
                    <w:rPr>
                      <w:rFonts w:ascii="Times New Roman" w:hAnsi="Times New Roman"/>
                      <w:b w:val="0"/>
                      <w:bCs w:val="0"/>
                      <w:color w:val="auto"/>
                      <w:szCs w:val="21"/>
                      <w:u w:val="none"/>
                    </w:rPr>
                    <w:t>废</w:t>
                  </w:r>
                  <w:r>
                    <w:rPr>
                      <w:rFonts w:hint="eastAsia"/>
                      <w:b w:val="0"/>
                      <w:bCs w:val="0"/>
                      <w:color w:val="auto"/>
                      <w:szCs w:val="21"/>
                      <w:u w:val="none"/>
                      <w:lang w:eastAsia="zh-CN"/>
                    </w:rPr>
                    <w:t>润滑油</w:t>
                  </w:r>
                  <w:r>
                    <w:rPr>
                      <w:rFonts w:ascii="Times New Roman" w:hAnsi="Times New Roman"/>
                      <w:b w:val="0"/>
                      <w:bCs w:val="0"/>
                      <w:color w:val="auto"/>
                      <w:szCs w:val="21"/>
                      <w:u w:val="none"/>
                    </w:rPr>
                    <w:t xml:space="preserve"> </w:t>
                  </w:r>
                </w:p>
              </w:tc>
              <w:tc>
                <w:tcPr>
                  <w:tcW w:w="4151" w:type="dxa"/>
                  <w:noWrap w:val="0"/>
                  <w:vAlign w:val="center"/>
                </w:tcPr>
                <w:p>
                  <w:pPr>
                    <w:adjustRightInd w:val="0"/>
                    <w:snapToGrid w:val="0"/>
                    <w:spacing w:line="240" w:lineRule="auto"/>
                    <w:jc w:val="center"/>
                    <w:rPr>
                      <w:rFonts w:ascii="Times New Roman" w:hAnsi="Times New Roman"/>
                      <w:b w:val="0"/>
                      <w:bCs w:val="0"/>
                      <w:color w:val="auto"/>
                      <w:szCs w:val="21"/>
                      <w:u w:val="none"/>
                    </w:rPr>
                  </w:pPr>
                  <w:r>
                    <w:rPr>
                      <w:rFonts w:ascii="Times New Roman" w:hAnsi="Times New Roman"/>
                      <w:b w:val="0"/>
                      <w:bCs w:val="0"/>
                      <w:color w:val="auto"/>
                      <w:szCs w:val="21"/>
                      <w:u w:val="none"/>
                    </w:rPr>
                    <w:t>危废暂存间（建筑面积不小于</w:t>
                  </w:r>
                  <w:r>
                    <w:rPr>
                      <w:rFonts w:hint="eastAsia" w:ascii="Times New Roman" w:hAnsi="Times New Roman"/>
                      <w:b w:val="0"/>
                      <w:bCs w:val="0"/>
                      <w:color w:val="auto"/>
                      <w:szCs w:val="21"/>
                      <w:u w:val="none"/>
                      <w:lang w:val="en-US" w:eastAsia="zh-CN"/>
                    </w:rPr>
                    <w:t>5</w:t>
                  </w:r>
                  <w:r>
                    <w:rPr>
                      <w:rFonts w:ascii="Times New Roman" w:hAnsi="Times New Roman"/>
                      <w:b w:val="0"/>
                      <w:bCs w:val="0"/>
                      <w:color w:val="auto"/>
                      <w:szCs w:val="21"/>
                      <w:u w:val="none"/>
                    </w:rPr>
                    <w:t>m</w:t>
                  </w:r>
                  <w:r>
                    <w:rPr>
                      <w:rFonts w:ascii="Times New Roman" w:hAnsi="Times New Roman"/>
                      <w:b w:val="0"/>
                      <w:bCs w:val="0"/>
                      <w:color w:val="auto"/>
                      <w:szCs w:val="21"/>
                      <w:u w:val="none"/>
                      <w:vertAlign w:val="superscript"/>
                    </w:rPr>
                    <w:t>2</w:t>
                  </w:r>
                  <w:r>
                    <w:rPr>
                      <w:rFonts w:ascii="Times New Roman" w:hAnsi="Times New Roman"/>
                      <w:b w:val="0"/>
                      <w:bCs w:val="0"/>
                      <w:color w:val="auto"/>
                      <w:szCs w:val="21"/>
                      <w:u w:val="none"/>
                    </w:rPr>
                    <w:t>）</w:t>
                  </w:r>
                  <w:r>
                    <w:rPr>
                      <w:rFonts w:hint="eastAsia" w:ascii="Times New Roman" w:hAnsi="Times New Roman"/>
                      <w:b w:val="0"/>
                      <w:bCs w:val="0"/>
                      <w:color w:val="auto"/>
                      <w:szCs w:val="21"/>
                      <w:u w:val="none"/>
                      <w:lang w:eastAsia="zh-CN"/>
                    </w:rPr>
                    <w:t>，定期委托具有危废处理资质的单位收集处理</w:t>
                  </w:r>
                </w:p>
              </w:tc>
              <w:tc>
                <w:tcPr>
                  <w:tcW w:w="1536" w:type="dxa"/>
                  <w:noWrap w:val="0"/>
                  <w:vAlign w:val="center"/>
                </w:tcPr>
                <w:p>
                  <w:pPr>
                    <w:adjustRightInd w:val="0"/>
                    <w:snapToGrid w:val="0"/>
                    <w:spacing w:line="240" w:lineRule="auto"/>
                    <w:jc w:val="center"/>
                    <w:rPr>
                      <w:rFonts w:hint="eastAsia" w:cs="Times New Roman"/>
                      <w:color w:val="auto"/>
                      <w:szCs w:val="21"/>
                      <w:lang w:val="en-US" w:eastAsia="zh-CN"/>
                    </w:rPr>
                  </w:pPr>
                  <w:r>
                    <w:rPr>
                      <w:rFonts w:hint="eastAsia" w:cs="Times New Roman"/>
                      <w:color w:val="auto"/>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2" w:hRule="atLeast"/>
                <w:jc w:val="center"/>
              </w:trPr>
              <w:tc>
                <w:tcPr>
                  <w:tcW w:w="7178" w:type="dxa"/>
                  <w:gridSpan w:val="4"/>
                  <w:noWrap w:val="0"/>
                  <w:vAlign w:val="center"/>
                </w:tcPr>
                <w:p>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合      计</w:t>
                  </w:r>
                </w:p>
              </w:tc>
              <w:tc>
                <w:tcPr>
                  <w:tcW w:w="1536" w:type="dxa"/>
                  <w:noWrap w:val="0"/>
                  <w:vAlign w:val="center"/>
                </w:tcPr>
                <w:p>
                  <w:pPr>
                    <w:adjustRightInd w:val="0"/>
                    <w:snapToGrid w:val="0"/>
                    <w:spacing w:line="240" w:lineRule="auto"/>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8.5</w:t>
                  </w:r>
                  <w:r>
                    <w:rPr>
                      <w:rFonts w:hint="default" w:ascii="Times New Roman" w:hAnsi="Times New Roman" w:cs="Times New Roman"/>
                      <w:color w:val="auto"/>
                      <w:szCs w:val="21"/>
                      <w:lang w:val="en-US" w:eastAsia="zh-CN"/>
                    </w:rPr>
                    <w:t>5</w:t>
                  </w:r>
                </w:p>
              </w:tc>
            </w:tr>
          </w:tbl>
          <w:p>
            <w:pPr>
              <w:spacing w:line="360" w:lineRule="auto"/>
              <w:ind w:firstLine="482" w:firstLineChars="200"/>
              <w:rPr>
                <w:rFonts w:hAnsi="宋体"/>
                <w:b/>
                <w:snapToGrid w:val="0"/>
                <w:color w:val="auto"/>
                <w:sz w:val="24"/>
              </w:rPr>
            </w:pPr>
            <w:r>
              <w:rPr>
                <w:rFonts w:hint="eastAsia" w:hAnsi="宋体"/>
                <w:b/>
                <w:snapToGrid w:val="0"/>
                <w:color w:val="auto"/>
                <w:sz w:val="24"/>
              </w:rPr>
              <w:t>（七）环保验收</w:t>
            </w:r>
          </w:p>
          <w:p>
            <w:pPr>
              <w:adjustRightInd w:val="0"/>
              <w:snapToGrid w:val="0"/>
              <w:spacing w:line="360" w:lineRule="auto"/>
              <w:ind w:firstLine="480" w:firstLineChars="200"/>
              <w:rPr>
                <w:rFonts w:hint="default" w:ascii="Times New Roman" w:hAnsi="Times New Roman" w:cs="Times New Roman"/>
                <w:color w:val="auto"/>
                <w:sz w:val="24"/>
              </w:rPr>
            </w:pPr>
            <w:r>
              <w:rPr>
                <w:rFonts w:hint="eastAsia"/>
                <w:color w:val="auto"/>
                <w:sz w:val="24"/>
              </w:rPr>
              <w:t>本项目环保验收内容见</w:t>
            </w:r>
            <w:r>
              <w:rPr>
                <w:rFonts w:hint="default" w:ascii="Times New Roman" w:hAnsi="Times New Roman" w:cs="Times New Roman"/>
                <w:color w:val="auto"/>
                <w:sz w:val="24"/>
              </w:rPr>
              <w:t>表</w:t>
            </w:r>
            <w:r>
              <w:rPr>
                <w:rFonts w:hint="eastAsia" w:cs="Times New Roman"/>
                <w:color w:val="auto"/>
                <w:sz w:val="24"/>
                <w:lang w:val="en-US" w:eastAsia="zh-CN"/>
              </w:rPr>
              <w:t>25</w:t>
            </w:r>
            <w:r>
              <w:rPr>
                <w:rFonts w:hint="default" w:ascii="Times New Roman" w:hAnsi="Times New Roman" w:cs="Times New Roman"/>
                <w:color w:val="auto"/>
                <w:sz w:val="24"/>
              </w:rPr>
              <w:t>。</w:t>
            </w:r>
          </w:p>
          <w:p>
            <w:pPr>
              <w:pStyle w:val="26"/>
              <w:adjustRightInd w:val="0"/>
              <w:snapToGrid w:val="0"/>
              <w:spacing w:line="240" w:lineRule="auto"/>
              <w:ind w:firstLine="1560" w:firstLineChars="650"/>
              <w:rPr>
                <w:rFonts w:hint="default" w:ascii="Times New Roman" w:hAnsi="Times New Roman" w:cs="Times New Roman"/>
                <w:bCs/>
                <w:color w:val="auto"/>
                <w:sz w:val="24"/>
              </w:rPr>
            </w:pPr>
          </w:p>
          <w:p>
            <w:pPr>
              <w:pStyle w:val="26"/>
              <w:adjustRightInd w:val="0"/>
              <w:snapToGrid w:val="0"/>
              <w:spacing w:line="240" w:lineRule="auto"/>
              <w:ind w:firstLine="1560" w:firstLineChars="650"/>
              <w:rPr>
                <w:rFonts w:hint="default" w:ascii="Times New Roman" w:hAnsi="Times New Roman" w:cs="Times New Roman"/>
                <w:bCs/>
                <w:color w:val="auto"/>
                <w:sz w:val="24"/>
              </w:rPr>
            </w:pPr>
            <w:r>
              <w:rPr>
                <w:rFonts w:hint="default" w:ascii="Times New Roman" w:hAnsi="Times New Roman" w:cs="Times New Roman"/>
                <w:bCs/>
                <w:color w:val="auto"/>
                <w:sz w:val="24"/>
              </w:rPr>
              <w:t>表</w:t>
            </w:r>
            <w:r>
              <w:rPr>
                <w:rFonts w:hint="eastAsia" w:cs="Times New Roman"/>
                <w:bCs/>
                <w:color w:val="auto"/>
                <w:sz w:val="24"/>
                <w:lang w:val="en-US" w:eastAsia="zh-CN"/>
              </w:rPr>
              <w:t>25</w:t>
            </w:r>
            <w:r>
              <w:rPr>
                <w:rFonts w:hint="default" w:ascii="Times New Roman" w:hAnsi="Times New Roman" w:cs="Times New Roman"/>
                <w:bCs/>
                <w:color w:val="auto"/>
                <w:sz w:val="24"/>
              </w:rPr>
              <w:t xml:space="preserve">         环</w:t>
            </w:r>
            <w:r>
              <w:rPr>
                <w:bCs/>
                <w:color w:val="auto"/>
                <w:sz w:val="24"/>
              </w:rPr>
              <w:t>保验收</w:t>
            </w:r>
            <w:r>
              <w:rPr>
                <w:rFonts w:hint="eastAsia" w:ascii="宋体" w:hAnsi="宋体" w:cs="宋体"/>
                <w:bCs/>
                <w:color w:val="auto"/>
                <w:sz w:val="24"/>
              </w:rPr>
              <w:t>“</w:t>
            </w:r>
            <w:r>
              <w:rPr>
                <w:bCs/>
                <w:color w:val="auto"/>
                <w:sz w:val="24"/>
              </w:rPr>
              <w:t>三同时</w:t>
            </w:r>
            <w:r>
              <w:rPr>
                <w:rFonts w:hint="eastAsia" w:ascii="宋体" w:hAnsi="宋体" w:cs="宋体"/>
                <w:bCs/>
                <w:color w:val="auto"/>
                <w:sz w:val="24"/>
              </w:rPr>
              <w:t>”</w:t>
            </w:r>
            <w:r>
              <w:rPr>
                <w:bCs/>
                <w:color w:val="auto"/>
                <w:sz w:val="24"/>
              </w:rPr>
              <w:t>一览表</w:t>
            </w:r>
          </w:p>
          <w:tbl>
            <w:tblPr>
              <w:tblStyle w:val="15"/>
              <w:tblpPr w:leftFromText="180" w:rightFromText="180" w:vertAnchor="text" w:horzAnchor="margin" w:tblpXSpec="center" w:tblpY="31"/>
              <w:tblOverlap w:val="never"/>
              <w:tblW w:w="87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4"/>
              <w:gridCol w:w="692"/>
              <w:gridCol w:w="1328"/>
              <w:gridCol w:w="1327"/>
              <w:gridCol w:w="2481"/>
              <w:gridCol w:w="24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96" w:type="dxa"/>
                  <w:gridSpan w:val="2"/>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污染类别</w:t>
                  </w:r>
                </w:p>
              </w:tc>
              <w:tc>
                <w:tcPr>
                  <w:tcW w:w="1328"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治理内容</w:t>
                  </w:r>
                </w:p>
              </w:tc>
              <w:tc>
                <w:tcPr>
                  <w:tcW w:w="1327"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环保设施</w:t>
                  </w:r>
                </w:p>
              </w:tc>
              <w:tc>
                <w:tcPr>
                  <w:tcW w:w="2481"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验收内容</w:t>
                  </w:r>
                </w:p>
              </w:tc>
              <w:tc>
                <w:tcPr>
                  <w:tcW w:w="248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restart"/>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营运期</w:t>
                  </w:r>
                </w:p>
              </w:tc>
              <w:tc>
                <w:tcPr>
                  <w:tcW w:w="69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328" w:type="dxa"/>
                  <w:tcBorders>
                    <w:tl2br w:val="nil"/>
                    <w:tr2bl w:val="nil"/>
                  </w:tcBorders>
                  <w:noWrap w:val="0"/>
                  <w:vAlign w:val="center"/>
                </w:tcPr>
                <w:p>
                  <w:pPr>
                    <w:wordWrap w:val="0"/>
                    <w:adjustRightInd w:val="0"/>
                    <w:snapToGrid w:val="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生活污水</w:t>
                  </w:r>
                </w:p>
              </w:tc>
              <w:tc>
                <w:tcPr>
                  <w:tcW w:w="1327" w:type="dxa"/>
                  <w:tcBorders>
                    <w:tl2br w:val="nil"/>
                    <w:tr2bl w:val="nil"/>
                  </w:tcBorders>
                  <w:noWrap w:val="0"/>
                  <w:vAlign w:val="center"/>
                </w:tcPr>
                <w:p>
                  <w:pPr>
                    <w:wordWrap w:val="0"/>
                    <w:adjustRightInd w:val="0"/>
                    <w:snapToGrid w:val="0"/>
                    <w:jc w:val="center"/>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化粪池</w:t>
                  </w:r>
                </w:p>
              </w:tc>
              <w:tc>
                <w:tcPr>
                  <w:tcW w:w="2481" w:type="dxa"/>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容积不小于</w:t>
                  </w: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的化粪池1座</w:t>
                  </w:r>
                </w:p>
              </w:tc>
              <w:tc>
                <w:tcPr>
                  <w:tcW w:w="2482" w:type="dxa"/>
                  <w:tcBorders>
                    <w:tl2br w:val="nil"/>
                    <w:tr2bl w:val="nil"/>
                  </w:tcBorders>
                  <w:noWrap w:val="0"/>
                  <w:vAlign w:val="center"/>
                </w:tcPr>
                <w:p>
                  <w:pPr>
                    <w:pStyle w:val="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69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328" w:type="dxa"/>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设备运行噪声</w:t>
                  </w:r>
                </w:p>
              </w:tc>
              <w:tc>
                <w:tcPr>
                  <w:tcW w:w="1327" w:type="dxa"/>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减振基础，车间隔声</w:t>
                  </w:r>
                </w:p>
              </w:tc>
              <w:tc>
                <w:tcPr>
                  <w:tcW w:w="2481"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高噪音设备设有减振基础，所有设备均置于生产车间内</w:t>
                  </w:r>
                </w:p>
              </w:tc>
              <w:tc>
                <w:tcPr>
                  <w:tcW w:w="248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《工业企业厂界环境噪声排放标准》(GB12348-2008)</w:t>
                  </w:r>
                  <w:r>
                    <w:rPr>
                      <w:rFonts w:hint="default" w:ascii="Times New Roman" w:hAnsi="Times New Roman" w:eastAsia="宋体" w:cs="Times New Roman"/>
                      <w:bCs/>
                      <w:color w:val="auto"/>
                      <w:sz w:val="21"/>
                      <w:szCs w:val="21"/>
                      <w:lang w:val="en-US" w:eastAsia="zh-CN"/>
                    </w:rPr>
                    <w:t>2</w:t>
                  </w:r>
                  <w:r>
                    <w:rPr>
                      <w:rFonts w:hint="default" w:ascii="Times New Roman" w:hAnsi="Times New Roman" w:eastAsia="宋体" w:cs="Times New Roman"/>
                      <w:bCs/>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692" w:type="dxa"/>
                  <w:vMerge w:val="restart"/>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p>
                  <w:pPr>
                    <w:pStyle w:val="9"/>
                    <w:wordWrap w:val="0"/>
                    <w:adjustRightInd w:val="0"/>
                    <w:snapToGrid w:val="0"/>
                    <w:spacing w:line="240" w:lineRule="auto"/>
                    <w:ind w:firstLine="0" w:firstLineChars="0"/>
                    <w:jc w:val="center"/>
                    <w:rPr>
                      <w:rFonts w:hint="default" w:ascii="Times New Roman" w:hAnsi="Times New Roman" w:eastAsia="宋体" w:cs="Times New Roman"/>
                      <w:bCs/>
                      <w:color w:val="auto"/>
                      <w:sz w:val="21"/>
                      <w:szCs w:val="21"/>
                    </w:rPr>
                  </w:pPr>
                </w:p>
              </w:tc>
              <w:tc>
                <w:tcPr>
                  <w:tcW w:w="1328" w:type="dxa"/>
                  <w:tcBorders>
                    <w:tl2br w:val="nil"/>
                    <w:tr2bl w:val="nil"/>
                  </w:tcBorders>
                  <w:noWrap w:val="0"/>
                  <w:vAlign w:val="center"/>
                </w:tcPr>
                <w:p>
                  <w:pPr>
                    <w:pStyle w:val="20"/>
                    <w:adjustRightInd w:val="0"/>
                    <w:snapToGrid w:val="0"/>
                    <w:jc w:val="center"/>
                    <w:rPr>
                      <w:rFonts w:hint="default" w:ascii="Times New Roman" w:hAnsi="Times New Roman" w:eastAsia="宋体" w:cs="Times New Roman"/>
                      <w:color w:val="auto"/>
                      <w:sz w:val="21"/>
                      <w:szCs w:val="21"/>
                      <w:highlight w:val="green"/>
                      <w:lang w:eastAsia="zh-CN"/>
                    </w:rPr>
                  </w:pPr>
                  <w:r>
                    <w:rPr>
                      <w:rFonts w:hint="default" w:ascii="Times New Roman" w:hAnsi="Times New Roman" w:eastAsia="宋体" w:cs="Times New Roman"/>
                      <w:color w:val="auto"/>
                      <w:sz w:val="21"/>
                      <w:szCs w:val="21"/>
                      <w:lang w:eastAsia="zh-CN"/>
                    </w:rPr>
                    <w:t>金属边角料</w:t>
                  </w:r>
                </w:p>
              </w:tc>
              <w:tc>
                <w:tcPr>
                  <w:tcW w:w="1327" w:type="dxa"/>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固废暂存间</w:t>
                  </w:r>
                </w:p>
              </w:tc>
              <w:tc>
                <w:tcPr>
                  <w:tcW w:w="2481" w:type="dxa"/>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固废暂存间</w:t>
                  </w:r>
                </w:p>
                <w:p>
                  <w:pPr>
                    <w:pStyle w:val="27"/>
                    <w:wordWrap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建筑面积</w:t>
                  </w:r>
                  <w:r>
                    <w:rPr>
                      <w:rFonts w:hint="default" w:ascii="Times New Roman" w:hAnsi="Times New Roman" w:eastAsia="宋体" w:cs="Times New Roman"/>
                      <w:color w:val="auto"/>
                      <w:sz w:val="21"/>
                      <w:szCs w:val="21"/>
                    </w:rPr>
                    <w:t>不小于</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248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《一般工业固体废物贮存、处置场污染控制标准》（GB 18599-2001）及2013年修改单要求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692"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1328" w:type="dxa"/>
                  <w:tcBorders>
                    <w:tl2br w:val="nil"/>
                    <w:tr2bl w:val="nil"/>
                  </w:tcBorders>
                  <w:noWrap w:val="0"/>
                  <w:vAlign w:val="center"/>
                </w:tcPr>
                <w:p>
                  <w:pPr>
                    <w:pStyle w:val="2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eastAsia="zh-CN"/>
                    </w:rPr>
                    <w:t>生活垃圾</w:t>
                  </w:r>
                </w:p>
              </w:tc>
              <w:tc>
                <w:tcPr>
                  <w:tcW w:w="1327" w:type="dxa"/>
                  <w:vMerge w:val="restart"/>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生活垃圾收集桶若干</w:t>
                  </w:r>
                </w:p>
              </w:tc>
              <w:tc>
                <w:tcPr>
                  <w:tcW w:w="2481" w:type="dxa"/>
                  <w:vMerge w:val="restart"/>
                  <w:tcBorders>
                    <w:tl2br w:val="nil"/>
                    <w:tr2bl w:val="nil"/>
                  </w:tcBorders>
                  <w:noWrap w:val="0"/>
                  <w:vAlign w:val="center"/>
                </w:tcPr>
                <w:p>
                  <w:pPr>
                    <w:pStyle w:val="27"/>
                    <w:wordWrap w:val="0"/>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垃圾桶若干，运至垃圾中转站集中处理</w:t>
                  </w:r>
                </w:p>
              </w:tc>
              <w:tc>
                <w:tcPr>
                  <w:tcW w:w="2482" w:type="dxa"/>
                  <w:vMerge w:val="restart"/>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continue"/>
                  <w:tcBorders>
                    <w:tl2br w:val="nil"/>
                    <w:tr2bl w:val="nil"/>
                  </w:tcBorders>
                  <w:noWrap w:val="0"/>
                  <w:vAlign w:val="center"/>
                </w:tcPr>
                <w:p>
                  <w:pPr>
                    <w:pStyle w:val="20"/>
                    <w:adjustRightInd w:val="0"/>
                    <w:snapToGrid w:val="0"/>
                    <w:jc w:val="center"/>
                    <w:rPr>
                      <w:rFonts w:hint="default" w:ascii="Times New Roman" w:hAnsi="Times New Roman" w:eastAsia="宋体" w:cs="Times New Roman"/>
                      <w:color w:val="auto"/>
                      <w:sz w:val="21"/>
                      <w:szCs w:val="21"/>
                    </w:rPr>
                  </w:pPr>
                </w:p>
              </w:tc>
              <w:tc>
                <w:tcPr>
                  <w:tcW w:w="692" w:type="dxa"/>
                  <w:vMerge w:val="restart"/>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危险废物</w:t>
                  </w:r>
                </w:p>
              </w:tc>
              <w:tc>
                <w:tcPr>
                  <w:tcW w:w="1328" w:type="dxa"/>
                  <w:tcBorders>
                    <w:tl2br w:val="nil"/>
                    <w:tr2bl w:val="nil"/>
                  </w:tcBorders>
                  <w:noWrap w:val="0"/>
                  <w:vAlign w:val="center"/>
                </w:tcPr>
                <w:p>
                  <w:pPr>
                    <w:pStyle w:val="20"/>
                    <w:adjustRightInd w:val="0"/>
                    <w:snapToGrid w:val="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含油废抹布</w:t>
                  </w:r>
                </w:p>
              </w:tc>
              <w:tc>
                <w:tcPr>
                  <w:tcW w:w="1327" w:type="dxa"/>
                  <w:vMerge w:val="continue"/>
                  <w:tcBorders>
                    <w:tl2br w:val="nil"/>
                    <w:tr2bl w:val="nil"/>
                  </w:tcBorders>
                  <w:noWrap w:val="0"/>
                  <w:vAlign w:val="center"/>
                </w:tcPr>
                <w:p>
                  <w:pPr>
                    <w:pStyle w:val="27"/>
                    <w:wordWrap w:val="0"/>
                    <w:adjustRightInd w:val="0"/>
                    <w:snapToGrid w:val="0"/>
                    <w:spacing w:line="240" w:lineRule="auto"/>
                    <w:jc w:val="center"/>
                    <w:rPr>
                      <w:rFonts w:hint="default" w:ascii="Times New Roman" w:hAnsi="Times New Roman" w:eastAsia="宋体" w:cs="Times New Roman"/>
                      <w:b w:val="0"/>
                      <w:bCs w:val="0"/>
                      <w:color w:val="auto"/>
                      <w:sz w:val="21"/>
                      <w:szCs w:val="21"/>
                      <w:u w:val="none"/>
                    </w:rPr>
                  </w:pPr>
                </w:p>
              </w:tc>
              <w:tc>
                <w:tcPr>
                  <w:tcW w:w="2481" w:type="dxa"/>
                  <w:vMerge w:val="continue"/>
                  <w:tcBorders>
                    <w:tl2br w:val="nil"/>
                    <w:tr2bl w:val="nil"/>
                  </w:tcBorders>
                  <w:noWrap w:val="0"/>
                  <w:vAlign w:val="center"/>
                </w:tcPr>
                <w:p>
                  <w:pPr>
                    <w:pStyle w:val="27"/>
                    <w:wordWrap w:val="0"/>
                    <w:adjustRightInd w:val="0"/>
                    <w:snapToGrid w:val="0"/>
                    <w:spacing w:line="240" w:lineRule="auto"/>
                    <w:jc w:val="center"/>
                    <w:rPr>
                      <w:rFonts w:hint="default" w:ascii="Times New Roman" w:hAnsi="Times New Roman" w:eastAsia="宋体" w:cs="Times New Roman"/>
                      <w:b w:val="0"/>
                      <w:bCs w:val="0"/>
                      <w:color w:val="auto"/>
                      <w:sz w:val="21"/>
                      <w:szCs w:val="21"/>
                      <w:u w:val="none"/>
                    </w:rPr>
                  </w:pPr>
                </w:p>
              </w:tc>
              <w:tc>
                <w:tcPr>
                  <w:tcW w:w="2482"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4"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692" w:type="dxa"/>
                  <w:vMerge w:val="continue"/>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sz w:val="21"/>
                      <w:szCs w:val="21"/>
                      <w:u w:val="none"/>
                      <w:lang w:eastAsia="zh-CN"/>
                    </w:rPr>
                  </w:pPr>
                </w:p>
              </w:tc>
              <w:tc>
                <w:tcPr>
                  <w:tcW w:w="1328"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rPr>
                    <w:t>废</w:t>
                  </w:r>
                  <w:r>
                    <w:rPr>
                      <w:rFonts w:hint="default" w:ascii="Times New Roman" w:hAnsi="Times New Roman" w:eastAsia="宋体" w:cs="Times New Roman"/>
                      <w:b w:val="0"/>
                      <w:bCs w:val="0"/>
                      <w:color w:val="auto"/>
                      <w:sz w:val="21"/>
                      <w:szCs w:val="21"/>
                      <w:u w:val="none"/>
                      <w:lang w:eastAsia="zh-CN"/>
                    </w:rPr>
                    <w:t>润滑油</w:t>
                  </w:r>
                  <w:r>
                    <w:rPr>
                      <w:rFonts w:hint="default" w:ascii="Times New Roman" w:hAnsi="Times New Roman" w:eastAsia="宋体" w:cs="Times New Roman"/>
                      <w:b w:val="0"/>
                      <w:bCs w:val="0"/>
                      <w:color w:val="auto"/>
                      <w:sz w:val="21"/>
                      <w:szCs w:val="21"/>
                      <w:u w:val="none"/>
                    </w:rPr>
                    <w:t xml:space="preserve"> </w:t>
                  </w:r>
                </w:p>
              </w:tc>
              <w:tc>
                <w:tcPr>
                  <w:tcW w:w="1327" w:type="dxa"/>
                  <w:tcBorders>
                    <w:tl2br w:val="nil"/>
                    <w:tr2bl w:val="nil"/>
                  </w:tcBorders>
                  <w:noWrap w:val="0"/>
                  <w:vAlign w:val="center"/>
                </w:tcPr>
                <w:p>
                  <w:pPr>
                    <w:pStyle w:val="27"/>
                    <w:wordWrap w:val="0"/>
                    <w:adjustRightInd w:val="0"/>
                    <w:snapToGrid w:val="0"/>
                    <w:spacing w:line="240" w:lineRule="auto"/>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设置</w:t>
                  </w:r>
                  <w:r>
                    <w:rPr>
                      <w:rFonts w:hint="default" w:ascii="Times New Roman" w:hAnsi="Times New Roman" w:eastAsia="宋体" w:cs="Times New Roman"/>
                      <w:b w:val="0"/>
                      <w:bCs w:val="0"/>
                      <w:color w:val="auto"/>
                      <w:sz w:val="21"/>
                      <w:szCs w:val="21"/>
                      <w:u w:val="none"/>
                      <w:lang w:eastAsia="zh-CN"/>
                    </w:rPr>
                    <w:t>集中收集装置</w:t>
                  </w:r>
                </w:p>
              </w:tc>
              <w:tc>
                <w:tcPr>
                  <w:tcW w:w="2481" w:type="dxa"/>
                  <w:tcBorders>
                    <w:tl2br w:val="nil"/>
                    <w:tr2bl w:val="nil"/>
                  </w:tcBorders>
                  <w:noWrap w:val="0"/>
                  <w:vAlign w:val="center"/>
                </w:tcPr>
                <w:p>
                  <w:pPr>
                    <w:pStyle w:val="27"/>
                    <w:wordWrap w:val="0"/>
                    <w:adjustRightInd w:val="0"/>
                    <w:snapToGrid w:val="0"/>
                    <w:spacing w:line="240" w:lineRule="auto"/>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危废暂存间（建筑面积不小于</w:t>
                  </w:r>
                  <w:r>
                    <w:rPr>
                      <w:rFonts w:hint="default" w:ascii="Times New Roman" w:hAnsi="Times New Roman" w:eastAsia="宋体" w:cs="Times New Roman"/>
                      <w:b w:val="0"/>
                      <w:bCs w:val="0"/>
                      <w:color w:val="auto"/>
                      <w:sz w:val="21"/>
                      <w:szCs w:val="21"/>
                      <w:u w:val="none"/>
                      <w:lang w:val="en-US" w:eastAsia="zh-CN"/>
                    </w:rPr>
                    <w:t>5</w:t>
                  </w:r>
                  <w:r>
                    <w:rPr>
                      <w:rFonts w:hint="default" w:ascii="Times New Roman" w:hAnsi="Times New Roman" w:eastAsia="宋体" w:cs="Times New Roman"/>
                      <w:b w:val="0"/>
                      <w:bCs w:val="0"/>
                      <w:color w:val="auto"/>
                      <w:sz w:val="21"/>
                      <w:szCs w:val="21"/>
                      <w:u w:val="none"/>
                    </w:rPr>
                    <w:t>m</w:t>
                  </w:r>
                  <w:r>
                    <w:rPr>
                      <w:rFonts w:hint="default" w:ascii="Times New Roman" w:hAnsi="Times New Roman" w:eastAsia="宋体" w:cs="Times New Roman"/>
                      <w:b w:val="0"/>
                      <w:bCs w:val="0"/>
                      <w:color w:val="auto"/>
                      <w:sz w:val="21"/>
                      <w:szCs w:val="21"/>
                      <w:u w:val="none"/>
                      <w:vertAlign w:val="superscript"/>
                    </w:rPr>
                    <w:t>2</w:t>
                  </w:r>
                  <w:r>
                    <w:rPr>
                      <w:rFonts w:hint="default" w:ascii="Times New Roman" w:hAnsi="Times New Roman" w:eastAsia="宋体" w:cs="Times New Roman"/>
                      <w:b w:val="0"/>
                      <w:bCs w:val="0"/>
                      <w:color w:val="auto"/>
                      <w:sz w:val="21"/>
                      <w:szCs w:val="21"/>
                      <w:u w:val="none"/>
                    </w:rPr>
                    <w:t>）</w:t>
                  </w:r>
                  <w:r>
                    <w:rPr>
                      <w:rFonts w:hint="default" w:ascii="Times New Roman" w:hAnsi="Times New Roman" w:eastAsia="宋体" w:cs="Times New Roman"/>
                      <w:b w:val="0"/>
                      <w:bCs w:val="0"/>
                      <w:color w:val="auto"/>
                      <w:sz w:val="21"/>
                      <w:szCs w:val="21"/>
                      <w:u w:val="none"/>
                      <w:lang w:eastAsia="zh-CN"/>
                    </w:rPr>
                    <w:t>，做好防渗防漏措施</w:t>
                  </w:r>
                </w:p>
              </w:tc>
              <w:tc>
                <w:tcPr>
                  <w:tcW w:w="2482" w:type="dxa"/>
                  <w:tcBorders>
                    <w:tl2br w:val="nil"/>
                    <w:tr2bl w:val="nil"/>
                  </w:tcBorders>
                  <w:noWrap w:val="0"/>
                  <w:vAlign w:val="center"/>
                </w:tcPr>
                <w:p>
                  <w:pPr>
                    <w:pStyle w:val="9"/>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《危险废物贮存污染控制标准》（GB18597-2001）及2013年修改单要求</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rFonts w:hint="eastAsia" w:eastAsia="宋体"/>
                <w:b/>
                <w:bCs/>
                <w:color w:val="auto"/>
                <w:sz w:val="24"/>
                <w:lang w:val="en-US" w:eastAsia="zh-CN"/>
              </w:rPr>
            </w:pPr>
            <w:r>
              <w:rPr>
                <w:rFonts w:hint="eastAsia" w:hAnsi="宋体"/>
                <w:b/>
                <w:snapToGrid w:val="0"/>
                <w:color w:val="auto"/>
                <w:sz w:val="24"/>
                <w:lang w:eastAsia="zh-CN"/>
              </w:rPr>
              <w:t>（</w:t>
            </w:r>
            <w:r>
              <w:rPr>
                <w:rFonts w:hint="eastAsia" w:hAnsi="宋体"/>
                <w:b/>
                <w:snapToGrid w:val="0"/>
                <w:color w:val="auto"/>
                <w:sz w:val="24"/>
              </w:rPr>
              <w:t>八</w:t>
            </w:r>
            <w:r>
              <w:rPr>
                <w:rFonts w:hint="eastAsia" w:hAnsi="宋体"/>
                <w:b/>
                <w:snapToGrid w:val="0"/>
                <w:color w:val="auto"/>
                <w:sz w:val="24"/>
                <w:lang w:eastAsia="zh-CN"/>
              </w:rPr>
              <w:t>）</w:t>
            </w:r>
            <w:r>
              <w:rPr>
                <w:rFonts w:hint="eastAsia" w:eastAsia="宋体"/>
                <w:b/>
                <w:bCs/>
                <w:color w:val="auto"/>
                <w:sz w:val="24"/>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color w:val="auto"/>
                <w:sz w:val="24"/>
                <w:lang w:val="en-US" w:eastAsia="zh-CN"/>
              </w:rPr>
            </w:pPr>
            <w:r>
              <w:rPr>
                <w:rFonts w:hint="eastAsia" w:eastAsia="宋体"/>
                <w:b w:val="0"/>
                <w:bCs w:val="0"/>
                <w:color w:val="auto"/>
                <w:sz w:val="24"/>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color w:val="auto"/>
                <w:sz w:val="24"/>
                <w:lang w:val="en-US" w:eastAsia="zh-CN"/>
              </w:rPr>
            </w:pPr>
            <w:r>
              <w:rPr>
                <w:rFonts w:hint="eastAsia" w:eastAsia="宋体"/>
                <w:b w:val="0"/>
                <w:bCs w:val="0"/>
                <w:color w:val="auto"/>
                <w:sz w:val="24"/>
                <w:lang w:val="en-US" w:eastAsia="zh-CN"/>
              </w:rPr>
              <w:t>环境管理的基本任务有二：一是控制污染物的排放量；二是避免污染物排放对环境质量的损害。为了控制污染物的排放，就需要加强管理，把环境管理渗透到整个项目管理中，以减少各环节排出的污染物。为了做好生产全过程的环境保护工作，减轻本项目外排污染物对环境的影响程度，建设单位应高度重视环境保护工作，建议设立一个</w:t>
            </w:r>
            <w:r>
              <w:rPr>
                <w:rFonts w:hint="default" w:ascii="Times New Roman" w:hAnsi="Times New Roman" w:eastAsia="宋体" w:cs="Times New Roman"/>
                <w:b w:val="0"/>
                <w:bCs w:val="0"/>
                <w:color w:val="auto"/>
                <w:sz w:val="24"/>
                <w:lang w:val="en-US" w:eastAsia="zh-CN"/>
              </w:rPr>
              <w:t>由 1~2 名专职环</w:t>
            </w:r>
            <w:r>
              <w:rPr>
                <w:rFonts w:hint="eastAsia" w:eastAsia="宋体"/>
                <w:b w:val="0"/>
                <w:bCs w:val="0"/>
                <w:color w:val="auto"/>
                <w:sz w:val="24"/>
                <w:lang w:val="en-US" w:eastAsia="zh-CN"/>
              </w:rPr>
              <w:t>保管理人员组成的环境保护管理机构，负责环境监督管理工作，同时要加强对管理人员的环保培训，不断提高管理水平。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val="0"/>
                <w:bCs w:val="0"/>
                <w:color w:val="auto"/>
                <w:sz w:val="24"/>
                <w:lang w:val="en-US" w:eastAsia="zh-CN"/>
              </w:rPr>
            </w:pPr>
            <w:r>
              <w:rPr>
                <w:rFonts w:hint="eastAsia" w:eastAsia="宋体"/>
                <w:b w:val="0"/>
                <w:bCs w:val="0"/>
                <w:color w:val="auto"/>
                <w:sz w:val="24"/>
                <w:lang w:val="en-US" w:eastAsia="zh-CN"/>
              </w:rPr>
              <w:t>企业应建立完善环境管理制度，主要设立报告制度，污染治理设施的管理、监控制度，环保奖惩制度。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（2）监测计划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项目的环境监测计划主要为污染源监测计划，建设单位应定期委托有相关的资质的单位进行监测。污染源监测计划如下：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fldChar w:fldCharType="begin"/>
            </w:r>
            <w:r>
              <w:rPr>
                <w:rFonts w:hint="default" w:ascii="Times New Roman" w:hAnsi="Times New Roman" w:eastAsia="宋体" w:cs="Times New Roman"/>
                <w:b w:val="0"/>
                <w:bCs w:val="0"/>
                <w:color w:val="auto"/>
                <w:sz w:val="24"/>
                <w:lang w:val="en-US" w:eastAsia="zh-CN"/>
              </w:rPr>
              <w:instrText xml:space="preserve"> = 1 \* GB3 \* MERGEFORMAT </w:instrText>
            </w:r>
            <w:r>
              <w:rPr>
                <w:rFonts w:hint="default" w:ascii="Times New Roman" w:hAnsi="Times New Roman" w:eastAsia="宋体" w:cs="Times New Roman"/>
                <w:b w:val="0"/>
                <w:bCs w:val="0"/>
                <w:color w:val="auto"/>
                <w:sz w:val="24"/>
                <w:lang w:val="en-US" w:eastAsia="zh-CN"/>
              </w:rPr>
              <w:fldChar w:fldCharType="separate"/>
            </w:r>
            <w:r>
              <w:rPr>
                <w:rFonts w:hint="default" w:ascii="Times New Roman" w:hAnsi="Times New Roman" w:cs="Times New Roman"/>
                <w:color w:val="auto"/>
              </w:rPr>
              <w:t>①</w:t>
            </w:r>
            <w:r>
              <w:rPr>
                <w:rFonts w:hint="default" w:ascii="Times New Roman" w:hAnsi="Times New Roman" w:eastAsia="宋体" w:cs="Times New Roman"/>
                <w:b w:val="0"/>
                <w:bCs w:val="0"/>
                <w:color w:val="auto"/>
                <w:sz w:val="24"/>
                <w:lang w:val="en-US" w:eastAsia="zh-CN"/>
              </w:rPr>
              <w:fldChar w:fldCharType="end"/>
            </w:r>
            <w:r>
              <w:rPr>
                <w:rFonts w:hint="default" w:ascii="Times New Roman" w:hAnsi="Times New Roman" w:eastAsia="宋体" w:cs="Times New Roman"/>
                <w:b w:val="0"/>
                <w:bCs w:val="0"/>
                <w:color w:val="auto"/>
                <w:sz w:val="24"/>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eastAsia" w:eastAsia="宋体"/>
                <w:b w:val="0"/>
                <w:bCs w:val="0"/>
                <w:color w:val="auto"/>
                <w:sz w:val="24"/>
                <w:lang w:val="en-US" w:eastAsia="zh-CN"/>
              </w:rPr>
              <w:t>本项目噪声监测点位、指标、监测频次见</w:t>
            </w:r>
            <w:r>
              <w:rPr>
                <w:rFonts w:hint="default" w:ascii="Times New Roman" w:hAnsi="Times New Roman" w:eastAsia="宋体" w:cs="Times New Roman"/>
                <w:b w:val="0"/>
                <w:bCs w:val="0"/>
                <w:color w:val="auto"/>
                <w:sz w:val="24"/>
                <w:lang w:val="en-US" w:eastAsia="zh-CN"/>
              </w:rPr>
              <w:t>表</w:t>
            </w:r>
            <w:r>
              <w:rPr>
                <w:rFonts w:hint="eastAsia" w:cs="Times New Roman"/>
                <w:b w:val="0"/>
                <w:bCs w:val="0"/>
                <w:color w:val="auto"/>
                <w:sz w:val="24"/>
                <w:lang w:val="en-US" w:eastAsia="zh-CN"/>
              </w:rPr>
              <w:t>26</w:t>
            </w:r>
            <w:r>
              <w:rPr>
                <w:rFonts w:hint="default" w:ascii="Times New Roman" w:hAnsi="Times New Roman" w:eastAsia="宋体" w:cs="Times New Roman"/>
                <w:b w:val="0"/>
                <w:bCs w:val="0"/>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eastAsia" w:eastAsia="宋体"/>
                <w:b w:val="0"/>
                <w:bCs w:val="0"/>
                <w:color w:val="auto"/>
                <w:sz w:val="24"/>
                <w:lang w:val="en-US" w:eastAsia="zh-CN"/>
              </w:rPr>
            </w:pPr>
            <w:r>
              <w:rPr>
                <w:rFonts w:hint="default" w:ascii="Times New Roman" w:hAnsi="Times New Roman" w:eastAsia="宋体" w:cs="Times New Roman"/>
                <w:b w:val="0"/>
                <w:bCs w:val="0"/>
                <w:color w:val="auto"/>
                <w:sz w:val="24"/>
                <w:lang w:val="en-US" w:eastAsia="zh-CN"/>
              </w:rPr>
              <w:t>表</w:t>
            </w:r>
            <w:r>
              <w:rPr>
                <w:rFonts w:hint="eastAsia" w:cs="Times New Roman"/>
                <w:b w:val="0"/>
                <w:bCs w:val="0"/>
                <w:color w:val="auto"/>
                <w:sz w:val="24"/>
                <w:lang w:val="en-US" w:eastAsia="zh-CN"/>
              </w:rPr>
              <w:t>26</w:t>
            </w:r>
            <w:r>
              <w:rPr>
                <w:rFonts w:hint="default" w:ascii="Times New Roman" w:hAnsi="Times New Roman" w:eastAsia="宋体" w:cs="Times New Roman"/>
                <w:b w:val="0"/>
                <w:bCs w:val="0"/>
                <w:color w:val="auto"/>
                <w:sz w:val="24"/>
                <w:lang w:val="en-US" w:eastAsia="zh-CN"/>
              </w:rPr>
              <w:t xml:space="preserve">      项目噪声监测</w:t>
            </w:r>
            <w:r>
              <w:rPr>
                <w:rFonts w:hint="eastAsia" w:eastAsia="宋体"/>
                <w:b w:val="0"/>
                <w:bCs w:val="0"/>
                <w:color w:val="auto"/>
                <w:sz w:val="24"/>
                <w:lang w:val="en-US" w:eastAsia="zh-CN"/>
              </w:rPr>
              <w:t>方案</w:t>
            </w:r>
          </w:p>
          <w:tbl>
            <w:tblPr>
              <w:tblStyle w:val="16"/>
              <w:tblW w:w="856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887"/>
              <w:gridCol w:w="1127"/>
              <w:gridCol w:w="1320"/>
              <w:gridCol w:w="1260"/>
              <w:gridCol w:w="296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08" w:hRule="atLeast"/>
              </w:trPr>
              <w:tc>
                <w:tcPr>
                  <w:tcW w:w="18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监测点</w:t>
                  </w:r>
                </w:p>
              </w:tc>
              <w:tc>
                <w:tcPr>
                  <w:tcW w:w="112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监测指标</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监测频次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973" w:hRule="atLeast"/>
              </w:trPr>
              <w:tc>
                <w:tcPr>
                  <w:tcW w:w="18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北各布设 1 个监测点</w:t>
                  </w:r>
                </w:p>
              </w:tc>
              <w:tc>
                <w:tcPr>
                  <w:tcW w:w="112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昼间噪声</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等效A声级</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每个季度一次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 xml:space="preserve">《工业企业厂界环境噪声排放限值》（GB12348-2008）中的 </w:t>
                  </w:r>
                  <w:r>
                    <w:rPr>
                      <w:rFonts w:hint="eastAsia" w:cs="Times New Roman"/>
                      <w:color w:val="auto"/>
                      <w:sz w:val="21"/>
                      <w:szCs w:val="21"/>
                      <w:vertAlign w:val="baseline"/>
                      <w:lang w:val="en-US" w:eastAsia="zh-CN"/>
                    </w:rPr>
                    <w:t>2</w:t>
                  </w:r>
                  <w:r>
                    <w:rPr>
                      <w:rFonts w:hint="eastAsia" w:ascii="Times New Roman" w:hAnsi="Times New Roman" w:eastAsia="宋体" w:cs="Times New Roman"/>
                      <w:color w:val="auto"/>
                      <w:sz w:val="21"/>
                      <w:szCs w:val="21"/>
                      <w:vertAlign w:val="baseline"/>
                      <w:lang w:val="en-US" w:eastAsia="zh-CN"/>
                    </w:rPr>
                    <w:t>类标准</w:t>
                  </w:r>
                </w:p>
              </w:tc>
            </w:tr>
          </w:tbl>
          <w:p>
            <w:pPr>
              <w:spacing w:line="360" w:lineRule="auto"/>
              <w:ind w:firstLine="480" w:firstLineChars="200"/>
              <w:rPr>
                <w:rFonts w:hint="eastAsia" w:eastAsia="宋体"/>
                <w:b w:val="0"/>
                <w:bCs w:val="0"/>
                <w:color w:val="auto"/>
                <w:sz w:val="24"/>
                <w:u w:val="none"/>
                <w:lang w:val="en-US" w:eastAsia="zh-CN"/>
              </w:rPr>
            </w:pPr>
            <w:r>
              <w:rPr>
                <w:rFonts w:hint="eastAsia"/>
                <w:b w:val="0"/>
                <w:bCs w:val="0"/>
                <w:color w:val="auto"/>
                <w:sz w:val="24"/>
                <w:u w:val="none"/>
                <w:lang w:val="en-US" w:eastAsia="zh-CN"/>
              </w:rPr>
              <w:t>根据《排污单位自行监测技术指南 总则》(HJ 819-2017) “5.4.2 监测频次 厂界环境噪声每季度至少开展一次监测，夜间生产的要监测夜间噪声。”本项目监测指标为昼间噪声，监测频次为每个季度一次。</w:t>
            </w: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ind w:firstLine="480" w:firstLineChars="200"/>
              <w:rPr>
                <w:rFonts w:hint="eastAsia" w:eastAsia="宋体"/>
                <w:b w:val="0"/>
                <w:bCs w:val="0"/>
                <w:color w:val="auto"/>
                <w:sz w:val="24"/>
                <w:u w:val="none"/>
                <w:lang w:val="en-US" w:eastAsia="zh-CN"/>
              </w:rPr>
            </w:pPr>
          </w:p>
          <w:p>
            <w:pPr>
              <w:spacing w:line="360" w:lineRule="auto"/>
              <w:rPr>
                <w:rFonts w:hint="eastAsia" w:eastAsia="宋体"/>
                <w:color w:val="auto"/>
                <w:sz w:val="24"/>
                <w:lang w:eastAsia="zh-CN"/>
              </w:rPr>
            </w:pPr>
          </w:p>
        </w:tc>
      </w:tr>
    </w:tbl>
    <w:p>
      <w:pPr>
        <w:rPr>
          <w:rFonts w:hint="eastAsia" w:ascii="宋体" w:hAnsi="宋体" w:eastAsia="宋体" w:cs="宋体"/>
          <w:b/>
          <w:color w:val="auto"/>
          <w:sz w:val="28"/>
          <w:szCs w:val="28"/>
        </w:rPr>
        <w:sectPr>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color w:val="auto"/>
          <w:sz w:val="30"/>
          <w:szCs w:val="30"/>
        </w:rPr>
      </w:pPr>
      <w:r>
        <w:rPr>
          <w:rFonts w:hint="eastAsia" w:ascii="宋体" w:hAnsi="宋体" w:eastAsia="宋体" w:cs="宋体"/>
          <w:b/>
          <w:color w:val="auto"/>
          <w:sz w:val="30"/>
          <w:szCs w:val="30"/>
        </w:rPr>
        <w:t>建设项目拟采取的防治措施及预期治理效果</w:t>
      </w:r>
    </w:p>
    <w:tbl>
      <w:tblPr>
        <w:tblStyle w:val="15"/>
        <w:tblpPr w:leftFromText="180" w:rightFromText="180" w:vertAnchor="text" w:tblpXSpec="center" w:tblpY="1"/>
        <w:tblOverlap w:val="never"/>
        <w:tblW w:w="878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8"/>
        <w:gridCol w:w="656"/>
        <w:gridCol w:w="660"/>
        <w:gridCol w:w="1572"/>
        <w:gridCol w:w="3271"/>
        <w:gridCol w:w="16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c>
          <w:tcPr>
            <w:tcW w:w="1008" w:type="dxa"/>
            <w:tcBorders>
              <w:bottom w:val="single" w:color="auto" w:sz="6" w:space="0"/>
              <w:tl2br w:val="single" w:color="auto" w:sz="6" w:space="0"/>
            </w:tcBorders>
            <w:noWrap w:val="0"/>
            <w:vAlign w:val="center"/>
          </w:tcPr>
          <w:p>
            <w:pPr>
              <w:adjustRightInd w:val="0"/>
              <w:snapToGrid w:val="0"/>
              <w:ind w:left="221" w:leftChars="57" w:right="105" w:hanging="101" w:hangingChars="48"/>
              <w:jc w:val="right"/>
              <w:rPr>
                <w:b/>
                <w:bCs/>
                <w:color w:val="auto"/>
                <w:szCs w:val="21"/>
              </w:rPr>
            </w:pPr>
            <w:r>
              <w:rPr>
                <w:b/>
                <w:bCs/>
                <w:color w:val="auto"/>
                <w:szCs w:val="21"/>
              </w:rPr>
              <w:t>内容</w:t>
            </w:r>
          </w:p>
          <w:p>
            <w:pPr>
              <w:adjustRightInd w:val="0"/>
              <w:snapToGrid w:val="0"/>
              <w:ind w:right="105" w:firstLine="103" w:firstLineChars="49"/>
              <w:rPr>
                <w:b/>
                <w:bCs/>
                <w:color w:val="auto"/>
                <w:szCs w:val="21"/>
              </w:rPr>
            </w:pPr>
            <w:r>
              <w:rPr>
                <w:b/>
                <w:bCs/>
                <w:color w:val="auto"/>
                <w:szCs w:val="21"/>
              </w:rPr>
              <w:t>类别</w:t>
            </w:r>
          </w:p>
        </w:tc>
        <w:tc>
          <w:tcPr>
            <w:tcW w:w="1316" w:type="dxa"/>
            <w:gridSpan w:val="2"/>
            <w:noWrap w:val="0"/>
            <w:vAlign w:val="center"/>
          </w:tcPr>
          <w:p>
            <w:pPr>
              <w:adjustRightInd w:val="0"/>
              <w:snapToGrid w:val="0"/>
              <w:jc w:val="center"/>
              <w:rPr>
                <w:b/>
                <w:bCs/>
                <w:color w:val="auto"/>
                <w:szCs w:val="21"/>
              </w:rPr>
            </w:pPr>
            <w:r>
              <w:rPr>
                <w:b/>
                <w:bCs/>
                <w:color w:val="auto"/>
                <w:szCs w:val="21"/>
              </w:rPr>
              <w:t>排放源</w:t>
            </w:r>
          </w:p>
          <w:p>
            <w:pPr>
              <w:adjustRightInd w:val="0"/>
              <w:snapToGrid w:val="0"/>
              <w:jc w:val="center"/>
              <w:rPr>
                <w:b/>
                <w:bCs/>
                <w:color w:val="auto"/>
                <w:szCs w:val="21"/>
              </w:rPr>
            </w:pPr>
            <w:r>
              <w:rPr>
                <w:b/>
                <w:bCs/>
                <w:color w:val="auto"/>
                <w:szCs w:val="21"/>
              </w:rPr>
              <w:t>（编号）</w:t>
            </w:r>
          </w:p>
        </w:tc>
        <w:tc>
          <w:tcPr>
            <w:tcW w:w="1572" w:type="dxa"/>
            <w:noWrap w:val="0"/>
            <w:vAlign w:val="center"/>
          </w:tcPr>
          <w:p>
            <w:pPr>
              <w:adjustRightInd w:val="0"/>
              <w:snapToGrid w:val="0"/>
              <w:jc w:val="center"/>
              <w:rPr>
                <w:b/>
                <w:bCs/>
                <w:color w:val="auto"/>
                <w:szCs w:val="21"/>
              </w:rPr>
            </w:pPr>
            <w:r>
              <w:rPr>
                <w:b/>
                <w:bCs/>
                <w:color w:val="auto"/>
                <w:szCs w:val="21"/>
              </w:rPr>
              <w:t>污染物</w:t>
            </w:r>
          </w:p>
          <w:p>
            <w:pPr>
              <w:adjustRightInd w:val="0"/>
              <w:snapToGrid w:val="0"/>
              <w:jc w:val="center"/>
              <w:rPr>
                <w:b/>
                <w:bCs/>
                <w:color w:val="auto"/>
                <w:szCs w:val="21"/>
              </w:rPr>
            </w:pPr>
            <w:r>
              <w:rPr>
                <w:b/>
                <w:bCs/>
                <w:color w:val="auto"/>
                <w:szCs w:val="21"/>
              </w:rPr>
              <w:t>名称</w:t>
            </w:r>
          </w:p>
        </w:tc>
        <w:tc>
          <w:tcPr>
            <w:tcW w:w="3271" w:type="dxa"/>
            <w:tcBorders>
              <w:right w:val="single" w:color="auto" w:sz="4" w:space="0"/>
            </w:tcBorders>
            <w:noWrap w:val="0"/>
            <w:vAlign w:val="center"/>
          </w:tcPr>
          <w:p>
            <w:pPr>
              <w:adjustRightInd w:val="0"/>
              <w:snapToGrid w:val="0"/>
              <w:jc w:val="center"/>
              <w:rPr>
                <w:b/>
                <w:bCs/>
                <w:color w:val="auto"/>
                <w:szCs w:val="21"/>
              </w:rPr>
            </w:pPr>
            <w:r>
              <w:rPr>
                <w:b/>
                <w:bCs/>
                <w:color w:val="auto"/>
                <w:szCs w:val="21"/>
              </w:rPr>
              <w:t>防治措施</w:t>
            </w:r>
          </w:p>
        </w:tc>
        <w:tc>
          <w:tcPr>
            <w:tcW w:w="1621" w:type="dxa"/>
            <w:tcBorders>
              <w:left w:val="single" w:color="auto" w:sz="4" w:space="0"/>
            </w:tcBorders>
            <w:noWrap w:val="0"/>
            <w:vAlign w:val="center"/>
          </w:tcPr>
          <w:p>
            <w:pPr>
              <w:adjustRightInd w:val="0"/>
              <w:snapToGrid w:val="0"/>
              <w:jc w:val="center"/>
              <w:rPr>
                <w:b/>
                <w:bCs/>
                <w:color w:val="auto"/>
                <w:szCs w:val="21"/>
              </w:rPr>
            </w:pPr>
            <w:r>
              <w:rPr>
                <w:b/>
                <w:bCs/>
                <w:color w:val="auto"/>
                <w:szCs w:val="21"/>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noWrap w:val="0"/>
            <w:vAlign w:val="center"/>
          </w:tcPr>
          <w:p>
            <w:pPr>
              <w:adjustRightInd w:val="0"/>
              <w:snapToGrid w:val="0"/>
              <w:ind w:firstLine="413" w:firstLineChars="196"/>
              <w:jc w:val="both"/>
              <w:rPr>
                <w:b/>
                <w:bCs/>
                <w:color w:val="auto"/>
                <w:szCs w:val="21"/>
              </w:rPr>
            </w:pPr>
            <w:r>
              <w:rPr>
                <w:b/>
                <w:bCs/>
                <w:color w:val="auto"/>
                <w:szCs w:val="21"/>
              </w:rPr>
              <w:t>水</w:t>
            </w:r>
          </w:p>
          <w:p>
            <w:pPr>
              <w:adjustRightInd w:val="0"/>
              <w:snapToGrid w:val="0"/>
              <w:ind w:firstLine="413" w:firstLineChars="196"/>
              <w:jc w:val="both"/>
              <w:rPr>
                <w:b/>
                <w:bCs/>
                <w:color w:val="auto"/>
                <w:szCs w:val="21"/>
              </w:rPr>
            </w:pPr>
            <w:r>
              <w:rPr>
                <w:b/>
                <w:bCs/>
                <w:color w:val="auto"/>
                <w:szCs w:val="21"/>
              </w:rPr>
              <w:t>污</w:t>
            </w:r>
          </w:p>
          <w:p>
            <w:pPr>
              <w:adjustRightInd w:val="0"/>
              <w:snapToGrid w:val="0"/>
              <w:ind w:firstLine="413" w:firstLineChars="196"/>
              <w:jc w:val="both"/>
              <w:rPr>
                <w:b/>
                <w:bCs/>
                <w:color w:val="auto"/>
                <w:szCs w:val="21"/>
              </w:rPr>
            </w:pPr>
            <w:r>
              <w:rPr>
                <w:b/>
                <w:bCs/>
                <w:color w:val="auto"/>
                <w:szCs w:val="21"/>
              </w:rPr>
              <w:t>染</w:t>
            </w:r>
          </w:p>
          <w:p>
            <w:pPr>
              <w:adjustRightInd w:val="0"/>
              <w:snapToGrid w:val="0"/>
              <w:ind w:firstLine="413" w:firstLineChars="196"/>
              <w:jc w:val="both"/>
              <w:rPr>
                <w:b/>
                <w:bCs/>
                <w:color w:val="auto"/>
                <w:szCs w:val="21"/>
              </w:rPr>
            </w:pPr>
            <w:r>
              <w:rPr>
                <w:b/>
                <w:bCs/>
                <w:color w:val="auto"/>
                <w:szCs w:val="21"/>
              </w:rPr>
              <w:t>物</w:t>
            </w:r>
          </w:p>
        </w:tc>
        <w:tc>
          <w:tcPr>
            <w:tcW w:w="1316" w:type="dxa"/>
            <w:gridSpan w:val="2"/>
            <w:noWrap w:val="0"/>
            <w:vAlign w:val="center"/>
          </w:tcPr>
          <w:p>
            <w:pPr>
              <w:adjustRightInd w:val="0"/>
              <w:snapToGrid w:val="0"/>
              <w:spacing w:line="240" w:lineRule="exact"/>
              <w:jc w:val="center"/>
              <w:rPr>
                <w:color w:val="auto"/>
                <w:szCs w:val="21"/>
              </w:rPr>
            </w:pPr>
          </w:p>
          <w:p>
            <w:pPr>
              <w:adjustRightInd w:val="0"/>
              <w:snapToGrid w:val="0"/>
              <w:spacing w:line="240" w:lineRule="exact"/>
              <w:jc w:val="center"/>
              <w:rPr>
                <w:color w:val="auto"/>
                <w:szCs w:val="21"/>
              </w:rPr>
            </w:pPr>
            <w:r>
              <w:rPr>
                <w:color w:val="auto"/>
                <w:szCs w:val="21"/>
              </w:rPr>
              <w:t>生活污水</w:t>
            </w:r>
          </w:p>
          <w:p>
            <w:pPr>
              <w:spacing w:line="240" w:lineRule="exact"/>
              <w:jc w:val="center"/>
              <w:rPr>
                <w:color w:val="auto"/>
                <w:szCs w:val="21"/>
              </w:rPr>
            </w:pPr>
          </w:p>
        </w:tc>
        <w:tc>
          <w:tcPr>
            <w:tcW w:w="1572" w:type="dxa"/>
            <w:noWrap w:val="0"/>
            <w:vAlign w:val="center"/>
          </w:tcPr>
          <w:p>
            <w:pPr>
              <w:pStyle w:val="28"/>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COD、</w:t>
            </w:r>
          </w:p>
          <w:p>
            <w:pPr>
              <w:pStyle w:val="28"/>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p>
            <w:pPr>
              <w:pStyle w:val="28"/>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SS、</w:t>
            </w:r>
          </w:p>
          <w:p>
            <w:pPr>
              <w:pStyle w:val="28"/>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r>
              <w:rPr>
                <w:rFonts w:hint="default" w:ascii="Times New Roman" w:hAnsi="Times New Roman" w:cs="Times New Roman"/>
                <w:color w:val="auto"/>
                <w:sz w:val="21"/>
                <w:szCs w:val="21"/>
                <w:lang w:val="en-US" w:eastAsia="zh-CN"/>
              </w:rPr>
              <w:t>、</w:t>
            </w:r>
          </w:p>
          <w:p>
            <w:pPr>
              <w:spacing w:line="240" w:lineRule="exact"/>
              <w:jc w:val="center"/>
              <w:rPr>
                <w:color w:val="auto"/>
                <w:szCs w:val="21"/>
              </w:rPr>
            </w:pPr>
            <w:r>
              <w:rPr>
                <w:rFonts w:hint="default" w:ascii="Times New Roman" w:hAnsi="Times New Roman" w:cs="Times New Roman"/>
                <w:color w:val="auto"/>
                <w:sz w:val="21"/>
                <w:szCs w:val="21"/>
                <w:lang w:val="en-US" w:eastAsia="zh-CN"/>
              </w:rPr>
              <w:t>TP</w:t>
            </w:r>
          </w:p>
        </w:tc>
        <w:tc>
          <w:tcPr>
            <w:tcW w:w="3271" w:type="dxa"/>
            <w:tcBorders>
              <w:top w:val="single" w:color="auto" w:sz="4" w:space="0"/>
            </w:tcBorders>
            <w:noWrap w:val="0"/>
            <w:vAlign w:val="center"/>
          </w:tcPr>
          <w:p>
            <w:pPr>
              <w:spacing w:line="240" w:lineRule="exact"/>
              <w:jc w:val="center"/>
              <w:rPr>
                <w:color w:val="auto"/>
                <w:szCs w:val="21"/>
              </w:rPr>
            </w:pPr>
            <w:r>
              <w:rPr>
                <w:color w:val="auto"/>
                <w:szCs w:val="21"/>
              </w:rPr>
              <w:t>经</w:t>
            </w:r>
            <w:r>
              <w:rPr>
                <w:rFonts w:hint="default" w:ascii="Times New Roman" w:hAnsi="Times New Roman" w:cs="Times New Roman"/>
                <w:color w:val="auto"/>
                <w:szCs w:val="21"/>
              </w:rPr>
              <w:t>化粪池（容积不小于</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）处理后，定期清运不</w:t>
            </w:r>
            <w:r>
              <w:rPr>
                <w:color w:val="auto"/>
                <w:szCs w:val="21"/>
              </w:rPr>
              <w:t>外排</w:t>
            </w:r>
          </w:p>
        </w:tc>
        <w:tc>
          <w:tcPr>
            <w:tcW w:w="1621" w:type="dxa"/>
            <w:tcBorders>
              <w:top w:val="single" w:color="auto" w:sz="4" w:space="0"/>
            </w:tcBorders>
            <w:noWrap w:val="0"/>
            <w:vAlign w:val="center"/>
          </w:tcPr>
          <w:p>
            <w:pPr>
              <w:adjustRightInd w:val="0"/>
              <w:snapToGrid w:val="0"/>
              <w:spacing w:line="240" w:lineRule="exact"/>
              <w:jc w:val="center"/>
              <w:rPr>
                <w:rFonts w:hint="eastAsia" w:eastAsia="宋体"/>
                <w:color w:val="auto"/>
                <w:szCs w:val="21"/>
                <w:lang w:eastAsia="zh-CN"/>
              </w:rPr>
            </w:pPr>
            <w:r>
              <w:rPr>
                <w:rFonts w:hint="eastAsia"/>
                <w:color w:val="auto"/>
                <w:szCs w:val="21"/>
                <w:lang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vMerge w:val="restart"/>
            <w:noWrap w:val="0"/>
            <w:tcMar>
              <w:left w:w="0" w:type="dxa"/>
              <w:right w:w="0" w:type="dxa"/>
            </w:tcMar>
            <w:vAlign w:val="center"/>
          </w:tcPr>
          <w:p>
            <w:pPr>
              <w:adjustRightInd w:val="0"/>
              <w:snapToGrid w:val="0"/>
              <w:jc w:val="center"/>
              <w:rPr>
                <w:b/>
                <w:bCs/>
                <w:color w:val="auto"/>
                <w:w w:val="95"/>
                <w:szCs w:val="21"/>
              </w:rPr>
            </w:pPr>
            <w:r>
              <w:rPr>
                <w:b/>
                <w:bCs/>
                <w:color w:val="auto"/>
                <w:w w:val="95"/>
                <w:szCs w:val="21"/>
              </w:rPr>
              <w:t>固</w:t>
            </w:r>
          </w:p>
          <w:p>
            <w:pPr>
              <w:adjustRightInd w:val="0"/>
              <w:snapToGrid w:val="0"/>
              <w:jc w:val="center"/>
              <w:rPr>
                <w:b/>
                <w:bCs/>
                <w:color w:val="auto"/>
                <w:w w:val="95"/>
                <w:szCs w:val="21"/>
              </w:rPr>
            </w:pPr>
            <w:r>
              <w:rPr>
                <w:b/>
                <w:bCs/>
                <w:color w:val="auto"/>
                <w:w w:val="95"/>
                <w:szCs w:val="21"/>
              </w:rPr>
              <w:t>体</w:t>
            </w:r>
          </w:p>
          <w:p>
            <w:pPr>
              <w:adjustRightInd w:val="0"/>
              <w:snapToGrid w:val="0"/>
              <w:jc w:val="center"/>
              <w:rPr>
                <w:b/>
                <w:bCs/>
                <w:color w:val="auto"/>
                <w:w w:val="95"/>
                <w:szCs w:val="21"/>
              </w:rPr>
            </w:pPr>
            <w:r>
              <w:rPr>
                <w:b/>
                <w:bCs/>
                <w:color w:val="auto"/>
                <w:w w:val="95"/>
                <w:szCs w:val="21"/>
              </w:rPr>
              <w:t>废</w:t>
            </w:r>
          </w:p>
          <w:p>
            <w:pPr>
              <w:adjustRightInd w:val="0"/>
              <w:snapToGrid w:val="0"/>
              <w:jc w:val="center"/>
              <w:rPr>
                <w:b/>
                <w:bCs/>
                <w:color w:val="auto"/>
                <w:w w:val="95"/>
                <w:szCs w:val="21"/>
              </w:rPr>
            </w:pPr>
            <w:r>
              <w:rPr>
                <w:b/>
                <w:bCs/>
                <w:color w:val="auto"/>
                <w:w w:val="95"/>
                <w:szCs w:val="21"/>
              </w:rPr>
              <w:t>物</w:t>
            </w:r>
          </w:p>
        </w:tc>
        <w:tc>
          <w:tcPr>
            <w:tcW w:w="656" w:type="dxa"/>
            <w:vMerge w:val="restart"/>
            <w:tcBorders>
              <w:right w:val="single" w:color="auto" w:sz="4" w:space="0"/>
            </w:tcBorders>
            <w:noWrap w:val="0"/>
            <w:vAlign w:val="center"/>
          </w:tcPr>
          <w:p>
            <w:pPr>
              <w:jc w:val="center"/>
              <w:rPr>
                <w:rFonts w:hint="eastAsia" w:eastAsia="宋体"/>
                <w:color w:val="auto"/>
                <w:szCs w:val="21"/>
                <w:highlight w:val="green"/>
                <w:lang w:eastAsia="zh-CN"/>
              </w:rPr>
            </w:pPr>
            <w:r>
              <w:rPr>
                <w:rFonts w:hint="eastAsia" w:eastAsia="宋体"/>
                <w:color w:val="auto"/>
                <w:szCs w:val="21"/>
                <w:highlight w:val="none"/>
                <w:lang w:eastAsia="zh-CN"/>
              </w:rPr>
              <w:t>一般固废</w:t>
            </w:r>
          </w:p>
        </w:tc>
        <w:tc>
          <w:tcPr>
            <w:tcW w:w="660" w:type="dxa"/>
            <w:tcBorders>
              <w:left w:val="single" w:color="auto" w:sz="4" w:space="0"/>
            </w:tcBorders>
            <w:noWrap w:val="0"/>
            <w:vAlign w:val="center"/>
          </w:tcPr>
          <w:p>
            <w:pPr>
              <w:jc w:val="center"/>
              <w:rPr>
                <w:rFonts w:hint="eastAsia"/>
                <w:color w:val="auto"/>
                <w:szCs w:val="21"/>
                <w:highlight w:val="none"/>
                <w:lang w:eastAsia="zh-CN"/>
              </w:rPr>
            </w:pPr>
            <w:r>
              <w:rPr>
                <w:rFonts w:hint="eastAsia"/>
                <w:color w:val="auto"/>
                <w:szCs w:val="21"/>
                <w:highlight w:val="none"/>
                <w:lang w:eastAsia="zh-CN"/>
              </w:rPr>
              <w:t>生产环节</w:t>
            </w:r>
          </w:p>
        </w:tc>
        <w:tc>
          <w:tcPr>
            <w:tcW w:w="1572" w:type="dxa"/>
            <w:tcBorders>
              <w:bottom w:val="single" w:color="auto" w:sz="4" w:space="0"/>
            </w:tcBorders>
            <w:noWrap w:val="0"/>
            <w:vAlign w:val="center"/>
          </w:tcPr>
          <w:p>
            <w:pPr>
              <w:pStyle w:val="20"/>
              <w:adjustRightInd w:val="0"/>
              <w:snapToGrid w:val="0"/>
              <w:jc w:val="center"/>
              <w:rPr>
                <w:color w:val="auto"/>
                <w:sz w:val="21"/>
                <w:szCs w:val="21"/>
                <w:highlight w:val="green"/>
              </w:rPr>
            </w:pPr>
            <w:r>
              <w:rPr>
                <w:rFonts w:hint="eastAsia"/>
                <w:color w:val="auto"/>
                <w:sz w:val="21"/>
                <w:szCs w:val="21"/>
                <w:lang w:eastAsia="zh-CN"/>
              </w:rPr>
              <w:t>金属</w:t>
            </w:r>
            <w:r>
              <w:rPr>
                <w:rFonts w:hint="eastAsia" w:eastAsia="宋体"/>
                <w:color w:val="auto"/>
                <w:sz w:val="21"/>
                <w:szCs w:val="21"/>
                <w:lang w:eastAsia="zh-CN"/>
              </w:rPr>
              <w:t>边角料</w:t>
            </w:r>
          </w:p>
        </w:tc>
        <w:tc>
          <w:tcPr>
            <w:tcW w:w="3271" w:type="dxa"/>
            <w:noWrap w:val="0"/>
            <w:vAlign w:val="center"/>
          </w:tcPr>
          <w:p>
            <w:pPr>
              <w:jc w:val="center"/>
              <w:rPr>
                <w:rFonts w:hint="eastAsia" w:eastAsia="宋体"/>
                <w:color w:val="auto"/>
                <w:szCs w:val="21"/>
                <w:lang w:eastAsia="zh-CN"/>
              </w:rPr>
            </w:pPr>
            <w:r>
              <w:rPr>
                <w:rFonts w:hint="eastAsia" w:eastAsia="宋体"/>
                <w:color w:val="auto"/>
                <w:szCs w:val="21"/>
                <w:lang w:eastAsia="zh-CN"/>
              </w:rPr>
              <w:t>厂区固废暂存间暂存后，外售</w:t>
            </w:r>
          </w:p>
        </w:tc>
        <w:tc>
          <w:tcPr>
            <w:tcW w:w="1621" w:type="dxa"/>
            <w:noWrap w:val="0"/>
            <w:vAlign w:val="center"/>
          </w:tcPr>
          <w:p>
            <w:pPr>
              <w:adjustRightInd w:val="0"/>
              <w:snapToGrid w:val="0"/>
              <w:spacing w:line="240" w:lineRule="exact"/>
              <w:jc w:val="center"/>
              <w:rPr>
                <w:rFonts w:hint="eastAsia" w:eastAsia="宋体"/>
                <w:color w:val="auto"/>
                <w:spacing w:val="-6"/>
                <w:szCs w:val="21"/>
                <w:lang w:eastAsia="zh-CN"/>
              </w:rPr>
            </w:pPr>
            <w:r>
              <w:rPr>
                <w:rFonts w:hint="eastAsia" w:eastAsia="宋体"/>
                <w:color w:val="auto"/>
                <w:spacing w:val="-6"/>
                <w:szCs w:val="21"/>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vMerge w:val="continue"/>
            <w:noWrap w:val="0"/>
            <w:tcMar>
              <w:left w:w="0" w:type="dxa"/>
              <w:right w:w="0" w:type="dxa"/>
            </w:tcMar>
            <w:vAlign w:val="center"/>
          </w:tcPr>
          <w:p>
            <w:pPr>
              <w:adjustRightInd w:val="0"/>
              <w:snapToGrid w:val="0"/>
              <w:jc w:val="center"/>
              <w:rPr>
                <w:b/>
                <w:bCs/>
                <w:color w:val="auto"/>
                <w:w w:val="95"/>
                <w:szCs w:val="21"/>
              </w:rPr>
            </w:pPr>
          </w:p>
        </w:tc>
        <w:tc>
          <w:tcPr>
            <w:tcW w:w="656" w:type="dxa"/>
            <w:vMerge w:val="continue"/>
            <w:tcBorders>
              <w:bottom w:val="single" w:color="auto" w:sz="4" w:space="0"/>
              <w:right w:val="single" w:color="auto" w:sz="4" w:space="0"/>
            </w:tcBorders>
            <w:noWrap w:val="0"/>
            <w:vAlign w:val="center"/>
          </w:tcPr>
          <w:p>
            <w:pPr>
              <w:jc w:val="center"/>
              <w:rPr>
                <w:color w:val="auto"/>
                <w:szCs w:val="21"/>
              </w:rPr>
            </w:pPr>
          </w:p>
        </w:tc>
        <w:tc>
          <w:tcPr>
            <w:tcW w:w="660" w:type="dxa"/>
            <w:tcBorders>
              <w:top w:val="single" w:color="auto" w:sz="4" w:space="0"/>
              <w:left w:val="single" w:color="auto" w:sz="4" w:space="0"/>
              <w:bottom w:val="single" w:color="auto" w:sz="4" w:space="0"/>
            </w:tcBorders>
            <w:noWrap w:val="0"/>
            <w:vAlign w:val="center"/>
          </w:tcPr>
          <w:p>
            <w:pPr>
              <w:jc w:val="center"/>
              <w:rPr>
                <w:color w:val="auto"/>
                <w:szCs w:val="21"/>
              </w:rPr>
            </w:pPr>
            <w:r>
              <w:rPr>
                <w:color w:val="auto"/>
                <w:szCs w:val="21"/>
              </w:rPr>
              <w:t>生活垃圾</w:t>
            </w:r>
          </w:p>
        </w:tc>
        <w:tc>
          <w:tcPr>
            <w:tcW w:w="1572" w:type="dxa"/>
            <w:tcBorders>
              <w:top w:val="single" w:color="auto" w:sz="4" w:space="0"/>
              <w:bottom w:val="single" w:color="auto" w:sz="4" w:space="0"/>
            </w:tcBorders>
            <w:noWrap w:val="0"/>
            <w:vAlign w:val="center"/>
          </w:tcPr>
          <w:p>
            <w:pPr>
              <w:pStyle w:val="20"/>
              <w:adjustRightInd w:val="0"/>
              <w:snapToGrid w:val="0"/>
              <w:jc w:val="center"/>
              <w:rPr>
                <w:color w:val="auto"/>
                <w:szCs w:val="21"/>
              </w:rPr>
            </w:pPr>
            <w:r>
              <w:rPr>
                <w:rFonts w:hint="default" w:ascii="Times New Roman" w:hAnsi="Times New Roman" w:cs="Times New Roman"/>
                <w:bCs/>
                <w:color w:val="auto"/>
                <w:sz w:val="21"/>
                <w:szCs w:val="21"/>
                <w:lang w:eastAsia="zh-CN"/>
              </w:rPr>
              <w:t>生活垃圾</w:t>
            </w:r>
          </w:p>
        </w:tc>
        <w:tc>
          <w:tcPr>
            <w:tcW w:w="3271" w:type="dxa"/>
            <w:vMerge w:val="restart"/>
            <w:noWrap w:val="0"/>
            <w:vAlign w:val="center"/>
          </w:tcPr>
          <w:p>
            <w:pPr>
              <w:adjustRightInd w:val="0"/>
              <w:snapToGrid w:val="0"/>
              <w:jc w:val="center"/>
              <w:rPr>
                <w:snapToGrid w:val="0"/>
                <w:color w:val="auto"/>
                <w:kern w:val="0"/>
                <w:szCs w:val="21"/>
              </w:rPr>
            </w:pPr>
            <w:r>
              <w:rPr>
                <w:snapToGrid w:val="0"/>
                <w:color w:val="auto"/>
                <w:kern w:val="0"/>
                <w:szCs w:val="21"/>
              </w:rPr>
              <w:t>厂内收集后运至垃圾中转站集中处理</w:t>
            </w:r>
          </w:p>
        </w:tc>
        <w:tc>
          <w:tcPr>
            <w:tcW w:w="1621" w:type="dxa"/>
            <w:vMerge w:val="restart"/>
            <w:noWrap w:val="0"/>
            <w:vAlign w:val="center"/>
          </w:tcPr>
          <w:p>
            <w:pPr>
              <w:adjustRightInd w:val="0"/>
              <w:snapToGrid w:val="0"/>
              <w:spacing w:line="240" w:lineRule="exact"/>
              <w:jc w:val="center"/>
              <w:rPr>
                <w:color w:val="auto"/>
                <w:spacing w:val="-6"/>
                <w:szCs w:val="21"/>
              </w:rPr>
            </w:pPr>
            <w:r>
              <w:rPr>
                <w:color w:val="auto"/>
                <w:spacing w:val="-6"/>
                <w:szCs w:val="21"/>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vMerge w:val="continue"/>
            <w:noWrap w:val="0"/>
            <w:tcMar>
              <w:left w:w="0" w:type="dxa"/>
              <w:right w:w="0" w:type="dxa"/>
            </w:tcMar>
            <w:vAlign w:val="center"/>
          </w:tcPr>
          <w:p>
            <w:pPr>
              <w:pStyle w:val="20"/>
              <w:adjustRightInd w:val="0"/>
              <w:snapToGrid w:val="0"/>
              <w:jc w:val="center"/>
              <w:rPr>
                <w:color w:val="auto"/>
              </w:rPr>
            </w:pPr>
          </w:p>
        </w:tc>
        <w:tc>
          <w:tcPr>
            <w:tcW w:w="656" w:type="dxa"/>
            <w:vMerge w:val="restart"/>
            <w:tcBorders>
              <w:top w:val="single" w:color="auto" w:sz="4" w:space="0"/>
              <w:right w:val="single" w:color="auto" w:sz="4" w:space="0"/>
            </w:tcBorders>
            <w:noWrap w:val="0"/>
            <w:vAlign w:val="center"/>
          </w:tcPr>
          <w:p>
            <w:pPr>
              <w:pStyle w:val="20"/>
              <w:adjustRightInd w:val="0"/>
              <w:snapToGrid w:val="0"/>
              <w:jc w:val="center"/>
              <w:rPr>
                <w:rFonts w:hint="eastAsia" w:eastAsia="宋体"/>
                <w:color w:val="auto"/>
                <w:sz w:val="21"/>
                <w:szCs w:val="21"/>
                <w:lang w:eastAsia="zh-CN"/>
              </w:rPr>
            </w:pPr>
            <w:r>
              <w:rPr>
                <w:rFonts w:hint="eastAsia"/>
                <w:color w:val="auto"/>
                <w:sz w:val="21"/>
                <w:szCs w:val="21"/>
                <w:lang w:eastAsia="zh-CN"/>
              </w:rPr>
              <w:t>危险废物</w:t>
            </w:r>
          </w:p>
        </w:tc>
        <w:tc>
          <w:tcPr>
            <w:tcW w:w="660" w:type="dxa"/>
            <w:vMerge w:val="restart"/>
            <w:tcBorders>
              <w:top w:val="single" w:color="auto" w:sz="4" w:space="0"/>
              <w:left w:val="single" w:color="auto" w:sz="4" w:space="0"/>
            </w:tcBorders>
            <w:noWrap w:val="0"/>
            <w:vAlign w:val="center"/>
          </w:tcPr>
          <w:p>
            <w:pPr>
              <w:pStyle w:val="20"/>
              <w:adjustRightInd w:val="0"/>
              <w:snapToGrid w:val="0"/>
              <w:jc w:val="center"/>
              <w:rPr>
                <w:color w:val="auto"/>
              </w:rPr>
            </w:pPr>
            <w:r>
              <w:rPr>
                <w:rFonts w:hint="eastAsia"/>
                <w:color w:val="auto"/>
                <w:sz w:val="21"/>
                <w:szCs w:val="21"/>
                <w:highlight w:val="none"/>
                <w:lang w:eastAsia="zh-CN"/>
              </w:rPr>
              <w:t>设备维护</w:t>
            </w:r>
          </w:p>
        </w:tc>
        <w:tc>
          <w:tcPr>
            <w:tcW w:w="1572" w:type="dxa"/>
            <w:tcBorders>
              <w:top w:val="single" w:color="auto" w:sz="4" w:space="0"/>
              <w:bottom w:val="single" w:color="auto" w:sz="4" w:space="0"/>
            </w:tcBorders>
            <w:noWrap w:val="0"/>
            <w:vAlign w:val="center"/>
          </w:tcPr>
          <w:p>
            <w:pPr>
              <w:pStyle w:val="20"/>
              <w:adjustRightInd w:val="0"/>
              <w:snapToGrid w:val="0"/>
              <w:jc w:val="center"/>
              <w:rPr>
                <w:rFonts w:hint="default" w:ascii="Times New Roman" w:hAnsi="Times New Roman" w:cs="Times New Roman"/>
                <w:bCs/>
                <w:color w:val="auto"/>
                <w:sz w:val="21"/>
                <w:szCs w:val="21"/>
                <w:lang w:eastAsia="zh-CN"/>
              </w:rPr>
            </w:pPr>
            <w:r>
              <w:rPr>
                <w:rFonts w:hint="eastAsia" w:cs="Times New Roman"/>
                <w:bCs/>
                <w:color w:val="auto"/>
                <w:sz w:val="21"/>
                <w:szCs w:val="21"/>
                <w:lang w:eastAsia="zh-CN"/>
              </w:rPr>
              <w:t>含油废抹布</w:t>
            </w:r>
          </w:p>
        </w:tc>
        <w:tc>
          <w:tcPr>
            <w:tcW w:w="3271" w:type="dxa"/>
            <w:vMerge w:val="continue"/>
            <w:tcBorders>
              <w:bottom w:val="single" w:color="auto" w:sz="4" w:space="0"/>
            </w:tcBorders>
            <w:noWrap w:val="0"/>
            <w:vAlign w:val="center"/>
          </w:tcPr>
          <w:p>
            <w:pPr>
              <w:adjustRightInd w:val="0"/>
              <w:snapToGrid w:val="0"/>
              <w:jc w:val="center"/>
              <w:rPr>
                <w:rFonts w:hint="default" w:ascii="Times New Roman" w:hAnsi="Times New Roman" w:cs="Times New Roman"/>
                <w:b w:val="0"/>
                <w:bCs w:val="0"/>
                <w:color w:val="auto"/>
                <w:sz w:val="21"/>
                <w:szCs w:val="21"/>
                <w:u w:val="none"/>
                <w:lang w:eastAsia="zh-CN"/>
              </w:rPr>
            </w:pPr>
          </w:p>
        </w:tc>
        <w:tc>
          <w:tcPr>
            <w:tcW w:w="1621" w:type="dxa"/>
            <w:vMerge w:val="continue"/>
            <w:tcBorders>
              <w:bottom w:val="single" w:color="auto" w:sz="4" w:space="0"/>
            </w:tcBorders>
            <w:noWrap w:val="0"/>
            <w:vAlign w:val="center"/>
          </w:tcPr>
          <w:p>
            <w:pPr>
              <w:adjustRightInd w:val="0"/>
              <w:snapToGrid w:val="0"/>
              <w:spacing w:line="240" w:lineRule="exact"/>
              <w:jc w:val="center"/>
              <w:rPr>
                <w:rFonts w:hint="default" w:ascii="Times New Roman" w:hAnsi="Times New Roman" w:cs="Times New Roman"/>
                <w:b w:val="0"/>
                <w:bCs w:val="0"/>
                <w:color w:val="auto"/>
                <w:sz w:val="21"/>
                <w:szCs w:val="21"/>
                <w:u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vMerge w:val="continue"/>
            <w:noWrap w:val="0"/>
            <w:tcMar>
              <w:left w:w="0" w:type="dxa"/>
              <w:right w:w="0" w:type="dxa"/>
            </w:tcMar>
            <w:vAlign w:val="center"/>
          </w:tcPr>
          <w:p>
            <w:pPr>
              <w:pStyle w:val="20"/>
              <w:adjustRightInd w:val="0"/>
              <w:snapToGrid w:val="0"/>
              <w:jc w:val="center"/>
              <w:rPr>
                <w:color w:val="auto"/>
              </w:rPr>
            </w:pPr>
          </w:p>
        </w:tc>
        <w:tc>
          <w:tcPr>
            <w:tcW w:w="656" w:type="dxa"/>
            <w:vMerge w:val="continue"/>
            <w:tcBorders>
              <w:right w:val="single" w:color="auto" w:sz="4" w:space="0"/>
            </w:tcBorders>
            <w:noWrap w:val="0"/>
            <w:vAlign w:val="center"/>
          </w:tcPr>
          <w:p>
            <w:pPr>
              <w:pStyle w:val="20"/>
              <w:adjustRightInd w:val="0"/>
              <w:snapToGrid w:val="0"/>
              <w:jc w:val="center"/>
              <w:rPr>
                <w:rFonts w:hint="eastAsia" w:eastAsia="宋体"/>
                <w:color w:val="auto"/>
                <w:sz w:val="21"/>
                <w:szCs w:val="21"/>
                <w:lang w:eastAsia="zh-CN"/>
              </w:rPr>
            </w:pPr>
          </w:p>
        </w:tc>
        <w:tc>
          <w:tcPr>
            <w:tcW w:w="660" w:type="dxa"/>
            <w:vMerge w:val="continue"/>
            <w:tcBorders>
              <w:left w:val="single" w:color="auto" w:sz="4" w:space="0"/>
            </w:tcBorders>
            <w:noWrap w:val="0"/>
            <w:vAlign w:val="center"/>
          </w:tcPr>
          <w:p>
            <w:pPr>
              <w:pStyle w:val="20"/>
              <w:adjustRightInd w:val="0"/>
              <w:snapToGrid w:val="0"/>
              <w:jc w:val="center"/>
              <w:rPr>
                <w:color w:val="auto"/>
              </w:rPr>
            </w:pPr>
          </w:p>
        </w:tc>
        <w:tc>
          <w:tcPr>
            <w:tcW w:w="1572" w:type="dxa"/>
            <w:tcBorders>
              <w:top w:val="single" w:color="auto" w:sz="4" w:space="0"/>
              <w:bottom w:val="single" w:color="auto" w:sz="4" w:space="0"/>
            </w:tcBorders>
            <w:noWrap w:val="0"/>
            <w:vAlign w:val="center"/>
          </w:tcPr>
          <w:p>
            <w:pPr>
              <w:jc w:val="center"/>
              <w:rPr>
                <w:rFonts w:hint="eastAsia" w:cs="Times New Roman"/>
                <w:b w:val="0"/>
                <w:bCs w:val="0"/>
                <w:color w:val="auto"/>
                <w:sz w:val="21"/>
                <w:szCs w:val="21"/>
                <w:u w:val="none"/>
                <w:lang w:eastAsia="zh-CN"/>
              </w:rPr>
            </w:pPr>
            <w:r>
              <w:rPr>
                <w:rFonts w:ascii="Times New Roman" w:hAnsi="Times New Roman"/>
                <w:b w:val="0"/>
                <w:bCs w:val="0"/>
                <w:color w:val="auto"/>
                <w:szCs w:val="21"/>
                <w:u w:val="none"/>
              </w:rPr>
              <w:t>废</w:t>
            </w:r>
            <w:r>
              <w:rPr>
                <w:rFonts w:hint="eastAsia"/>
                <w:b w:val="0"/>
                <w:bCs w:val="0"/>
                <w:color w:val="auto"/>
                <w:szCs w:val="21"/>
                <w:u w:val="none"/>
                <w:lang w:eastAsia="zh-CN"/>
              </w:rPr>
              <w:t>润滑油</w:t>
            </w:r>
            <w:r>
              <w:rPr>
                <w:rFonts w:ascii="Times New Roman" w:hAnsi="Times New Roman"/>
                <w:b w:val="0"/>
                <w:bCs w:val="0"/>
                <w:color w:val="auto"/>
                <w:szCs w:val="21"/>
                <w:u w:val="none"/>
              </w:rPr>
              <w:t xml:space="preserve"> </w:t>
            </w:r>
          </w:p>
        </w:tc>
        <w:tc>
          <w:tcPr>
            <w:tcW w:w="3271" w:type="dxa"/>
            <w:tcBorders>
              <w:top w:val="single" w:color="auto" w:sz="4" w:space="0"/>
            </w:tcBorders>
            <w:noWrap w:val="0"/>
            <w:vAlign w:val="center"/>
          </w:tcPr>
          <w:p>
            <w:pPr>
              <w:adjustRightInd w:val="0"/>
              <w:snapToGrid w:val="0"/>
              <w:jc w:val="center"/>
              <w:rPr>
                <w:rFonts w:hint="default" w:ascii="Times New Roman" w:hAnsi="Times New Roman" w:cs="Times New Roman"/>
                <w:b w:val="0"/>
                <w:bCs w:val="0"/>
                <w:color w:val="auto"/>
                <w:sz w:val="21"/>
                <w:szCs w:val="21"/>
                <w:u w:val="none"/>
                <w:lang w:eastAsia="zh-CN"/>
              </w:rPr>
            </w:pPr>
            <w:r>
              <w:rPr>
                <w:rFonts w:hint="eastAsia"/>
                <w:b w:val="0"/>
                <w:bCs w:val="0"/>
                <w:snapToGrid w:val="0"/>
                <w:color w:val="auto"/>
                <w:kern w:val="0"/>
                <w:szCs w:val="21"/>
                <w:u w:val="none"/>
                <w:lang w:eastAsia="zh-CN"/>
              </w:rPr>
              <w:t>设置危废暂存间，</w:t>
            </w:r>
            <w:r>
              <w:rPr>
                <w:rFonts w:hint="default"/>
                <w:b w:val="0"/>
                <w:bCs w:val="0"/>
                <w:snapToGrid w:val="0"/>
                <w:color w:val="auto"/>
                <w:kern w:val="0"/>
                <w:szCs w:val="21"/>
                <w:u w:val="none"/>
              </w:rPr>
              <w:t>集中收集后</w:t>
            </w:r>
            <w:r>
              <w:rPr>
                <w:rFonts w:hint="eastAsia"/>
                <w:b w:val="0"/>
                <w:bCs w:val="0"/>
                <w:snapToGrid w:val="0"/>
                <w:color w:val="auto"/>
                <w:kern w:val="0"/>
                <w:szCs w:val="21"/>
                <w:u w:val="none"/>
                <w:lang w:eastAsia="zh-CN"/>
              </w:rPr>
              <w:t>交具有危废处理资质的单位</w:t>
            </w:r>
            <w:r>
              <w:rPr>
                <w:rFonts w:hint="default"/>
                <w:b w:val="0"/>
                <w:bCs w:val="0"/>
                <w:snapToGrid w:val="0"/>
                <w:color w:val="auto"/>
                <w:kern w:val="0"/>
                <w:szCs w:val="21"/>
                <w:u w:val="none"/>
              </w:rPr>
              <w:t>统一</w:t>
            </w:r>
            <w:r>
              <w:rPr>
                <w:rFonts w:hint="default"/>
                <w:b w:val="0"/>
                <w:bCs w:val="0"/>
                <w:snapToGrid w:val="0"/>
                <w:color w:val="auto"/>
                <w:kern w:val="0"/>
                <w:szCs w:val="21"/>
                <w:u w:val="none"/>
                <w:lang w:eastAsia="zh-CN"/>
              </w:rPr>
              <w:t>处理</w:t>
            </w:r>
          </w:p>
        </w:tc>
        <w:tc>
          <w:tcPr>
            <w:tcW w:w="1621" w:type="dxa"/>
            <w:tcBorders>
              <w:top w:val="single" w:color="auto" w:sz="4" w:space="0"/>
            </w:tcBorders>
            <w:noWrap w:val="0"/>
            <w:vAlign w:val="center"/>
          </w:tcPr>
          <w:p>
            <w:pPr>
              <w:adjustRightInd w:val="0"/>
              <w:snapToGrid w:val="0"/>
              <w:spacing w:line="240" w:lineRule="exact"/>
              <w:jc w:val="center"/>
              <w:rPr>
                <w:rFonts w:hint="default" w:ascii="Times New Roman" w:hAnsi="Times New Roman" w:cs="Times New Roman"/>
                <w:b w:val="0"/>
                <w:bCs w:val="0"/>
                <w:color w:val="auto"/>
                <w:sz w:val="21"/>
                <w:szCs w:val="21"/>
                <w:u w:val="none"/>
                <w:lang w:eastAsia="zh-CN"/>
              </w:rPr>
            </w:pPr>
            <w:r>
              <w:rPr>
                <w:rFonts w:hint="eastAsia"/>
                <w:b w:val="0"/>
                <w:bCs w:val="0"/>
                <w:color w:val="auto"/>
                <w:spacing w:val="-6"/>
                <w:szCs w:val="21"/>
                <w:u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noWrap w:val="0"/>
            <w:tcMar>
              <w:left w:w="0" w:type="dxa"/>
              <w:right w:w="0" w:type="dxa"/>
            </w:tcMar>
            <w:vAlign w:val="center"/>
          </w:tcPr>
          <w:p>
            <w:pPr>
              <w:adjustRightInd w:val="0"/>
              <w:snapToGrid w:val="0"/>
              <w:jc w:val="center"/>
              <w:rPr>
                <w:b/>
                <w:bCs/>
                <w:color w:val="auto"/>
                <w:w w:val="95"/>
                <w:szCs w:val="21"/>
              </w:rPr>
            </w:pPr>
            <w:r>
              <w:rPr>
                <w:b/>
                <w:bCs/>
                <w:color w:val="auto"/>
                <w:w w:val="95"/>
                <w:szCs w:val="21"/>
              </w:rPr>
              <w:t>噪</w:t>
            </w:r>
          </w:p>
          <w:p>
            <w:pPr>
              <w:adjustRightInd w:val="0"/>
              <w:snapToGrid w:val="0"/>
              <w:jc w:val="center"/>
              <w:rPr>
                <w:b/>
                <w:bCs/>
                <w:color w:val="auto"/>
                <w:w w:val="95"/>
                <w:szCs w:val="21"/>
              </w:rPr>
            </w:pPr>
            <w:r>
              <w:rPr>
                <w:b/>
                <w:bCs/>
                <w:color w:val="auto"/>
                <w:w w:val="95"/>
                <w:szCs w:val="21"/>
              </w:rPr>
              <w:t>声</w:t>
            </w:r>
          </w:p>
        </w:tc>
        <w:tc>
          <w:tcPr>
            <w:tcW w:w="1316" w:type="dxa"/>
            <w:gridSpan w:val="2"/>
            <w:noWrap w:val="0"/>
            <w:tcMar>
              <w:left w:w="57" w:type="dxa"/>
              <w:right w:w="57" w:type="dxa"/>
            </w:tcMar>
            <w:vAlign w:val="center"/>
          </w:tcPr>
          <w:p>
            <w:pPr>
              <w:adjustRightInd w:val="0"/>
              <w:snapToGrid w:val="0"/>
              <w:jc w:val="center"/>
              <w:rPr>
                <w:color w:val="auto"/>
                <w:szCs w:val="21"/>
              </w:rPr>
            </w:pPr>
            <w:r>
              <w:rPr>
                <w:color w:val="auto"/>
                <w:szCs w:val="21"/>
              </w:rPr>
              <w:t>高噪声设备</w:t>
            </w:r>
          </w:p>
        </w:tc>
        <w:tc>
          <w:tcPr>
            <w:tcW w:w="1572" w:type="dxa"/>
            <w:noWrap w:val="0"/>
            <w:tcMar>
              <w:left w:w="57" w:type="dxa"/>
              <w:right w:w="57" w:type="dxa"/>
            </w:tcMar>
            <w:vAlign w:val="center"/>
          </w:tcPr>
          <w:p>
            <w:pPr>
              <w:adjustRightInd w:val="0"/>
              <w:snapToGrid w:val="0"/>
              <w:jc w:val="center"/>
              <w:rPr>
                <w:color w:val="auto"/>
                <w:szCs w:val="21"/>
              </w:rPr>
            </w:pPr>
            <w:r>
              <w:rPr>
                <w:color w:val="auto"/>
                <w:szCs w:val="21"/>
              </w:rPr>
              <w:t>噪声</w:t>
            </w:r>
          </w:p>
        </w:tc>
        <w:tc>
          <w:tcPr>
            <w:tcW w:w="3271" w:type="dxa"/>
            <w:noWrap w:val="0"/>
            <w:vAlign w:val="center"/>
          </w:tcPr>
          <w:p>
            <w:pPr>
              <w:spacing w:line="240" w:lineRule="exact"/>
              <w:jc w:val="center"/>
              <w:rPr>
                <w:color w:val="auto"/>
                <w:szCs w:val="21"/>
              </w:rPr>
            </w:pPr>
            <w:r>
              <w:rPr>
                <w:color w:val="auto"/>
                <w:szCs w:val="21"/>
              </w:rPr>
              <w:t>采取基础减震、车间隔声等措施</w:t>
            </w:r>
          </w:p>
        </w:tc>
        <w:tc>
          <w:tcPr>
            <w:tcW w:w="1621" w:type="dxa"/>
            <w:noWrap w:val="0"/>
            <w:vAlign w:val="center"/>
          </w:tcPr>
          <w:p>
            <w:pPr>
              <w:wordWrap w:val="0"/>
              <w:adjustRightInd w:val="0"/>
              <w:snapToGrid w:val="0"/>
              <w:jc w:val="center"/>
              <w:rPr>
                <w:rFonts w:hint="eastAsia" w:eastAsia="宋体"/>
                <w:snapToGrid w:val="0"/>
                <w:color w:val="auto"/>
                <w:kern w:val="0"/>
                <w:szCs w:val="21"/>
                <w:lang w:eastAsia="zh-CN"/>
              </w:rPr>
            </w:pPr>
            <w:r>
              <w:rPr>
                <w:rFonts w:hint="eastAsia" w:eastAsia="宋体"/>
                <w:snapToGrid w:val="0"/>
                <w:color w:val="auto"/>
                <w:kern w:val="0"/>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97" w:hRule="atLeast"/>
        </w:trPr>
        <w:tc>
          <w:tcPr>
            <w:tcW w:w="1008" w:type="dxa"/>
            <w:noWrap w:val="0"/>
            <w:tcMar>
              <w:left w:w="0" w:type="dxa"/>
              <w:right w:w="0" w:type="dxa"/>
            </w:tcMar>
            <w:vAlign w:val="center"/>
          </w:tcPr>
          <w:p>
            <w:pPr>
              <w:adjustRightInd w:val="0"/>
              <w:snapToGrid w:val="0"/>
              <w:jc w:val="center"/>
              <w:rPr>
                <w:b/>
                <w:bCs/>
                <w:color w:val="auto"/>
                <w:szCs w:val="21"/>
              </w:rPr>
            </w:pPr>
            <w:r>
              <w:rPr>
                <w:b/>
                <w:bCs/>
                <w:color w:val="auto"/>
                <w:szCs w:val="21"/>
              </w:rPr>
              <w:t>主</w:t>
            </w:r>
          </w:p>
          <w:p>
            <w:pPr>
              <w:adjustRightInd w:val="0"/>
              <w:snapToGrid w:val="0"/>
              <w:jc w:val="center"/>
              <w:rPr>
                <w:b/>
                <w:bCs/>
                <w:color w:val="auto"/>
                <w:szCs w:val="21"/>
              </w:rPr>
            </w:pPr>
            <w:r>
              <w:rPr>
                <w:b/>
                <w:bCs/>
                <w:color w:val="auto"/>
                <w:szCs w:val="21"/>
              </w:rPr>
              <w:t>要</w:t>
            </w:r>
          </w:p>
          <w:p>
            <w:pPr>
              <w:adjustRightInd w:val="0"/>
              <w:snapToGrid w:val="0"/>
              <w:jc w:val="center"/>
              <w:rPr>
                <w:b/>
                <w:bCs/>
                <w:color w:val="auto"/>
                <w:szCs w:val="21"/>
              </w:rPr>
            </w:pPr>
            <w:r>
              <w:rPr>
                <w:b/>
                <w:bCs/>
                <w:color w:val="auto"/>
                <w:szCs w:val="21"/>
              </w:rPr>
              <w:t>生</w:t>
            </w:r>
          </w:p>
          <w:p>
            <w:pPr>
              <w:adjustRightInd w:val="0"/>
              <w:snapToGrid w:val="0"/>
              <w:jc w:val="center"/>
              <w:rPr>
                <w:b/>
                <w:bCs/>
                <w:color w:val="auto"/>
                <w:szCs w:val="21"/>
              </w:rPr>
            </w:pPr>
            <w:r>
              <w:rPr>
                <w:b/>
                <w:bCs/>
                <w:color w:val="auto"/>
                <w:szCs w:val="21"/>
              </w:rPr>
              <w:t>态</w:t>
            </w:r>
          </w:p>
          <w:p>
            <w:pPr>
              <w:adjustRightInd w:val="0"/>
              <w:snapToGrid w:val="0"/>
              <w:jc w:val="center"/>
              <w:rPr>
                <w:b/>
                <w:bCs/>
                <w:color w:val="auto"/>
                <w:szCs w:val="21"/>
              </w:rPr>
            </w:pPr>
            <w:r>
              <w:rPr>
                <w:b/>
                <w:bCs/>
                <w:color w:val="auto"/>
                <w:szCs w:val="21"/>
              </w:rPr>
              <w:t>影</w:t>
            </w:r>
          </w:p>
          <w:p>
            <w:pPr>
              <w:adjustRightInd w:val="0"/>
              <w:snapToGrid w:val="0"/>
              <w:jc w:val="center"/>
              <w:rPr>
                <w:b/>
                <w:bCs/>
                <w:color w:val="auto"/>
                <w:w w:val="95"/>
                <w:szCs w:val="21"/>
              </w:rPr>
            </w:pPr>
            <w:r>
              <w:rPr>
                <w:b/>
                <w:bCs/>
                <w:color w:val="auto"/>
                <w:szCs w:val="21"/>
              </w:rPr>
              <w:t>响</w:t>
            </w:r>
          </w:p>
        </w:tc>
        <w:tc>
          <w:tcPr>
            <w:tcW w:w="7780" w:type="dxa"/>
            <w:gridSpan w:val="5"/>
            <w:noWrap w:val="0"/>
            <w:tcMar>
              <w:left w:w="57" w:type="dxa"/>
              <w:right w:w="57" w:type="dxa"/>
            </w:tcMar>
            <w:vAlign w:val="top"/>
          </w:tcPr>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r>
              <w:rPr>
                <w:color w:val="auto"/>
                <w:sz w:val="21"/>
                <w:szCs w:val="21"/>
              </w:rPr>
              <w:t>本项目营运期影响生态环境的废水、</w:t>
            </w:r>
            <w:r>
              <w:rPr>
                <w:rFonts w:hint="eastAsia"/>
                <w:color w:val="auto"/>
                <w:sz w:val="21"/>
                <w:szCs w:val="21"/>
                <w:lang w:eastAsia="zh-CN"/>
              </w:rPr>
              <w:t>废气、</w:t>
            </w:r>
            <w:r>
              <w:rPr>
                <w:color w:val="auto"/>
                <w:sz w:val="21"/>
                <w:szCs w:val="21"/>
              </w:rPr>
              <w:t>固废等污染物在相应的防范、治理措施下，能使其产生的影响降到较低程度，并且随着绿化设施的逐步完善，可使项目区植被得到恢复，生态环境与周围环境更加协调。</w:t>
            </w: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color w:val="auto"/>
                <w:sz w:val="21"/>
                <w:szCs w:val="21"/>
              </w:rPr>
            </w:pPr>
          </w:p>
          <w:p>
            <w:pPr>
              <w:pageBreakBefore w:val="0"/>
              <w:widowControl w:val="0"/>
              <w:kinsoku/>
              <w:wordWrap/>
              <w:overflowPunct/>
              <w:topLinePunct w:val="0"/>
              <w:autoSpaceDE/>
              <w:autoSpaceDN/>
              <w:bidi w:val="0"/>
              <w:adjustRightInd w:val="0"/>
              <w:snapToGrid w:val="0"/>
              <w:spacing w:before="0" w:beforeLines="0" w:after="0" w:afterLines="0" w:line="360" w:lineRule="auto"/>
              <w:ind w:firstLine="420" w:firstLineChars="200"/>
              <w:textAlignment w:val="auto"/>
              <w:outlineLvl w:val="9"/>
              <w:rPr>
                <w:color w:val="auto"/>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color w:val="auto"/>
          <w:sz w:val="30"/>
        </w:rPr>
      </w:pPr>
      <w:r>
        <w:rPr>
          <w:rFonts w:hint="eastAsia" w:ascii="宋体" w:hAnsi="宋体" w:eastAsia="宋体" w:cs="宋体"/>
          <w:b/>
          <w:color w:val="auto"/>
          <w:sz w:val="30"/>
        </w:rPr>
        <w:t>结论与建议</w:t>
      </w:r>
    </w:p>
    <w:tbl>
      <w:tblPr>
        <w:tblStyle w:val="15"/>
        <w:tblpPr w:leftFromText="180" w:rightFromText="180" w:vertAnchor="text" w:tblpXSpec="center" w:tblpY="1"/>
        <w:tblOverlap w:val="never"/>
        <w:tblW w:w="866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745" w:hRule="atLeast"/>
          <w:jc w:val="center"/>
        </w:trPr>
        <w:tc>
          <w:tcPr>
            <w:tcW w:w="8663"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textAlignment w:val="auto"/>
              <w:rPr>
                <w:b/>
                <w:bCs/>
                <w:color w:val="auto"/>
                <w:sz w:val="24"/>
              </w:rPr>
            </w:pPr>
            <w:r>
              <w:rPr>
                <w:b/>
                <w:bCs/>
                <w:color w:val="auto"/>
                <w:sz w:val="24"/>
              </w:rPr>
              <w:t>一</w:t>
            </w:r>
            <w:r>
              <w:rPr>
                <w:rFonts w:hint="eastAsia"/>
                <w:b/>
                <w:bCs/>
                <w:color w:val="auto"/>
                <w:sz w:val="24"/>
              </w:rPr>
              <w:t>、</w:t>
            </w:r>
            <w:r>
              <w:rPr>
                <w:b/>
                <w:bCs/>
                <w:color w:val="auto"/>
                <w:sz w:val="24"/>
              </w:rPr>
              <w:t>项目概况</w:t>
            </w:r>
          </w:p>
          <w:p>
            <w:pPr>
              <w:pStyle w:val="5"/>
              <w:adjustRightInd w:val="0"/>
              <w:snapToGrid w:val="0"/>
              <w:spacing w:line="360" w:lineRule="auto"/>
              <w:ind w:firstLine="480" w:firstLineChars="200"/>
              <w:rPr>
                <w:color w:val="auto"/>
                <w:sz w:val="24"/>
              </w:rPr>
            </w:pPr>
            <w:r>
              <w:rPr>
                <w:rFonts w:hint="eastAsia"/>
                <w:bCs/>
                <w:color w:val="auto"/>
                <w:sz w:val="24"/>
                <w:lang w:eastAsia="zh-CN"/>
              </w:rPr>
              <w:t>新乡市泰达机械制造有限公司</w:t>
            </w:r>
            <w:r>
              <w:rPr>
                <w:rFonts w:hint="default" w:ascii="Times New Roman" w:hAnsi="Times New Roman" w:cs="Times New Roman"/>
                <w:bCs/>
                <w:color w:val="auto"/>
                <w:sz w:val="24"/>
              </w:rPr>
              <w:t>在</w:t>
            </w:r>
            <w:r>
              <w:rPr>
                <w:rFonts w:hint="eastAsia" w:cs="Times New Roman"/>
                <w:color w:val="auto"/>
                <w:sz w:val="24"/>
                <w:lang w:eastAsia="zh-CN"/>
              </w:rPr>
              <w:t>新乡市新乡县合河乡新王线东北永康路口南100米</w:t>
            </w:r>
            <w:r>
              <w:rPr>
                <w:rFonts w:hint="default" w:ascii="Times New Roman" w:hAnsi="Times New Roman" w:cs="Times New Roman"/>
                <w:color w:val="auto"/>
                <w:spacing w:val="-4"/>
                <w:sz w:val="24"/>
              </w:rPr>
              <w:t>投资</w:t>
            </w:r>
            <w:r>
              <w:rPr>
                <w:rFonts w:hint="eastAsia" w:cs="Times New Roman"/>
                <w:color w:val="auto"/>
                <w:spacing w:val="-4"/>
                <w:sz w:val="24"/>
                <w:lang w:val="en-US" w:eastAsia="zh-CN"/>
              </w:rPr>
              <w:t>100万元</w:t>
            </w:r>
            <w:r>
              <w:rPr>
                <w:rFonts w:hint="default" w:ascii="Times New Roman" w:hAnsi="Times New Roman" w:cs="Times New Roman"/>
                <w:color w:val="auto"/>
                <w:spacing w:val="-4"/>
                <w:sz w:val="24"/>
              </w:rPr>
              <w:t>，建设</w:t>
            </w:r>
            <w:r>
              <w:rPr>
                <w:rFonts w:hint="eastAsia" w:cs="Times New Roman"/>
                <w:bCs/>
                <w:color w:val="auto"/>
                <w:sz w:val="24"/>
                <w:lang w:eastAsia="zh-CN"/>
              </w:rPr>
              <w:t>新乡市泰达机械制造有限公司年产10万件机械配件加工项目</w:t>
            </w:r>
            <w:r>
              <w:rPr>
                <w:rFonts w:hint="default" w:ascii="Times New Roman" w:hAnsi="Times New Roman" w:cs="Times New Roman"/>
                <w:color w:val="auto"/>
                <w:spacing w:val="-4"/>
                <w:sz w:val="24"/>
              </w:rPr>
              <w:t>，</w:t>
            </w: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总</w:t>
            </w:r>
            <w:r>
              <w:rPr>
                <w:rFonts w:hint="default" w:ascii="Times New Roman" w:hAnsi="Times New Roman" w:cs="Times New Roman"/>
                <w:color w:val="auto"/>
                <w:sz w:val="24"/>
              </w:rPr>
              <w:t>占地面积</w:t>
            </w:r>
            <w:r>
              <w:rPr>
                <w:rFonts w:hint="eastAsia" w:cs="Times New Roman"/>
                <w:color w:val="auto"/>
                <w:sz w:val="24"/>
                <w:lang w:val="en-US" w:eastAsia="zh-CN"/>
              </w:rPr>
              <w:t>2100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，本项目</w:t>
            </w:r>
            <w:r>
              <w:rPr>
                <w:rFonts w:hint="default" w:ascii="Times New Roman" w:hAnsi="Times New Roman" w:cs="Times New Roman"/>
                <w:color w:val="auto"/>
                <w:sz w:val="24"/>
                <w:lang w:eastAsia="zh-CN"/>
              </w:rPr>
              <w:t>租赁</w:t>
            </w:r>
            <w:r>
              <w:rPr>
                <w:rFonts w:hint="eastAsia" w:cs="Times New Roman"/>
                <w:color w:val="auto"/>
                <w:sz w:val="24"/>
                <w:lang w:eastAsia="zh-CN"/>
              </w:rPr>
              <w:t>苏呈祥个人现有</w:t>
            </w:r>
            <w:r>
              <w:rPr>
                <w:rFonts w:hint="eastAsia"/>
                <w:color w:val="auto"/>
                <w:sz w:val="24"/>
                <w:lang w:val="en-US" w:eastAsia="zh-CN"/>
              </w:rPr>
              <w:t>厂房</w:t>
            </w:r>
            <w:r>
              <w:rPr>
                <w:color w:val="auto"/>
                <w:sz w:val="24"/>
                <w:szCs w:val="24"/>
                <w:highlight w:val="none"/>
              </w:rPr>
              <w:t>进行生产</w:t>
            </w:r>
            <w:r>
              <w:rPr>
                <w:color w:val="auto"/>
                <w:sz w:val="24"/>
                <w:szCs w:val="24"/>
              </w:rPr>
              <w:t>，不需征用土地</w:t>
            </w:r>
            <w:r>
              <w:rPr>
                <w:color w:val="auto"/>
                <w:kern w:val="2"/>
                <w:sz w:val="24"/>
                <w:szCs w:val="24"/>
                <w:lang w:val="en-US" w:eastAsia="zh-CN"/>
              </w:rPr>
              <w:t>，该项目属于新建项目</w:t>
            </w:r>
            <w:r>
              <w:rPr>
                <w:color w:val="auto"/>
                <w:sz w:val="24"/>
                <w:szCs w:val="24"/>
              </w:rPr>
              <w:t>。</w:t>
            </w:r>
          </w:p>
          <w:p>
            <w:pPr>
              <w:adjustRightInd w:val="0"/>
              <w:snapToGrid w:val="0"/>
              <w:spacing w:line="360" w:lineRule="auto"/>
              <w:textAlignment w:val="baseline"/>
              <w:rPr>
                <w:b/>
                <w:color w:val="auto"/>
                <w:sz w:val="24"/>
              </w:rPr>
            </w:pPr>
            <w:r>
              <w:rPr>
                <w:rFonts w:hint="eastAsia"/>
                <w:b/>
                <w:color w:val="auto"/>
                <w:sz w:val="24"/>
              </w:rPr>
              <w:t>二</w:t>
            </w:r>
            <w:r>
              <w:rPr>
                <w:b/>
                <w:color w:val="auto"/>
                <w:sz w:val="24"/>
              </w:rPr>
              <w:t>、环境可行</w:t>
            </w:r>
            <w:r>
              <w:rPr>
                <w:b/>
                <w:color w:val="auto"/>
                <w:sz w:val="24"/>
                <w:highlight w:val="none"/>
              </w:rPr>
              <w:t>性分析结论</w:t>
            </w:r>
          </w:p>
          <w:p>
            <w:pPr>
              <w:adjustRightInd w:val="0"/>
              <w:snapToGrid w:val="0"/>
              <w:spacing w:line="360" w:lineRule="auto"/>
              <w:ind w:firstLine="480" w:firstLineChars="200"/>
              <w:textAlignment w:val="baseline"/>
              <w:rPr>
                <w:b/>
                <w:color w:val="auto"/>
                <w:sz w:val="24"/>
              </w:rPr>
            </w:pPr>
            <w:r>
              <w:rPr>
                <w:color w:val="auto"/>
                <w:sz w:val="24"/>
              </w:rPr>
              <w:t>（1）产业政策符合性结论</w:t>
            </w:r>
          </w:p>
          <w:p>
            <w:pPr>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rPr>
            </w:pPr>
            <w:r>
              <w:rPr>
                <w:rFonts w:hint="eastAsia" w:hAnsi="宋体"/>
                <w:b w:val="0"/>
                <w:bCs w:val="0"/>
                <w:color w:val="auto"/>
                <w:sz w:val="24"/>
                <w:u w:val="none"/>
                <w:lang w:val="en-US" w:eastAsia="zh-CN"/>
              </w:rPr>
              <w:t>经查阅</w:t>
            </w:r>
            <w:r>
              <w:rPr>
                <w:rFonts w:hint="eastAsia" w:hAnsi="宋体"/>
                <w:b w:val="0"/>
                <w:bCs w:val="0"/>
                <w:color w:val="auto"/>
                <w:sz w:val="24"/>
                <w:u w:val="none"/>
                <w:lang w:eastAsia="zh-CN"/>
              </w:rPr>
              <w:t>《产业结构调整指导目录（2011年本）（2013年修正）》，本项目不属于</w:t>
            </w:r>
            <w:r>
              <w:rPr>
                <w:rFonts w:hint="eastAsia" w:hAnsi="宋体"/>
                <w:b w:val="0"/>
                <w:bCs w:val="0"/>
                <w:color w:val="auto"/>
                <w:sz w:val="24"/>
                <w:u w:val="none"/>
                <w:lang w:val="en-US" w:eastAsia="zh-CN"/>
              </w:rPr>
              <w:t>鼓励类、淘汰类、限制类项目，属于允许类建设项目</w:t>
            </w:r>
            <w:r>
              <w:rPr>
                <w:rFonts w:hint="eastAsia" w:hAnsi="宋体"/>
                <w:b w:val="0"/>
                <w:bCs w:val="0"/>
                <w:color w:val="auto"/>
                <w:sz w:val="24"/>
                <w:u w:val="none"/>
                <w:lang w:eastAsia="zh-CN"/>
              </w:rPr>
              <w:t>，符合国家产业发展政策</w:t>
            </w:r>
            <w:r>
              <w:rPr>
                <w:rFonts w:hint="default" w:ascii="Times New Roman" w:hAnsi="Times New Roman" w:eastAsia="宋体" w:cs="Times New Roman"/>
                <w:bCs/>
                <w:color w:val="auto"/>
                <w:kern w:val="2"/>
                <w:sz w:val="24"/>
                <w:szCs w:val="24"/>
              </w:rPr>
              <w:t>。该项目已于201</w:t>
            </w:r>
            <w:r>
              <w:rPr>
                <w:rFonts w:hint="eastAsia" w:cs="Times New Roman"/>
                <w:bCs/>
                <w:color w:val="auto"/>
                <w:kern w:val="2"/>
                <w:sz w:val="24"/>
                <w:szCs w:val="24"/>
                <w:lang w:val="en-US" w:eastAsia="zh-CN"/>
              </w:rPr>
              <w:t>9</w:t>
            </w:r>
            <w:r>
              <w:rPr>
                <w:rFonts w:hint="default" w:ascii="Times New Roman" w:hAnsi="Times New Roman" w:eastAsia="宋体" w:cs="Times New Roman"/>
                <w:bCs/>
                <w:color w:val="auto"/>
                <w:kern w:val="2"/>
                <w:sz w:val="24"/>
                <w:szCs w:val="24"/>
              </w:rPr>
              <w:t>年</w:t>
            </w:r>
            <w:r>
              <w:rPr>
                <w:rFonts w:hint="eastAsia" w:cs="Times New Roman"/>
                <w:bCs/>
                <w:color w:val="auto"/>
                <w:kern w:val="2"/>
                <w:sz w:val="24"/>
                <w:szCs w:val="24"/>
                <w:lang w:val="en-US" w:eastAsia="zh-CN"/>
              </w:rPr>
              <w:t>5</w:t>
            </w:r>
            <w:r>
              <w:rPr>
                <w:rFonts w:hint="default" w:ascii="Times New Roman" w:hAnsi="Times New Roman" w:eastAsia="宋体" w:cs="Times New Roman"/>
                <w:bCs/>
                <w:color w:val="auto"/>
                <w:kern w:val="2"/>
                <w:sz w:val="24"/>
                <w:szCs w:val="24"/>
              </w:rPr>
              <w:t>月通过</w:t>
            </w:r>
            <w:r>
              <w:rPr>
                <w:rFonts w:hint="eastAsia" w:cs="Times New Roman"/>
                <w:bCs/>
                <w:color w:val="auto"/>
                <w:kern w:val="2"/>
                <w:sz w:val="24"/>
                <w:szCs w:val="24"/>
                <w:lang w:eastAsia="zh-CN"/>
              </w:rPr>
              <w:t>新乡县发展和改革委员会</w:t>
            </w:r>
            <w:r>
              <w:rPr>
                <w:rFonts w:hint="default" w:ascii="Times New Roman" w:hAnsi="Times New Roman" w:eastAsia="宋体" w:cs="Times New Roman"/>
                <w:bCs/>
                <w:color w:val="auto"/>
                <w:kern w:val="2"/>
                <w:sz w:val="24"/>
                <w:szCs w:val="24"/>
              </w:rPr>
              <w:t>予以备案</w:t>
            </w:r>
            <w:r>
              <w:rPr>
                <w:rFonts w:hint="default" w:ascii="Times New Roman" w:hAnsi="Times New Roman" w:eastAsia="宋体" w:cs="Times New Roman"/>
                <w:bCs/>
                <w:color w:val="auto"/>
                <w:kern w:val="2"/>
                <w:sz w:val="24"/>
                <w:szCs w:val="24"/>
                <w:lang w:eastAsia="zh-CN"/>
              </w:rPr>
              <w:t>，项目代码为</w:t>
            </w:r>
            <w:r>
              <w:rPr>
                <w:rFonts w:hint="eastAsia" w:cs="Times New Roman"/>
                <w:color w:val="auto"/>
                <w:sz w:val="24"/>
                <w:szCs w:val="24"/>
                <w:lang w:val="en-US" w:eastAsia="zh-CN"/>
              </w:rPr>
              <w:t>2019-410721-34-03-019688</w:t>
            </w:r>
            <w:r>
              <w:rPr>
                <w:rFonts w:hint="default" w:ascii="Times New Roman" w:hAnsi="Times New Roman" w:eastAsia="宋体" w:cs="Times New Roman"/>
                <w:bCs/>
                <w:color w:val="auto"/>
                <w:kern w:val="2"/>
                <w:sz w:val="24"/>
                <w:szCs w:val="24"/>
              </w:rPr>
              <w:t>。</w:t>
            </w:r>
          </w:p>
          <w:p>
            <w:pPr>
              <w:keepNext w:val="0"/>
              <w:keepLines w:val="0"/>
              <w:pageBreakBefore w:val="0"/>
              <w:kinsoku/>
              <w:wordWrap/>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cs="Times New Roman"/>
                <w:b w:val="0"/>
                <w:bCs w:val="0"/>
                <w:color w:val="auto"/>
                <w:sz w:val="24"/>
                <w:u w:val="none"/>
                <w:lang w:eastAsia="zh-CN"/>
              </w:rPr>
              <w:t>对照</w:t>
            </w:r>
            <w:r>
              <w:rPr>
                <w:rFonts w:hint="default" w:ascii="Times New Roman" w:hAnsi="Times New Roman" w:cs="Times New Roman"/>
                <w:b w:val="0"/>
                <w:bCs w:val="0"/>
                <w:color w:val="auto"/>
                <w:sz w:val="24"/>
                <w:u w:val="none"/>
                <w:lang w:val="en-US" w:eastAsia="zh-CN"/>
              </w:rPr>
              <w:t>《关于印发&lt;京津冀及周边地区2018-2019 年秋冬季大气污染综合治理攻坚行动方案&gt;的通知》（环大气[2018]100号）、《新乡市环境污染攻坚战三年行动实施方案（2018-2020年）》</w:t>
            </w:r>
            <w:r>
              <w:rPr>
                <w:rFonts w:hint="default" w:ascii="Times New Roman" w:hAnsi="Times New Roman" w:eastAsia="宋体" w:cs="Times New Roman"/>
                <w:color w:val="auto"/>
                <w:kern w:val="0"/>
                <w:sz w:val="24"/>
                <w:szCs w:val="24"/>
                <w:lang w:val="en-US" w:eastAsia="zh-CN"/>
              </w:rPr>
              <w:t>（新政[2018]11号）</w:t>
            </w:r>
            <w:r>
              <w:rPr>
                <w:rFonts w:hint="eastAsia" w:ascii="Times New Roman" w:hAnsi="Times New Roman" w:cs="Times New Roman"/>
                <w:b w:val="0"/>
                <w:bCs w:val="0"/>
                <w:color w:val="auto"/>
                <w:sz w:val="24"/>
                <w:u w:val="none"/>
                <w:lang w:val="en-US" w:eastAsia="zh-CN"/>
              </w:rPr>
              <w:t>及《中共新乡市委新乡市人民政府关于加快绿色发展的意见》文件可知，本项目建设符合其文件相应要求。</w:t>
            </w:r>
          </w:p>
          <w:p>
            <w:pPr>
              <w:adjustRightInd w:val="0"/>
              <w:snapToGrid w:val="0"/>
              <w:spacing w:line="360" w:lineRule="auto"/>
              <w:ind w:firstLine="480" w:firstLineChars="200"/>
              <w:textAlignment w:val="baseline"/>
              <w:rPr>
                <w:rFonts w:hint="default" w:ascii="Times New Roman" w:hAnsi="Times New Roman" w:cs="Times New Roman"/>
                <w:b/>
                <w:color w:val="auto"/>
                <w:sz w:val="24"/>
              </w:rPr>
            </w:pPr>
            <w:r>
              <w:rPr>
                <w:rFonts w:hint="default" w:ascii="Times New Roman" w:hAnsi="Times New Roman" w:cs="Times New Roman"/>
                <w:color w:val="auto"/>
                <w:sz w:val="24"/>
              </w:rPr>
              <w:t>（2）选址可行性结论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eastAsia"/>
                <w:color w:val="auto"/>
                <w:sz w:val="24"/>
                <w:highlight w:val="none"/>
              </w:rPr>
            </w:pPr>
            <w:r>
              <w:rPr>
                <w:rFonts w:hint="default" w:ascii="Times New Roman" w:hAnsi="Times New Roman" w:cs="Times New Roman"/>
                <w:color w:val="auto"/>
                <w:sz w:val="24"/>
              </w:rPr>
              <w:t>本项目位于</w:t>
            </w:r>
            <w:r>
              <w:rPr>
                <w:rFonts w:hint="eastAsia" w:cs="Times New Roman"/>
                <w:color w:val="auto"/>
                <w:sz w:val="24"/>
                <w:lang w:eastAsia="zh-CN"/>
              </w:rPr>
              <w:t>新乡市新乡县合河乡新王线东北永康路口南100米</w:t>
            </w:r>
            <w:r>
              <w:rPr>
                <w:rFonts w:hint="default" w:ascii="Times New Roman" w:hAnsi="Times New Roman" w:cs="Times New Roman"/>
                <w:color w:val="auto"/>
                <w:sz w:val="24"/>
              </w:rPr>
              <w:t>，经现场勘查，本建设项目周围无学校、医院、文物保护、风景名胜等环境敏感目标。</w:t>
            </w:r>
            <w:r>
              <w:rPr>
                <w:rFonts w:hint="default" w:ascii="Times New Roman" w:hAnsi="Times New Roman" w:eastAsia="宋体" w:cs="Times New Roman"/>
                <w:b w:val="0"/>
                <w:bCs/>
                <w:color w:val="auto"/>
                <w:sz w:val="24"/>
                <w:szCs w:val="24"/>
                <w:lang w:val="en-US" w:eastAsia="zh-CN"/>
              </w:rPr>
              <w:t>根据《</w:t>
            </w:r>
            <w:r>
              <w:rPr>
                <w:rFonts w:hint="eastAsia" w:cs="Times New Roman"/>
                <w:b w:val="0"/>
                <w:bCs/>
                <w:color w:val="auto"/>
                <w:sz w:val="24"/>
                <w:szCs w:val="24"/>
                <w:lang w:val="en-US" w:eastAsia="zh-CN"/>
              </w:rPr>
              <w:t>合河乡土地利用总体</w:t>
            </w:r>
            <w:r>
              <w:rPr>
                <w:rFonts w:hint="default" w:ascii="Times New Roman" w:hAnsi="Times New Roman" w:eastAsia="宋体" w:cs="Times New Roman"/>
                <w:b w:val="0"/>
                <w:bCs/>
                <w:color w:val="auto"/>
                <w:sz w:val="24"/>
                <w:szCs w:val="24"/>
                <w:lang w:val="en-US" w:eastAsia="zh-CN"/>
              </w:rPr>
              <w:t>规划（201</w:t>
            </w:r>
            <w:r>
              <w:rPr>
                <w:rFonts w:hint="eastAsia" w:cs="Times New Roman"/>
                <w:b w:val="0"/>
                <w:bCs/>
                <w:color w:val="auto"/>
                <w:sz w:val="24"/>
                <w:szCs w:val="24"/>
                <w:lang w:val="en-US" w:eastAsia="zh-CN"/>
              </w:rPr>
              <w:t>0</w:t>
            </w:r>
            <w:r>
              <w:rPr>
                <w:rFonts w:hint="default" w:ascii="Times New Roman" w:hAnsi="Times New Roman" w:eastAsia="宋体" w:cs="Times New Roman"/>
                <w:b w:val="0"/>
                <w:bCs/>
                <w:color w:val="auto"/>
                <w:sz w:val="24"/>
                <w:szCs w:val="24"/>
                <w:lang w:val="en-US" w:eastAsia="zh-CN"/>
              </w:rPr>
              <w:t>-20</w:t>
            </w:r>
            <w:r>
              <w:rPr>
                <w:rFonts w:hint="eastAsia"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0</w:t>
            </w:r>
            <w:r>
              <w:rPr>
                <w:rFonts w:hint="eastAsia" w:cs="Times New Roman"/>
                <w:b w:val="0"/>
                <w:bCs/>
                <w:color w:val="auto"/>
                <w:sz w:val="24"/>
                <w:szCs w:val="24"/>
                <w:lang w:val="en-US" w:eastAsia="zh-CN"/>
              </w:rPr>
              <w:t>年</w:t>
            </w:r>
            <w:r>
              <w:rPr>
                <w:rFonts w:hint="default"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和</w:t>
            </w:r>
            <w:r>
              <w:rPr>
                <w:rFonts w:hint="default"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新乡县土地利用总体</w:t>
            </w:r>
            <w:r>
              <w:rPr>
                <w:rFonts w:hint="default" w:ascii="Times New Roman" w:hAnsi="Times New Roman" w:eastAsia="宋体" w:cs="Times New Roman"/>
                <w:b w:val="0"/>
                <w:bCs/>
                <w:color w:val="auto"/>
                <w:sz w:val="24"/>
                <w:szCs w:val="24"/>
                <w:lang w:val="en-US" w:eastAsia="zh-CN"/>
              </w:rPr>
              <w:t>规划（201</w:t>
            </w:r>
            <w:r>
              <w:rPr>
                <w:rFonts w:hint="eastAsia" w:cs="Times New Roman"/>
                <w:b w:val="0"/>
                <w:bCs/>
                <w:color w:val="auto"/>
                <w:sz w:val="24"/>
                <w:szCs w:val="24"/>
                <w:lang w:val="en-US" w:eastAsia="zh-CN"/>
              </w:rPr>
              <w:t>0</w:t>
            </w:r>
            <w:r>
              <w:rPr>
                <w:rFonts w:hint="default" w:ascii="Times New Roman" w:hAnsi="Times New Roman" w:eastAsia="宋体" w:cs="Times New Roman"/>
                <w:b w:val="0"/>
                <w:bCs/>
                <w:color w:val="auto"/>
                <w:sz w:val="24"/>
                <w:szCs w:val="24"/>
                <w:lang w:val="en-US" w:eastAsia="zh-CN"/>
              </w:rPr>
              <w:t>-20</w:t>
            </w:r>
            <w:r>
              <w:rPr>
                <w:rFonts w:hint="eastAsia"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0</w:t>
            </w:r>
            <w:r>
              <w:rPr>
                <w:rFonts w:hint="eastAsia" w:cs="Times New Roman"/>
                <w:b w:val="0"/>
                <w:bCs/>
                <w:color w:val="auto"/>
                <w:sz w:val="24"/>
                <w:szCs w:val="24"/>
                <w:lang w:val="en-US" w:eastAsia="zh-CN"/>
              </w:rPr>
              <w:t>年</w:t>
            </w:r>
            <w:r>
              <w:rPr>
                <w:rFonts w:hint="default" w:ascii="Times New Roman" w:hAnsi="Times New Roman" w:eastAsia="宋体" w:cs="Times New Roman"/>
                <w:b w:val="0"/>
                <w:bCs/>
                <w:color w:val="auto"/>
                <w:sz w:val="24"/>
                <w:szCs w:val="24"/>
                <w:lang w:val="en-US" w:eastAsia="zh-CN"/>
              </w:rPr>
              <w:t>）》可知，</w:t>
            </w:r>
            <w:r>
              <w:rPr>
                <w:rStyle w:val="29"/>
                <w:rFonts w:hint="eastAsia" w:ascii="Times New Roman" w:hAnsi="Times New Roman"/>
                <w:b w:val="0"/>
                <w:bCs w:val="0"/>
                <w:color w:val="auto"/>
                <w:sz w:val="24"/>
                <w:highlight w:val="none"/>
                <w:u w:val="none"/>
                <w:lang w:val="en-US" w:eastAsia="zh-CN"/>
              </w:rPr>
              <w:t>本项目选址</w:t>
            </w:r>
            <w:r>
              <w:rPr>
                <w:rStyle w:val="29"/>
                <w:rFonts w:hint="eastAsia"/>
                <w:b w:val="0"/>
                <w:bCs w:val="0"/>
                <w:color w:val="auto"/>
                <w:sz w:val="24"/>
                <w:highlight w:val="none"/>
                <w:u w:val="none"/>
                <w:lang w:val="en-US" w:eastAsia="zh-CN"/>
              </w:rPr>
              <w:t>属于建设用地</w:t>
            </w:r>
            <w:r>
              <w:rPr>
                <w:rFonts w:hint="eastAsia" w:cs="Times New Roman"/>
                <w:b w:val="0"/>
                <w:bCs/>
                <w:color w:val="auto"/>
                <w:sz w:val="24"/>
                <w:szCs w:val="24"/>
                <w:lang w:val="en-US" w:eastAsia="zh-CN"/>
              </w:rPr>
              <w:t>。</w:t>
            </w:r>
            <w:r>
              <w:rPr>
                <w:rFonts w:hint="eastAsia"/>
                <w:color w:val="auto"/>
                <w:sz w:val="24"/>
                <w:highlight w:val="none"/>
                <w:lang w:eastAsia="zh-CN"/>
              </w:rPr>
              <w:t>对照新</w:t>
            </w:r>
            <w:r>
              <w:rPr>
                <w:rFonts w:hint="default" w:ascii="Times New Roman" w:hAnsi="Times New Roman" w:cs="Times New Roman"/>
                <w:color w:val="auto"/>
                <w:sz w:val="24"/>
                <w:highlight w:val="none"/>
                <w:lang w:eastAsia="zh-CN"/>
              </w:rPr>
              <w:t>环</w:t>
            </w:r>
            <w:r>
              <w:rPr>
                <w:rFonts w:hint="default" w:ascii="Times New Roman" w:hAnsi="Times New Roman" w:cs="Times New Roman"/>
                <w:color w:val="auto"/>
                <w:sz w:val="24"/>
                <w:highlight w:val="none"/>
                <w:lang w:val="en-US" w:eastAsia="zh-CN"/>
              </w:rPr>
              <w:t>[2015]342</w:t>
            </w:r>
            <w:r>
              <w:rPr>
                <w:rFonts w:hint="eastAsia"/>
                <w:color w:val="auto"/>
                <w:sz w:val="24"/>
                <w:highlight w:val="none"/>
                <w:lang w:val="en-US" w:eastAsia="zh-CN"/>
              </w:rPr>
              <w:t>号文，不属于该文件中不予审批的项目。</w:t>
            </w:r>
          </w:p>
          <w:p>
            <w:pPr>
              <w:autoSpaceDE w:val="0"/>
              <w:autoSpaceDN w:val="0"/>
              <w:adjustRightInd w:val="0"/>
              <w:snapToGrid w:val="0"/>
              <w:spacing w:line="360" w:lineRule="auto"/>
              <w:ind w:firstLine="480" w:firstLineChars="200"/>
              <w:rPr>
                <w:rFonts w:hint="eastAsia"/>
                <w:bCs/>
                <w:color w:val="auto"/>
                <w:sz w:val="24"/>
              </w:rPr>
            </w:pPr>
            <w:r>
              <w:rPr>
                <w:rFonts w:hint="eastAsia"/>
                <w:bCs/>
                <w:color w:val="auto"/>
                <w:sz w:val="24"/>
              </w:rPr>
              <w:t>项目营运期间产生废水经化粪池处理后</w:t>
            </w:r>
            <w:r>
              <w:rPr>
                <w:rFonts w:hint="eastAsia"/>
                <w:bCs/>
                <w:color w:val="auto"/>
                <w:sz w:val="24"/>
                <w:lang w:eastAsia="zh-CN"/>
              </w:rPr>
              <w:t>定期清运，不外排</w:t>
            </w:r>
            <w:r>
              <w:rPr>
                <w:rFonts w:hint="eastAsia"/>
                <w:bCs/>
                <w:color w:val="auto"/>
                <w:sz w:val="24"/>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rFonts w:hint="eastAsia"/>
                <w:bCs/>
                <w:color w:val="auto"/>
                <w:sz w:val="24"/>
                <w:lang w:eastAsia="zh-CN"/>
              </w:rPr>
            </w:pPr>
            <w:r>
              <w:rPr>
                <w:rFonts w:hint="eastAsia"/>
                <w:bCs/>
                <w:color w:val="auto"/>
                <w:sz w:val="24"/>
                <w:lang w:eastAsia="zh-CN"/>
              </w:rPr>
              <w:t>终上所述，本项目</w:t>
            </w:r>
            <w:r>
              <w:rPr>
                <w:rFonts w:hint="eastAsia"/>
                <w:bCs/>
                <w:color w:val="auto"/>
                <w:sz w:val="24"/>
                <w:lang w:val="en-US" w:eastAsia="zh-CN"/>
              </w:rPr>
              <w:t>营运期间</w:t>
            </w:r>
            <w:r>
              <w:rPr>
                <w:bCs/>
                <w:color w:val="auto"/>
                <w:sz w:val="24"/>
              </w:rPr>
              <w:t>产生</w:t>
            </w:r>
            <w:r>
              <w:rPr>
                <w:rFonts w:hint="eastAsia"/>
                <w:bCs/>
                <w:color w:val="auto"/>
                <w:sz w:val="24"/>
                <w:lang w:eastAsia="zh-CN"/>
              </w:rPr>
              <w:t>的</w:t>
            </w:r>
            <w:r>
              <w:rPr>
                <w:bCs/>
                <w:color w:val="auto"/>
                <w:sz w:val="24"/>
              </w:rPr>
              <w:t>废水、噪声和固体废物等方面环境影响，在采用相应的污染防治措施后</w:t>
            </w:r>
            <w:r>
              <w:rPr>
                <w:rFonts w:hint="eastAsia"/>
                <w:color w:val="auto"/>
                <w:sz w:val="24"/>
              </w:rPr>
              <w:t>污染物均得到合理的处置</w:t>
            </w:r>
            <w:r>
              <w:rPr>
                <w:bCs/>
                <w:color w:val="auto"/>
                <w:sz w:val="24"/>
              </w:rPr>
              <w:t>，对周围环境及敏感点影响较小，</w:t>
            </w:r>
            <w:r>
              <w:rPr>
                <w:rFonts w:hint="eastAsia"/>
                <w:bCs/>
                <w:color w:val="auto"/>
                <w:sz w:val="24"/>
                <w:lang w:eastAsia="zh-CN"/>
              </w:rPr>
              <w:t>与周围无明显制约关系。</w:t>
            </w:r>
          </w:p>
          <w:p>
            <w:pPr>
              <w:autoSpaceDE w:val="0"/>
              <w:autoSpaceDN w:val="0"/>
              <w:adjustRightInd w:val="0"/>
              <w:snapToGrid w:val="0"/>
              <w:spacing w:line="360" w:lineRule="auto"/>
              <w:ind w:firstLine="480" w:firstLineChars="200"/>
              <w:rPr>
                <w:rFonts w:hint="eastAsia"/>
                <w:color w:val="auto"/>
                <w:sz w:val="24"/>
              </w:rPr>
            </w:pPr>
            <w:r>
              <w:rPr>
                <w:rFonts w:hint="eastAsia"/>
                <w:bCs/>
                <w:color w:val="auto"/>
                <w:sz w:val="24"/>
                <w:lang w:eastAsia="zh-CN"/>
              </w:rPr>
              <w:t>因此，</w:t>
            </w:r>
            <w:r>
              <w:rPr>
                <w:rFonts w:hint="eastAsia"/>
                <w:color w:val="auto"/>
                <w:sz w:val="24"/>
              </w:rPr>
              <w:t>从环保角度出发，</w:t>
            </w:r>
            <w:r>
              <w:rPr>
                <w:color w:val="auto"/>
                <w:sz w:val="24"/>
              </w:rPr>
              <w:t>评价认为</w:t>
            </w:r>
            <w:r>
              <w:rPr>
                <w:rFonts w:hint="eastAsia"/>
                <w:bCs/>
                <w:color w:val="auto"/>
                <w:sz w:val="24"/>
                <w:lang w:eastAsia="zh-CN"/>
              </w:rPr>
              <w:t>该项目</w:t>
            </w:r>
            <w:r>
              <w:rPr>
                <w:color w:val="auto"/>
                <w:sz w:val="24"/>
              </w:rPr>
              <w:t>选址可行。</w:t>
            </w:r>
          </w:p>
          <w:p>
            <w:pPr>
              <w:keepNext w:val="0"/>
              <w:keepLines w:val="0"/>
              <w:pageBreakBefore w:val="0"/>
              <w:widowControl w:val="0"/>
              <w:kinsoku/>
              <w:wordWrap/>
              <w:overflowPunct/>
              <w:topLinePunct w:val="0"/>
              <w:autoSpaceDE/>
              <w:autoSpaceDN/>
              <w:bidi w:val="0"/>
              <w:adjustRightInd w:val="0"/>
              <w:snapToGrid w:val="0"/>
              <w:spacing w:line="360" w:lineRule="auto"/>
              <w:rPr>
                <w:rFonts w:hint="eastAsia" w:hAnsi="新宋体" w:eastAsia="新宋体"/>
                <w:color w:val="auto"/>
                <w:sz w:val="24"/>
              </w:rPr>
            </w:pPr>
            <w:r>
              <w:rPr>
                <w:rFonts w:hint="eastAsia"/>
                <w:b/>
                <w:color w:val="auto"/>
                <w:sz w:val="24"/>
              </w:rPr>
              <w:t>三</w:t>
            </w:r>
            <w:r>
              <w:rPr>
                <w:b/>
                <w:color w:val="auto"/>
                <w:sz w:val="24"/>
              </w:rPr>
              <w:t>、</w:t>
            </w:r>
            <w:r>
              <w:rPr>
                <w:rFonts w:hint="eastAsia"/>
                <w:b/>
                <w:color w:val="auto"/>
                <w:sz w:val="24"/>
              </w:rPr>
              <w:t>环境影响</w:t>
            </w:r>
            <w:r>
              <w:rPr>
                <w:b/>
                <w:color w:val="auto"/>
                <w:sz w:val="24"/>
              </w:rPr>
              <w:t>分析结论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eastAsia" w:cs="Times New Roman"/>
                <w:color w:val="auto"/>
                <w:sz w:val="24"/>
                <w:lang w:val="en-US" w:eastAsia="zh-CN"/>
              </w:rPr>
              <w:t>1</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水环境影响分析</w:t>
            </w:r>
          </w:p>
          <w:p>
            <w:pPr>
              <w:adjustRightInd w:val="0"/>
              <w:snapToGrid w:val="0"/>
              <w:spacing w:line="360" w:lineRule="auto"/>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lang w:eastAsia="zh-CN"/>
              </w:rPr>
              <w:t>本项目</w:t>
            </w:r>
            <w:r>
              <w:rPr>
                <w:rFonts w:hint="eastAsia" w:cs="Times New Roman"/>
                <w:color w:val="auto"/>
                <w:sz w:val="24"/>
                <w:lang w:eastAsia="zh-CN"/>
              </w:rPr>
              <w:t>无生产用水，</w:t>
            </w:r>
            <w:r>
              <w:rPr>
                <w:rFonts w:hint="default" w:ascii="Times New Roman" w:hAnsi="Times New Roman" w:cs="Times New Roman"/>
                <w:color w:val="auto"/>
                <w:sz w:val="24"/>
              </w:rPr>
              <w:t>项目废水</w:t>
            </w:r>
            <w:r>
              <w:rPr>
                <w:rFonts w:hint="default" w:ascii="Times New Roman" w:hAnsi="Times New Roman" w:cs="Times New Roman"/>
                <w:color w:val="auto"/>
                <w:sz w:val="24"/>
                <w:lang w:eastAsia="zh-CN"/>
              </w:rPr>
              <w:t>主要为</w:t>
            </w:r>
            <w:r>
              <w:rPr>
                <w:rFonts w:hint="default" w:ascii="Times New Roman" w:hAnsi="Times New Roman" w:cs="Times New Roman"/>
                <w:color w:val="auto"/>
                <w:sz w:val="24"/>
              </w:rPr>
              <w:t>生活污水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生活污水经</w:t>
            </w:r>
            <w:r>
              <w:rPr>
                <w:rFonts w:hint="default" w:ascii="Times New Roman" w:hAnsi="Times New Roman" w:cs="Times New Roman"/>
                <w:color w:val="auto"/>
                <w:sz w:val="24"/>
                <w:lang w:eastAsia="zh-CN"/>
              </w:rPr>
              <w:t>化粪池</w:t>
            </w:r>
            <w:r>
              <w:rPr>
                <w:rFonts w:hint="default" w:ascii="Times New Roman" w:hAnsi="Times New Roman" w:cs="Times New Roman"/>
                <w:color w:val="auto"/>
                <w:sz w:val="24"/>
              </w:rPr>
              <w:t>处理后</w:t>
            </w:r>
            <w:r>
              <w:rPr>
                <w:rFonts w:hint="default" w:ascii="Times New Roman" w:hAnsi="Times New Roman" w:cs="Times New Roman"/>
                <w:color w:val="auto"/>
                <w:sz w:val="24"/>
                <w:lang w:eastAsia="zh-CN"/>
              </w:rPr>
              <w:t>定期清运，不外排</w:t>
            </w:r>
            <w:r>
              <w:rPr>
                <w:rFonts w:hint="default" w:ascii="Times New Roman" w:hAnsi="Times New Roman" w:cs="Times New Roman"/>
                <w:color w:val="auto"/>
                <w:sz w:val="24"/>
              </w:rPr>
              <w:t>。</w:t>
            </w:r>
          </w:p>
          <w:p>
            <w:pPr>
              <w:adjustRightInd w:val="0"/>
              <w:snapToGrid w:val="0"/>
              <w:spacing w:line="360" w:lineRule="auto"/>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评价要求化粪池的池底和池壁应做好防渗、防漏，避免污染地下水。生活污水经以上措施处理后，对项目周围地表水环境影响较小。</w:t>
            </w:r>
          </w:p>
          <w:p>
            <w:pPr>
              <w:adjustRightInd w:val="0"/>
              <w:snapToGrid w:val="0"/>
              <w:spacing w:line="360" w:lineRule="auto"/>
              <w:ind w:firstLine="480" w:firstLineChars="200"/>
              <w:textAlignment w:val="baseline"/>
              <w:rPr>
                <w:rFonts w:hint="default" w:ascii="Times New Roman" w:hAnsi="Times New Roman" w:eastAsia="宋体" w:cs="Times New Roman"/>
                <w:b/>
                <w:color w:val="auto"/>
                <w:sz w:val="24"/>
                <w:lang w:eastAsia="zh-CN"/>
              </w:rPr>
            </w:pPr>
            <w:r>
              <w:rPr>
                <w:rFonts w:hint="default" w:ascii="Times New Roman" w:hAnsi="Times New Roman" w:cs="Times New Roman"/>
                <w:color w:val="auto"/>
                <w:sz w:val="24"/>
              </w:rPr>
              <w:t>（</w:t>
            </w:r>
            <w:r>
              <w:rPr>
                <w:rFonts w:hint="eastAsia" w:cs="Times New Roman"/>
                <w:color w:val="auto"/>
                <w:sz w:val="24"/>
                <w:lang w:val="en-US"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声环境影响分析</w:t>
            </w:r>
          </w:p>
          <w:p>
            <w:pPr>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本项目噪声主要来自于</w:t>
            </w:r>
            <w:r>
              <w:rPr>
                <w:rFonts w:hint="eastAsia" w:ascii="Times New Roman" w:hAnsi="Times New Roman" w:cs="Times New Roman"/>
                <w:color w:val="auto"/>
                <w:sz w:val="24"/>
                <w:lang w:eastAsia="zh-CN"/>
              </w:rPr>
              <w:t>车床、立车、钻床、台钻</w:t>
            </w:r>
            <w:r>
              <w:rPr>
                <w:rFonts w:hint="default" w:ascii="Times New Roman" w:hAnsi="Times New Roman" w:cs="Times New Roman"/>
                <w:color w:val="auto"/>
                <w:sz w:val="24"/>
              </w:rPr>
              <w:t>等设备运行，采取设备安装基础减振、墙体隔声等措施后，</w:t>
            </w:r>
            <w:r>
              <w:rPr>
                <w:rFonts w:hint="default" w:ascii="Times New Roman" w:hAnsi="Times New Roman" w:cs="Times New Roman"/>
                <w:b w:val="0"/>
                <w:bCs/>
                <w:color w:val="auto"/>
                <w:sz w:val="24"/>
                <w:u w:val="none"/>
              </w:rPr>
              <w:t>项</w:t>
            </w:r>
            <w:r>
              <w:rPr>
                <w:rFonts w:hint="default" w:ascii="Times New Roman" w:hAnsi="Times New Roman" w:cs="Times New Roman"/>
                <w:bCs/>
                <w:color w:val="auto"/>
                <w:sz w:val="24"/>
              </w:rPr>
              <w:t>目各厂界噪声值噪声叠加值均能够满足《工业企业厂界环境噪声排放标准》（GB12348-2008）</w:t>
            </w:r>
            <w:r>
              <w:rPr>
                <w:rFonts w:hint="eastAsia" w:cs="Times New Roman"/>
                <w:bCs/>
                <w:color w:val="auto"/>
                <w:sz w:val="24"/>
                <w:lang w:val="en-US" w:eastAsia="zh-CN"/>
              </w:rPr>
              <w:t>2</w:t>
            </w:r>
            <w:r>
              <w:rPr>
                <w:rFonts w:hint="default" w:ascii="Times New Roman" w:hAnsi="Times New Roman" w:cs="Times New Roman"/>
                <w:bCs/>
                <w:color w:val="auto"/>
                <w:sz w:val="24"/>
              </w:rPr>
              <w:t>类标准要求，</w:t>
            </w:r>
            <w:r>
              <w:rPr>
                <w:rFonts w:hint="eastAsia"/>
                <w:bCs/>
                <w:color w:val="auto"/>
                <w:sz w:val="24"/>
                <w:lang w:eastAsia="zh-CN"/>
              </w:rPr>
              <w:t>敏感点噪声</w:t>
            </w:r>
            <w:r>
              <w:rPr>
                <w:rFonts w:hint="eastAsia"/>
                <w:bCs/>
                <w:color w:val="auto"/>
                <w:sz w:val="24"/>
              </w:rPr>
              <w:t>叠加值</w:t>
            </w:r>
            <w:r>
              <w:rPr>
                <w:rFonts w:hint="default"/>
                <w:bCs/>
                <w:color w:val="auto"/>
                <w:sz w:val="24"/>
              </w:rPr>
              <w:t>均能够满足《声环境质量标准》（GB3096-2008）</w:t>
            </w:r>
            <w:r>
              <w:rPr>
                <w:rFonts w:hint="eastAsia"/>
                <w:bCs/>
                <w:color w:val="auto"/>
                <w:sz w:val="24"/>
                <w:lang w:val="en-US" w:eastAsia="zh-CN"/>
              </w:rPr>
              <w:t>2</w:t>
            </w:r>
            <w:r>
              <w:rPr>
                <w:rFonts w:hint="default"/>
                <w:bCs/>
                <w:color w:val="auto"/>
                <w:sz w:val="24"/>
              </w:rPr>
              <w:t>类标准要求</w:t>
            </w:r>
            <w:r>
              <w:rPr>
                <w:rFonts w:hint="eastAsia" w:cs="Times New Roman"/>
                <w:bCs/>
                <w:color w:val="auto"/>
                <w:sz w:val="24"/>
                <w:lang w:eastAsia="zh-CN"/>
              </w:rPr>
              <w:t>，</w:t>
            </w:r>
            <w:r>
              <w:rPr>
                <w:rFonts w:hint="default" w:ascii="Times New Roman" w:hAnsi="Times New Roman" w:cs="Times New Roman"/>
                <w:bCs/>
                <w:color w:val="auto"/>
                <w:sz w:val="24"/>
              </w:rPr>
              <w:t>对周围的声环境影响较小。</w:t>
            </w:r>
          </w:p>
          <w:p>
            <w:pPr>
              <w:adjustRightInd w:val="0"/>
              <w:snapToGrid w:val="0"/>
              <w:spacing w:line="360" w:lineRule="auto"/>
              <w:ind w:firstLine="482"/>
              <w:rPr>
                <w:color w:val="auto"/>
                <w:sz w:val="24"/>
              </w:rPr>
            </w:pPr>
            <w:r>
              <w:rPr>
                <w:rFonts w:hint="default" w:ascii="Times New Roman" w:hAnsi="Times New Roman" w:cs="Times New Roman"/>
                <w:color w:val="auto"/>
                <w:sz w:val="24"/>
              </w:rPr>
              <w:t>（</w:t>
            </w:r>
            <w:r>
              <w:rPr>
                <w:rFonts w:hint="eastAsia" w:cs="Times New Roman"/>
                <w:color w:val="auto"/>
                <w:sz w:val="24"/>
                <w:lang w:val="en-US" w:eastAsia="zh-CN"/>
              </w:rPr>
              <w:t>3</w:t>
            </w:r>
            <w:r>
              <w:rPr>
                <w:rFonts w:hint="default" w:ascii="Times New Roman" w:hAnsi="Times New Roman" w:cs="Times New Roman"/>
                <w:color w:val="auto"/>
                <w:sz w:val="24"/>
              </w:rPr>
              <w:t>）固体废</w:t>
            </w:r>
            <w:r>
              <w:rPr>
                <w:rFonts w:hint="eastAsia"/>
                <w:color w:val="auto"/>
                <w:sz w:val="24"/>
              </w:rPr>
              <w:t>物</w:t>
            </w:r>
          </w:p>
          <w:p>
            <w:pPr>
              <w:snapToGrid w:val="0"/>
              <w:spacing w:line="360" w:lineRule="auto"/>
              <w:ind w:firstLine="480" w:firstLineChars="200"/>
              <w:rPr>
                <w:rFonts w:hint="eastAsia" w:cs="Times New Roman"/>
                <w:color w:val="auto"/>
                <w:sz w:val="24"/>
                <w:lang w:eastAsia="zh-CN"/>
              </w:rPr>
            </w:pPr>
            <w:r>
              <w:rPr>
                <w:rFonts w:hint="eastAsia" w:cs="Times New Roman"/>
                <w:color w:val="auto"/>
                <w:sz w:val="24"/>
                <w:lang w:eastAsia="zh-CN"/>
              </w:rPr>
              <w:t>项目产生的固体废物主要为一般固废和危险废物。</w:t>
            </w:r>
          </w:p>
          <w:p>
            <w:pPr>
              <w:snapToGrid w:val="0"/>
              <w:spacing w:line="360" w:lineRule="auto"/>
              <w:ind w:firstLine="480" w:firstLineChars="200"/>
              <w:rPr>
                <w:rFonts w:hint="eastAsia"/>
                <w:bCs/>
                <w:color w:val="auto"/>
                <w:sz w:val="24"/>
                <w:lang w:eastAsia="zh-CN"/>
              </w:rPr>
            </w:pPr>
            <w:r>
              <w:rPr>
                <w:rFonts w:hint="eastAsia" w:cs="Times New Roman"/>
                <w:color w:val="auto"/>
                <w:sz w:val="24"/>
                <w:lang w:eastAsia="zh-CN"/>
              </w:rPr>
              <w:t>一般固废包括金属边角料</w:t>
            </w:r>
            <w:r>
              <w:rPr>
                <w:rFonts w:hint="eastAsia" w:ascii="Times New Roman" w:hAnsi="Times New Roman" w:cs="Times New Roman"/>
                <w:color w:val="auto"/>
                <w:sz w:val="24"/>
                <w:lang w:eastAsia="zh-CN"/>
              </w:rPr>
              <w:t>和</w:t>
            </w:r>
            <w:r>
              <w:rPr>
                <w:bCs/>
                <w:color w:val="auto"/>
                <w:sz w:val="24"/>
              </w:rPr>
              <w:t>生活垃圾</w:t>
            </w:r>
            <w:r>
              <w:rPr>
                <w:rFonts w:hint="eastAsia" w:ascii="Times New Roman" w:hAnsi="Times New Roman" w:cs="Times New Roman"/>
                <w:color w:val="auto"/>
                <w:sz w:val="24"/>
                <w:lang w:eastAsia="zh-CN"/>
              </w:rPr>
              <w:t>。</w:t>
            </w:r>
            <w:r>
              <w:rPr>
                <w:rFonts w:hint="eastAsia" w:cs="Times New Roman"/>
                <w:color w:val="auto"/>
                <w:sz w:val="24"/>
                <w:lang w:eastAsia="zh-CN"/>
              </w:rPr>
              <w:t>金属边角料</w:t>
            </w:r>
            <w:r>
              <w:rPr>
                <w:rFonts w:hint="eastAsia"/>
                <w:color w:val="auto"/>
                <w:sz w:val="24"/>
                <w:lang w:eastAsia="zh-CN"/>
              </w:rPr>
              <w:t>收集后外售；</w:t>
            </w:r>
            <w:r>
              <w:rPr>
                <w:bCs/>
                <w:color w:val="auto"/>
                <w:sz w:val="24"/>
              </w:rPr>
              <w:t>生活垃圾经集中</w:t>
            </w:r>
            <w:r>
              <w:rPr>
                <w:rFonts w:hint="eastAsia"/>
                <w:bCs/>
                <w:color w:val="auto"/>
                <w:sz w:val="24"/>
                <w:lang w:eastAsia="zh-CN"/>
              </w:rPr>
              <w:t>收集</w:t>
            </w:r>
            <w:r>
              <w:rPr>
                <w:bCs/>
                <w:color w:val="auto"/>
                <w:sz w:val="24"/>
              </w:rPr>
              <w:t>后由环卫部门统一</w:t>
            </w:r>
            <w:r>
              <w:rPr>
                <w:rFonts w:hint="eastAsia"/>
                <w:bCs/>
                <w:color w:val="auto"/>
                <w:sz w:val="24"/>
                <w:lang w:eastAsia="zh-CN"/>
              </w:rPr>
              <w:t>清运</w:t>
            </w:r>
            <w:r>
              <w:rPr>
                <w:bCs/>
                <w:color w:val="auto"/>
                <w:sz w:val="24"/>
              </w:rPr>
              <w:t>。</w:t>
            </w:r>
            <w:r>
              <w:rPr>
                <w:rFonts w:hint="eastAsia"/>
                <w:bCs/>
                <w:color w:val="auto"/>
                <w:sz w:val="24"/>
                <w:lang w:val="en-US" w:eastAsia="zh-CN"/>
              </w:rPr>
              <w:t>危险废物主要包括维护设备产生的废润滑油和含油废抹布，废润滑油</w:t>
            </w:r>
            <w:r>
              <w:rPr>
                <w:rFonts w:hint="eastAsia"/>
                <w:bCs/>
                <w:color w:val="auto"/>
                <w:sz w:val="24"/>
                <w:lang w:eastAsia="zh-CN"/>
              </w:rPr>
              <w:t>经厂区危废暂存间集中收集后由具有危废处理资质单位统一收集处理，</w:t>
            </w:r>
            <w:r>
              <w:rPr>
                <w:rFonts w:hint="eastAsia"/>
                <w:bCs/>
                <w:color w:val="auto"/>
                <w:sz w:val="24"/>
                <w:lang w:val="en-US" w:eastAsia="zh-CN"/>
              </w:rPr>
              <w:t>含油废抹布与</w:t>
            </w:r>
            <w:r>
              <w:rPr>
                <w:rFonts w:hint="eastAsia"/>
                <w:bCs/>
                <w:color w:val="auto"/>
                <w:sz w:val="24"/>
                <w:lang w:eastAsia="zh-CN"/>
              </w:rPr>
              <w:t>生活垃圾一同运至垃圾中转站集中处理。</w:t>
            </w:r>
          </w:p>
          <w:p>
            <w:pPr>
              <w:snapToGrid w:val="0"/>
              <w:spacing w:line="360" w:lineRule="auto"/>
              <w:ind w:firstLine="480" w:firstLineChars="200"/>
              <w:rPr>
                <w:bCs/>
                <w:color w:val="auto"/>
                <w:sz w:val="24"/>
              </w:rPr>
            </w:pPr>
            <w:r>
              <w:rPr>
                <w:rFonts w:hint="eastAsia"/>
                <w:bCs/>
                <w:color w:val="auto"/>
                <w:sz w:val="24"/>
                <w:lang w:eastAsia="zh-CN"/>
              </w:rPr>
              <w:t>固废经以上措施处理后，</w:t>
            </w:r>
            <w:r>
              <w:rPr>
                <w:bCs/>
                <w:color w:val="auto"/>
                <w:sz w:val="24"/>
              </w:rPr>
              <w:t>对周围环境影响不大。</w:t>
            </w:r>
          </w:p>
          <w:p>
            <w:p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lang w:eastAsia="zh-CN"/>
              </w:rPr>
              <w:t>（</w:t>
            </w:r>
            <w:r>
              <w:rPr>
                <w:rFonts w:hint="eastAsia" w:cs="Times New Roman"/>
                <w:bCs/>
                <w:color w:val="auto"/>
                <w:sz w:val="24"/>
                <w:lang w:val="en-US" w:eastAsia="zh-CN"/>
              </w:rPr>
              <w:t>4</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项目总量控制指标</w:t>
            </w:r>
          </w:p>
          <w:p>
            <w:pPr>
              <w:adjustRightInd w:val="0"/>
              <w:snapToGrid w:val="0"/>
              <w:spacing w:line="360" w:lineRule="auto"/>
              <w:ind w:firstLine="480" w:firstLineChars="200"/>
              <w:rPr>
                <w:rFonts w:hint="default" w:ascii="Times New Roman" w:hAnsi="Times New Roman" w:cs="Times New Roman"/>
                <w:bCs/>
                <w:color w:val="auto"/>
                <w:sz w:val="24"/>
                <w:lang w:eastAsia="zh-CN"/>
              </w:rPr>
            </w:pPr>
            <w:r>
              <w:rPr>
                <w:rFonts w:hint="default" w:ascii="Times New Roman" w:hAnsi="Times New Roman" w:cs="Times New Roman"/>
                <w:bCs/>
                <w:color w:val="auto"/>
                <w:sz w:val="24"/>
              </w:rPr>
              <w:t>项目生产过程中，</w:t>
            </w:r>
            <w:r>
              <w:rPr>
                <w:rFonts w:hint="default" w:ascii="Times New Roman" w:hAnsi="Times New Roman" w:cs="Times New Roman"/>
                <w:color w:val="auto"/>
                <w:sz w:val="24"/>
              </w:rPr>
              <w:t>无SO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x</w:t>
            </w:r>
            <w:r>
              <w:rPr>
                <w:rFonts w:hint="eastAsia" w:cs="Times New Roman"/>
                <w:color w:val="auto"/>
                <w:sz w:val="24"/>
                <w:vertAlign w:val="baseline"/>
                <w:lang w:eastAsia="zh-CN"/>
              </w:rPr>
              <w:t>等</w:t>
            </w:r>
            <w:r>
              <w:rPr>
                <w:rFonts w:hint="default" w:ascii="Times New Roman" w:hAnsi="Times New Roman" w:cs="Times New Roman"/>
                <w:color w:val="auto"/>
                <w:sz w:val="24"/>
              </w:rPr>
              <w:t>废气产生</w:t>
            </w:r>
            <w:r>
              <w:rPr>
                <w:rFonts w:hint="default" w:ascii="Times New Roman" w:hAnsi="Times New Roman" w:cs="Times New Roman"/>
                <w:bCs/>
                <w:color w:val="auto"/>
                <w:sz w:val="24"/>
              </w:rPr>
              <w:t>；项目废水</w:t>
            </w:r>
            <w:r>
              <w:rPr>
                <w:rFonts w:hint="default" w:ascii="Times New Roman" w:hAnsi="Times New Roman" w:cs="Times New Roman"/>
                <w:bCs/>
                <w:color w:val="auto"/>
                <w:sz w:val="24"/>
                <w:lang w:eastAsia="zh-CN"/>
              </w:rPr>
              <w:t>主要为</w:t>
            </w:r>
            <w:r>
              <w:rPr>
                <w:rFonts w:hint="default" w:ascii="Times New Roman" w:hAnsi="Times New Roman" w:cs="Times New Roman"/>
                <w:bCs/>
                <w:color w:val="auto"/>
                <w:sz w:val="24"/>
              </w:rPr>
              <w:t>职工生活污水</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生活污水</w:t>
            </w:r>
            <w:r>
              <w:rPr>
                <w:rFonts w:hint="default" w:ascii="Times New Roman" w:hAnsi="Times New Roman" w:cs="Times New Roman"/>
                <w:color w:val="auto"/>
                <w:sz w:val="24"/>
                <w:szCs w:val="24"/>
                <w:lang w:eastAsia="zh-CN"/>
              </w:rPr>
              <w:t>经厂区化粪池处理后定期清运，不外排</w:t>
            </w:r>
            <w:r>
              <w:rPr>
                <w:rFonts w:hint="default" w:ascii="Times New Roman" w:hAnsi="Times New Roman" w:cs="Times New Roman"/>
                <w:bCs/>
                <w:color w:val="auto"/>
                <w:sz w:val="24"/>
                <w:vertAlign w:val="baseline"/>
                <w:lang w:val="en-US" w:eastAsia="zh-CN"/>
              </w:rPr>
              <w:t>。</w:t>
            </w:r>
            <w:r>
              <w:rPr>
                <w:rFonts w:hint="default" w:ascii="Times New Roman" w:hAnsi="Times New Roman" w:cs="Times New Roman"/>
                <w:bCs/>
                <w:color w:val="auto"/>
                <w:sz w:val="24"/>
                <w:lang w:eastAsia="zh-CN"/>
              </w:rPr>
              <w:t>故该项目无总量控制指标。</w:t>
            </w:r>
          </w:p>
          <w:p>
            <w:p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lang w:eastAsia="zh-CN"/>
              </w:rPr>
              <w:t>（</w:t>
            </w:r>
            <w:r>
              <w:rPr>
                <w:rFonts w:hint="eastAsia" w:cs="Times New Roman"/>
                <w:bCs/>
                <w:color w:val="auto"/>
                <w:sz w:val="24"/>
                <w:lang w:val="en-US" w:eastAsia="zh-CN"/>
              </w:rPr>
              <w:t>5</w:t>
            </w:r>
            <w:r>
              <w:rPr>
                <w:rFonts w:hint="default" w:ascii="Times New Roman" w:hAnsi="Times New Roman" w:cs="Times New Roman"/>
                <w:bCs/>
                <w:color w:val="auto"/>
                <w:sz w:val="24"/>
                <w:lang w:val="en-US" w:eastAsia="zh-CN"/>
              </w:rPr>
              <w:t>）</w:t>
            </w:r>
            <w:r>
              <w:rPr>
                <w:rFonts w:hint="default" w:ascii="Times New Roman" w:hAnsi="Times New Roman" w:cs="Times New Roman"/>
                <w:bCs/>
                <w:color w:val="auto"/>
                <w:sz w:val="24"/>
              </w:rPr>
              <w:t>环保投资</w:t>
            </w:r>
          </w:p>
          <w:p>
            <w:pPr>
              <w:adjustRightInd w:val="0"/>
              <w:snapToGrid w:val="0"/>
              <w:spacing w:line="360" w:lineRule="auto"/>
              <w:ind w:firstLine="480" w:firstLineChars="200"/>
              <w:rPr>
                <w:rFonts w:hint="eastAsia"/>
                <w:b/>
                <w:color w:val="auto"/>
                <w:sz w:val="24"/>
              </w:rPr>
            </w:pPr>
            <w:r>
              <w:rPr>
                <w:rFonts w:hint="default" w:ascii="Times New Roman" w:hAnsi="Times New Roman" w:eastAsia="宋体" w:cs="Times New Roman"/>
                <w:color w:val="auto"/>
                <w:sz w:val="24"/>
                <w:szCs w:val="24"/>
              </w:rPr>
              <w:t>本项目总投资为</w:t>
            </w:r>
            <w:r>
              <w:rPr>
                <w:rFonts w:hint="eastAsia" w:cs="Times New Roman"/>
                <w:color w:val="auto"/>
                <w:sz w:val="24"/>
                <w:szCs w:val="24"/>
                <w:lang w:val="en-US" w:eastAsia="zh-CN"/>
              </w:rPr>
              <w:t>100万元</w:t>
            </w:r>
            <w:r>
              <w:rPr>
                <w:rFonts w:hint="default" w:ascii="Times New Roman" w:hAnsi="Times New Roman" w:eastAsia="宋体" w:cs="Times New Roman"/>
                <w:color w:val="auto"/>
                <w:sz w:val="24"/>
                <w:szCs w:val="24"/>
              </w:rPr>
              <w:t>，其中环保投资为</w:t>
            </w:r>
            <w:r>
              <w:rPr>
                <w:rFonts w:hint="eastAsia" w:cs="Times New Roman"/>
                <w:color w:val="auto"/>
                <w:sz w:val="24"/>
                <w:szCs w:val="24"/>
                <w:shd w:val="clear" w:color="auto" w:fill="auto"/>
                <w:lang w:val="en-US" w:eastAsia="zh-CN"/>
              </w:rPr>
              <w:t>8.5</w:t>
            </w:r>
            <w:r>
              <w:rPr>
                <w:rFonts w:hint="default" w:ascii="Times New Roman" w:hAnsi="Times New Roman" w:eastAsia="宋体" w:cs="Times New Roman"/>
                <w:color w:val="auto"/>
                <w:sz w:val="24"/>
                <w:szCs w:val="24"/>
                <w:shd w:val="clear" w:color="auto" w:fill="auto"/>
                <w:lang w:val="en-US" w:eastAsia="zh-CN"/>
              </w:rPr>
              <w:t>5</w:t>
            </w:r>
            <w:r>
              <w:rPr>
                <w:rFonts w:hint="default" w:ascii="Times New Roman" w:hAnsi="Times New Roman" w:eastAsia="宋体" w:cs="Times New Roman"/>
                <w:color w:val="auto"/>
                <w:sz w:val="24"/>
                <w:szCs w:val="24"/>
              </w:rPr>
              <w:t>万元</w:t>
            </w:r>
            <w:r>
              <w:rPr>
                <w:rFonts w:hint="default" w:ascii="Times New Roman" w:hAnsi="Times New Roman" w:cs="Times New Roman"/>
                <w:bCs/>
                <w:color w:val="auto"/>
                <w:sz w:val="24"/>
              </w:rPr>
              <w:t>，占总投资的</w:t>
            </w:r>
            <w:r>
              <w:rPr>
                <w:rFonts w:hint="eastAsia" w:cs="Times New Roman"/>
                <w:bCs/>
                <w:color w:val="auto"/>
                <w:sz w:val="24"/>
                <w:lang w:val="en-US" w:eastAsia="zh-CN"/>
              </w:rPr>
              <w:t>8.55</w:t>
            </w:r>
            <w:r>
              <w:rPr>
                <w:rFonts w:hint="default" w:ascii="Times New Roman" w:hAnsi="Times New Roman" w:cs="Times New Roman"/>
                <w:bCs/>
                <w:color w:val="auto"/>
                <w:sz w:val="24"/>
              </w:rPr>
              <w:t>%，其中</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万元</w:t>
            </w:r>
            <w:r>
              <w:rPr>
                <w:rFonts w:hint="eastAsia" w:cs="Times New Roman"/>
                <w:bCs/>
                <w:color w:val="auto"/>
                <w:sz w:val="24"/>
                <w:lang w:eastAsia="zh-CN"/>
              </w:rPr>
              <w:t>用于</w:t>
            </w:r>
            <w:r>
              <w:rPr>
                <w:rFonts w:hint="default" w:ascii="Times New Roman" w:hAnsi="Times New Roman" w:cs="Times New Roman"/>
                <w:bCs/>
                <w:color w:val="auto"/>
                <w:sz w:val="24"/>
              </w:rPr>
              <w:t>生活污水治理，</w:t>
            </w:r>
            <w:r>
              <w:rPr>
                <w:rFonts w:hint="default" w:ascii="Times New Roman" w:hAnsi="Times New Roman" w:cs="Times New Roman"/>
                <w:bCs/>
                <w:color w:val="auto"/>
                <w:sz w:val="24"/>
                <w:lang w:val="en-US" w:eastAsia="zh-CN"/>
              </w:rPr>
              <w:t>1</w:t>
            </w:r>
            <w:r>
              <w:rPr>
                <w:rFonts w:hint="default" w:ascii="Times New Roman" w:hAnsi="Times New Roman" w:cs="Times New Roman"/>
                <w:bCs/>
                <w:color w:val="auto"/>
                <w:sz w:val="24"/>
              </w:rPr>
              <w:t>万元用</w:t>
            </w:r>
            <w:r>
              <w:rPr>
                <w:rFonts w:hint="eastAsia"/>
                <w:bCs/>
                <w:color w:val="auto"/>
                <w:sz w:val="24"/>
              </w:rPr>
              <w:t>于噪声治理</w:t>
            </w:r>
            <w:r>
              <w:rPr>
                <w:rFonts w:hint="eastAsia"/>
                <w:bCs/>
                <w:color w:val="auto"/>
                <w:sz w:val="24"/>
                <w:lang w:val="en-US" w:eastAsia="zh-CN"/>
              </w:rPr>
              <w:t>，4.55</w:t>
            </w:r>
            <w:r>
              <w:rPr>
                <w:rFonts w:hint="eastAsia"/>
                <w:bCs/>
                <w:color w:val="auto"/>
                <w:sz w:val="24"/>
              </w:rPr>
              <w:t>万元用于固废治理。</w:t>
            </w:r>
          </w:p>
          <w:p>
            <w:pPr>
              <w:adjustRightInd w:val="0"/>
              <w:snapToGrid w:val="0"/>
              <w:spacing w:line="360" w:lineRule="auto"/>
              <w:rPr>
                <w:b/>
                <w:color w:val="auto"/>
                <w:sz w:val="24"/>
              </w:rPr>
            </w:pPr>
            <w:r>
              <w:rPr>
                <w:rFonts w:hint="eastAsia"/>
                <w:b/>
                <w:color w:val="auto"/>
                <w:sz w:val="24"/>
              </w:rPr>
              <w:t>四</w:t>
            </w:r>
            <w:r>
              <w:rPr>
                <w:b/>
                <w:color w:val="auto"/>
                <w:sz w:val="24"/>
              </w:rPr>
              <w:t>、建议</w:t>
            </w:r>
          </w:p>
          <w:p>
            <w:pPr>
              <w:pStyle w:val="5"/>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bCs/>
                <w:color w:val="auto"/>
                <w:sz w:val="24"/>
              </w:rPr>
              <w:t>建设单位应认真贯彻执行有关建设项目环境保护管理文件的精神，建立健全的各项环境保护规章制度，严格实</w:t>
            </w:r>
            <w:r>
              <w:rPr>
                <w:rFonts w:hint="default" w:ascii="Times New Roman" w:hAnsi="Times New Roman" w:cs="Times New Roman"/>
                <w:bCs/>
                <w:color w:val="auto"/>
                <w:sz w:val="24"/>
              </w:rPr>
              <w:t>行</w:t>
            </w:r>
            <w:r>
              <w:rPr>
                <w:rFonts w:hint="eastAsia" w:ascii="宋体" w:hAnsi="宋体" w:eastAsia="宋体" w:cs="宋体"/>
                <w:bCs/>
                <w:color w:val="auto"/>
                <w:sz w:val="24"/>
              </w:rPr>
              <w:t>“三同时”</w:t>
            </w:r>
            <w:r>
              <w:rPr>
                <w:bCs/>
                <w:color w:val="auto"/>
                <w:sz w:val="24"/>
              </w:rPr>
              <w:t>政策，即污染治理设施要同主项目同时设计、同时建设、同时投产；</w:t>
            </w:r>
          </w:p>
          <w:p>
            <w:pPr>
              <w:pStyle w:val="5"/>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（2）加强对设备的维护保养，要求合理布置车间内的高噪声设备，并采取基础减震处理；</w:t>
            </w:r>
          </w:p>
          <w:p>
            <w:pPr>
              <w:tabs>
                <w:tab w:val="left" w:pos="540"/>
              </w:tabs>
              <w:adjustRightInd w:val="0"/>
              <w:snapToGrid w:val="0"/>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color w:val="auto"/>
                <w:sz w:val="24"/>
              </w:rPr>
              <w:t>对固废进行分类收集，有回收利用价值的全部回收利用，无利用价值的集中存放，委托环卫部门统一清运，做到日产日清；</w:t>
            </w:r>
          </w:p>
          <w:p>
            <w:pPr>
              <w:tabs>
                <w:tab w:val="left" w:pos="540"/>
              </w:tabs>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）建议加强清洁生产管理，在项目投产运行后各生产环节尽量做到节约资源，降低消耗，减少污染；</w:t>
            </w:r>
          </w:p>
          <w:p>
            <w:pPr>
              <w:tabs>
                <w:tab w:val="left" w:pos="540"/>
              </w:tabs>
              <w:adjustRightInd w:val="0"/>
              <w:snapToGrid w:val="0"/>
              <w:spacing w:line="360" w:lineRule="auto"/>
              <w:ind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r>
              <w:rPr>
                <w:color w:val="auto"/>
                <w:sz w:val="24"/>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r>
              <w:rPr>
                <w:rFonts w:hint="eastAsia"/>
                <w:color w:val="auto"/>
                <w:sz w:val="24"/>
                <w:lang w:eastAsia="zh-CN"/>
              </w:rPr>
              <w:t>。</w:t>
            </w:r>
          </w:p>
          <w:p>
            <w:pPr>
              <w:tabs>
                <w:tab w:val="left" w:pos="540"/>
              </w:tabs>
              <w:adjustRightInd w:val="0"/>
              <w:snapToGrid w:val="0"/>
              <w:spacing w:line="360" w:lineRule="auto"/>
              <w:rPr>
                <w:b/>
                <w:bCs/>
                <w:color w:val="auto"/>
                <w:sz w:val="24"/>
              </w:rPr>
            </w:pPr>
            <w:r>
              <w:rPr>
                <w:rFonts w:hint="eastAsia"/>
                <w:b/>
                <w:bCs/>
                <w:color w:val="auto"/>
                <w:sz w:val="24"/>
              </w:rPr>
              <w:t>五</w:t>
            </w:r>
            <w:r>
              <w:rPr>
                <w:b/>
                <w:bCs/>
                <w:color w:val="auto"/>
                <w:sz w:val="24"/>
              </w:rPr>
              <w:t>、环评总结论</w:t>
            </w:r>
          </w:p>
          <w:p>
            <w:pPr>
              <w:pStyle w:val="5"/>
              <w:adjustRightInd w:val="0"/>
              <w:snapToGrid w:val="0"/>
              <w:spacing w:line="360" w:lineRule="auto"/>
              <w:ind w:firstLine="482" w:firstLineChars="200"/>
              <w:rPr>
                <w:rFonts w:hint="eastAsia" w:ascii="Times New Roman" w:hAnsi="Times New Roman" w:eastAsia="宋体" w:cs="Times New Roman"/>
                <w:b/>
                <w:bCs/>
                <w:color w:val="auto"/>
                <w:kern w:val="2"/>
                <w:sz w:val="24"/>
                <w:szCs w:val="24"/>
                <w:lang w:val="en-US" w:eastAsia="zh-CN" w:bidi="ar-SA"/>
              </w:rPr>
            </w:pPr>
            <w:r>
              <w:rPr>
                <w:rFonts w:hint="eastAsia"/>
                <w:b/>
                <w:color w:val="auto"/>
                <w:sz w:val="24"/>
                <w:lang w:eastAsia="zh-CN"/>
              </w:rPr>
              <w:t>新乡市泰达机械制造有限公司年产10万件机械配件加工项目</w:t>
            </w:r>
            <w:r>
              <w:rPr>
                <w:b/>
                <w:color w:val="auto"/>
                <w:sz w:val="24"/>
              </w:rPr>
              <w:t>，符合国家产业政策，项目选址合理。建设单位在认真落实环评提出的各项环保治理措施和建议的基础上，项目产生的污染物均能达标排放，对周围环境影响较小。从环保角度分析，本项目建设是可行的。</w:t>
            </w: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wordWrap w:val="0"/>
              <w:adjustRightInd w:val="0"/>
              <w:snapToGrid w:val="0"/>
              <w:spacing w:line="360" w:lineRule="auto"/>
              <w:jc w:val="right"/>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国环宏博（北京）节能环保科技有限责任公司</w:t>
            </w:r>
            <w:r>
              <w:rPr>
                <w:rFonts w:hint="eastAsia" w:cs="Times New Roman"/>
                <w:b/>
                <w:bCs/>
                <w:color w:val="auto"/>
                <w:kern w:val="2"/>
                <w:sz w:val="24"/>
                <w:szCs w:val="24"/>
                <w:lang w:val="en-US" w:eastAsia="zh-CN" w:bidi="ar-SA"/>
              </w:rPr>
              <w:t xml:space="preserve">    </w:t>
            </w: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adjustRightInd w:val="0"/>
              <w:snapToGrid w:val="0"/>
              <w:spacing w:line="360" w:lineRule="auto"/>
              <w:ind w:firstLine="4578" w:firstLineChars="1900"/>
              <w:rPr>
                <w:rFonts w:hint="eastAsia" w:ascii="Times New Roman" w:hAnsi="Times New Roman" w:eastAsia="宋体" w:cs="Times New Roman"/>
                <w:b/>
                <w:bCs/>
                <w:color w:val="auto"/>
                <w:kern w:val="2"/>
                <w:sz w:val="24"/>
                <w:szCs w:val="24"/>
                <w:lang w:val="en-US" w:eastAsia="zh-CN" w:bidi="ar-SA"/>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p>
            <w:pPr>
              <w:pStyle w:val="5"/>
              <w:adjustRightInd w:val="0"/>
              <w:snapToGrid w:val="0"/>
              <w:spacing w:line="360" w:lineRule="auto"/>
              <w:rPr>
                <w:rFonts w:hint="eastAsia" w:eastAsia="宋体"/>
                <w:b/>
                <w:color w:val="auto"/>
                <w:sz w:val="24"/>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color w:val="auto"/>
                <w:sz w:val="24"/>
              </w:rPr>
            </w:pPr>
            <w:r>
              <w:rPr>
                <w:bCs/>
                <w:color w:val="auto"/>
                <w:sz w:val="24"/>
              </w:rPr>
              <w:t>预审意见：</w:t>
            </w:r>
          </w:p>
          <w:p>
            <w:pPr>
              <w:adjustRightInd w:val="0"/>
              <w:snapToGrid w:val="0"/>
              <w:spacing w:before="240" w:line="520" w:lineRule="exact"/>
              <w:rPr>
                <w:b/>
                <w:bCs/>
                <w:color w:val="auto"/>
                <w:sz w:val="24"/>
              </w:rPr>
            </w:pPr>
          </w:p>
          <w:p>
            <w:pPr>
              <w:adjustRightInd w:val="0"/>
              <w:snapToGrid w:val="0"/>
              <w:spacing w:before="240" w:line="520" w:lineRule="exact"/>
              <w:rPr>
                <w:b/>
                <w:bCs/>
                <w:color w:val="auto"/>
                <w:sz w:val="24"/>
              </w:rPr>
            </w:pPr>
          </w:p>
          <w:p>
            <w:pPr>
              <w:adjustRightInd w:val="0"/>
              <w:snapToGrid w:val="0"/>
              <w:spacing w:before="240" w:line="520" w:lineRule="exact"/>
              <w:rPr>
                <w:b/>
                <w:bCs/>
                <w:color w:val="auto"/>
                <w:sz w:val="24"/>
              </w:rPr>
            </w:pPr>
          </w:p>
          <w:p>
            <w:pPr>
              <w:adjustRightInd w:val="0"/>
              <w:snapToGrid w:val="0"/>
              <w:spacing w:before="240" w:line="520" w:lineRule="exact"/>
              <w:rPr>
                <w:b/>
                <w:bCs/>
                <w:color w:val="auto"/>
                <w:sz w:val="24"/>
              </w:rPr>
            </w:pPr>
          </w:p>
          <w:p>
            <w:pPr>
              <w:adjustRightInd w:val="0"/>
              <w:snapToGrid w:val="0"/>
              <w:spacing w:before="240" w:line="520" w:lineRule="exact"/>
              <w:rPr>
                <w:b/>
                <w:bCs/>
                <w:color w:val="auto"/>
                <w:sz w:val="24"/>
              </w:rPr>
            </w:pPr>
          </w:p>
          <w:p>
            <w:pPr>
              <w:wordWrap w:val="0"/>
              <w:adjustRightInd w:val="0"/>
              <w:snapToGrid w:val="0"/>
              <w:spacing w:before="240" w:line="520" w:lineRule="exact"/>
              <w:jc w:val="right"/>
              <w:rPr>
                <w:rFonts w:hint="default" w:eastAsia="宋体"/>
                <w:bCs/>
                <w:color w:val="auto"/>
                <w:sz w:val="24"/>
                <w:lang w:val="en-US" w:eastAsia="zh-CN"/>
              </w:rPr>
            </w:pPr>
            <w:r>
              <w:rPr>
                <w:bCs/>
                <w:color w:val="auto"/>
                <w:sz w:val="24"/>
              </w:rPr>
              <w:t>公   章</w:t>
            </w:r>
            <w:r>
              <w:rPr>
                <w:rFonts w:hint="eastAsia"/>
                <w:bCs/>
                <w:color w:val="auto"/>
                <w:sz w:val="24"/>
                <w:lang w:val="en-US" w:eastAsia="zh-CN"/>
              </w:rPr>
              <w:t xml:space="preserve">            </w:t>
            </w:r>
          </w:p>
          <w:p>
            <w:pPr>
              <w:adjustRightInd w:val="0"/>
              <w:snapToGrid w:val="0"/>
              <w:spacing w:before="240" w:line="520" w:lineRule="exact"/>
              <w:rPr>
                <w:bCs/>
                <w:color w:val="auto"/>
                <w:sz w:val="24"/>
              </w:rPr>
            </w:pPr>
          </w:p>
          <w:p>
            <w:pPr>
              <w:tabs>
                <w:tab w:val="left" w:pos="720"/>
              </w:tabs>
              <w:adjustRightInd w:val="0"/>
              <w:snapToGrid w:val="0"/>
              <w:spacing w:line="520" w:lineRule="exact"/>
              <w:rPr>
                <w:b/>
                <w:color w:val="auto"/>
                <w:sz w:val="24"/>
              </w:rPr>
            </w:pPr>
            <w:r>
              <w:rPr>
                <w:bCs/>
                <w:color w:val="auto"/>
                <w:sz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color w:val="auto"/>
                <w:sz w:val="24"/>
              </w:rPr>
            </w:pPr>
            <w:r>
              <w:rPr>
                <w:bCs/>
                <w:color w:val="auto"/>
                <w:sz w:val="24"/>
              </w:rPr>
              <w:t>下一级环境保护行政主管部门审查意见：</w:t>
            </w:r>
          </w:p>
          <w:p>
            <w:pPr>
              <w:adjustRightInd w:val="0"/>
              <w:snapToGrid w:val="0"/>
              <w:spacing w:before="240" w:line="520" w:lineRule="exact"/>
              <w:rPr>
                <w:color w:val="auto"/>
                <w:sz w:val="24"/>
              </w:rPr>
            </w:pPr>
          </w:p>
          <w:p>
            <w:pPr>
              <w:adjustRightInd w:val="0"/>
              <w:snapToGrid w:val="0"/>
              <w:spacing w:before="240" w:line="520" w:lineRule="exact"/>
              <w:rPr>
                <w:color w:val="auto"/>
                <w:sz w:val="24"/>
              </w:rPr>
            </w:pPr>
          </w:p>
          <w:p>
            <w:pPr>
              <w:adjustRightInd w:val="0"/>
              <w:snapToGrid w:val="0"/>
              <w:spacing w:before="240" w:line="520" w:lineRule="exact"/>
              <w:rPr>
                <w:color w:val="auto"/>
                <w:sz w:val="24"/>
              </w:rPr>
            </w:pPr>
          </w:p>
          <w:p>
            <w:pPr>
              <w:adjustRightInd w:val="0"/>
              <w:snapToGrid w:val="0"/>
              <w:spacing w:before="240" w:line="520" w:lineRule="exact"/>
              <w:rPr>
                <w:color w:val="auto"/>
                <w:sz w:val="24"/>
              </w:rPr>
            </w:pPr>
          </w:p>
          <w:p>
            <w:pPr>
              <w:adjustRightInd w:val="0"/>
              <w:snapToGrid w:val="0"/>
              <w:spacing w:before="240" w:line="520" w:lineRule="exact"/>
              <w:rPr>
                <w:color w:val="auto"/>
                <w:sz w:val="24"/>
              </w:rPr>
            </w:pPr>
          </w:p>
          <w:p>
            <w:pPr>
              <w:wordWrap w:val="0"/>
              <w:adjustRightInd w:val="0"/>
              <w:snapToGrid w:val="0"/>
              <w:spacing w:line="520" w:lineRule="exact"/>
              <w:jc w:val="right"/>
              <w:rPr>
                <w:rFonts w:hint="default" w:eastAsia="宋体"/>
                <w:bCs/>
                <w:color w:val="auto"/>
                <w:sz w:val="24"/>
                <w:lang w:val="en-US" w:eastAsia="zh-CN"/>
              </w:rPr>
            </w:pPr>
            <w:r>
              <w:rPr>
                <w:bCs/>
                <w:color w:val="auto"/>
                <w:sz w:val="24"/>
              </w:rPr>
              <w:t>公  章</w:t>
            </w:r>
            <w:r>
              <w:rPr>
                <w:rFonts w:hint="eastAsia"/>
                <w:bCs/>
                <w:color w:val="auto"/>
                <w:sz w:val="24"/>
                <w:lang w:val="en-US" w:eastAsia="zh-CN"/>
              </w:rPr>
              <w:t xml:space="preserve">             </w:t>
            </w:r>
          </w:p>
          <w:p>
            <w:pPr>
              <w:adjustRightInd w:val="0"/>
              <w:snapToGrid w:val="0"/>
              <w:spacing w:line="520" w:lineRule="exact"/>
              <w:rPr>
                <w:bCs/>
                <w:color w:val="auto"/>
                <w:sz w:val="24"/>
              </w:rPr>
            </w:pPr>
          </w:p>
          <w:p>
            <w:pPr>
              <w:adjustRightInd w:val="0"/>
              <w:snapToGrid w:val="0"/>
              <w:spacing w:line="520" w:lineRule="exact"/>
              <w:rPr>
                <w:bCs/>
                <w:color w:val="auto"/>
                <w:sz w:val="24"/>
              </w:rPr>
            </w:pPr>
          </w:p>
          <w:p>
            <w:pPr>
              <w:adjustRightInd w:val="0"/>
              <w:snapToGrid w:val="0"/>
              <w:spacing w:line="520" w:lineRule="exact"/>
              <w:rPr>
                <w:bCs/>
                <w:color w:val="auto"/>
                <w:sz w:val="24"/>
              </w:rPr>
            </w:pPr>
            <w:r>
              <w:rPr>
                <w:bCs/>
                <w:color w:val="auto"/>
                <w:sz w:val="24"/>
              </w:rPr>
              <w:t>经办人：                                       年    月    日</w:t>
            </w:r>
          </w:p>
          <w:p>
            <w:pPr>
              <w:adjustRightInd w:val="0"/>
              <w:snapToGrid w:val="0"/>
              <w:spacing w:line="520" w:lineRule="exact"/>
              <w:rPr>
                <w:bCs/>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color w:val="auto"/>
                <w:sz w:val="24"/>
              </w:rPr>
            </w:pPr>
            <w:r>
              <w:rPr>
                <w:bCs/>
                <w:color w:val="auto"/>
                <w:sz w:val="24"/>
              </w:rPr>
              <w:t>审批意见：</w:t>
            </w: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before="240" w:after="240" w:line="520" w:lineRule="exact"/>
              <w:rPr>
                <w:b/>
                <w:bCs/>
                <w:color w:val="auto"/>
                <w:sz w:val="24"/>
              </w:rPr>
            </w:pPr>
          </w:p>
          <w:p>
            <w:pPr>
              <w:adjustRightInd w:val="0"/>
              <w:snapToGrid w:val="0"/>
              <w:spacing w:line="520" w:lineRule="exact"/>
              <w:rPr>
                <w:bCs/>
                <w:color w:val="auto"/>
                <w:sz w:val="24"/>
              </w:rPr>
            </w:pPr>
          </w:p>
          <w:p>
            <w:pPr>
              <w:adjustRightInd w:val="0"/>
              <w:snapToGrid w:val="0"/>
              <w:spacing w:line="520" w:lineRule="exact"/>
              <w:rPr>
                <w:bCs/>
                <w:color w:val="auto"/>
                <w:sz w:val="24"/>
              </w:rPr>
            </w:pPr>
          </w:p>
          <w:p>
            <w:pPr>
              <w:wordWrap w:val="0"/>
              <w:adjustRightInd w:val="0"/>
              <w:snapToGrid w:val="0"/>
              <w:spacing w:line="520" w:lineRule="exact"/>
              <w:jc w:val="right"/>
              <w:rPr>
                <w:rFonts w:hint="default" w:eastAsia="宋体"/>
                <w:bCs/>
                <w:color w:val="auto"/>
                <w:sz w:val="24"/>
                <w:lang w:val="en-US" w:eastAsia="zh-CN"/>
              </w:rPr>
            </w:pPr>
            <w:r>
              <w:rPr>
                <w:bCs/>
                <w:color w:val="auto"/>
                <w:sz w:val="24"/>
              </w:rPr>
              <w:t>公  章</w:t>
            </w:r>
            <w:r>
              <w:rPr>
                <w:rFonts w:hint="eastAsia"/>
                <w:bCs/>
                <w:color w:val="auto"/>
                <w:sz w:val="24"/>
                <w:lang w:val="en-US" w:eastAsia="zh-CN"/>
              </w:rPr>
              <w:t xml:space="preserve">         </w:t>
            </w:r>
          </w:p>
          <w:p>
            <w:pPr>
              <w:adjustRightInd w:val="0"/>
              <w:snapToGrid w:val="0"/>
              <w:spacing w:line="520" w:lineRule="exact"/>
              <w:rPr>
                <w:bCs/>
                <w:color w:val="auto"/>
                <w:sz w:val="24"/>
              </w:rPr>
            </w:pPr>
          </w:p>
          <w:p>
            <w:pPr>
              <w:adjustRightInd w:val="0"/>
              <w:snapToGrid w:val="0"/>
              <w:spacing w:line="520" w:lineRule="exact"/>
              <w:rPr>
                <w:bCs/>
                <w:color w:val="auto"/>
                <w:sz w:val="24"/>
              </w:rPr>
            </w:pPr>
          </w:p>
          <w:p>
            <w:pPr>
              <w:adjustRightInd w:val="0"/>
              <w:snapToGrid w:val="0"/>
              <w:spacing w:line="520" w:lineRule="exact"/>
              <w:rPr>
                <w:bCs/>
                <w:color w:val="auto"/>
                <w:sz w:val="24"/>
              </w:rPr>
            </w:pPr>
            <w:r>
              <w:rPr>
                <w:bCs/>
                <w:color w:val="auto"/>
                <w:sz w:val="24"/>
              </w:rPr>
              <w:t>经办人：                                           年    月   日</w:t>
            </w:r>
          </w:p>
          <w:p>
            <w:pPr>
              <w:adjustRightInd w:val="0"/>
              <w:snapToGrid w:val="0"/>
              <w:spacing w:line="520" w:lineRule="exact"/>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jc w:val="center"/>
              <w:rPr>
                <w:rFonts w:hint="eastAsia" w:ascii="宋体" w:hAnsi="宋体" w:cs="宋体"/>
                <w:bCs/>
                <w:color w:val="auto"/>
                <w:sz w:val="24"/>
              </w:rPr>
            </w:pPr>
            <w:r>
              <w:rPr>
                <w:rFonts w:hint="eastAsia" w:ascii="宋体" w:hAnsi="宋体" w:cs="宋体"/>
                <w:bCs/>
                <w:color w:val="auto"/>
                <w:sz w:val="24"/>
              </w:rPr>
              <w:t>注     释</w:t>
            </w:r>
          </w:p>
          <w:p>
            <w:pPr>
              <w:adjustRightInd w:val="0"/>
              <w:spacing w:line="520" w:lineRule="exact"/>
              <w:ind w:firstLine="240" w:firstLineChars="100"/>
              <w:rPr>
                <w:bCs/>
                <w:color w:val="auto"/>
                <w:sz w:val="24"/>
              </w:rPr>
            </w:pPr>
            <w:r>
              <w:rPr>
                <w:bCs/>
                <w:color w:val="auto"/>
                <w:sz w:val="24"/>
              </w:rPr>
              <w:t>一、本报告表应附以下附件、附图：</w:t>
            </w:r>
          </w:p>
          <w:p>
            <w:pPr>
              <w:adjustRightInd w:val="0"/>
              <w:snapToGrid w:val="0"/>
              <w:spacing w:line="520" w:lineRule="exact"/>
              <w:ind w:firstLine="480" w:firstLineChars="200"/>
              <w:rPr>
                <w:bCs/>
                <w:color w:val="auto"/>
                <w:sz w:val="24"/>
              </w:rPr>
            </w:pPr>
            <w:r>
              <w:rPr>
                <w:bCs/>
                <w:color w:val="auto"/>
                <w:sz w:val="24"/>
              </w:rPr>
              <w:t>附图一  项目地理位置示意图</w:t>
            </w:r>
          </w:p>
          <w:p>
            <w:pPr>
              <w:adjustRightInd w:val="0"/>
              <w:snapToGrid w:val="0"/>
              <w:spacing w:line="520" w:lineRule="exact"/>
              <w:ind w:firstLine="480" w:firstLineChars="200"/>
              <w:rPr>
                <w:rFonts w:hint="eastAsia" w:eastAsia="宋体"/>
                <w:bCs/>
                <w:color w:val="auto"/>
                <w:sz w:val="24"/>
                <w:lang w:eastAsia="zh-CN"/>
              </w:rPr>
            </w:pPr>
            <w:r>
              <w:rPr>
                <w:rFonts w:hint="eastAsia"/>
                <w:bCs/>
                <w:color w:val="auto"/>
                <w:sz w:val="24"/>
                <w:lang w:eastAsia="zh-CN"/>
              </w:rPr>
              <w:t>附图二</w:t>
            </w:r>
            <w:r>
              <w:rPr>
                <w:rFonts w:hint="eastAsia"/>
                <w:bCs/>
                <w:color w:val="auto"/>
                <w:sz w:val="24"/>
                <w:lang w:val="en-US" w:eastAsia="zh-CN"/>
              </w:rPr>
              <w:t xml:space="preserve">  </w:t>
            </w:r>
            <w:r>
              <w:rPr>
                <w:bCs/>
                <w:color w:val="auto"/>
                <w:sz w:val="24"/>
              </w:rPr>
              <w:t>项目周围环境</w:t>
            </w:r>
            <w:r>
              <w:rPr>
                <w:rFonts w:hint="eastAsia"/>
                <w:bCs/>
                <w:color w:val="auto"/>
                <w:sz w:val="24"/>
                <w:lang w:eastAsia="zh-CN"/>
              </w:rPr>
              <w:t>示意</w:t>
            </w:r>
            <w:r>
              <w:rPr>
                <w:bCs/>
                <w:color w:val="auto"/>
                <w:sz w:val="24"/>
              </w:rPr>
              <w:t>图</w:t>
            </w:r>
          </w:p>
          <w:p>
            <w:pPr>
              <w:adjustRightInd w:val="0"/>
              <w:snapToGrid w:val="0"/>
              <w:spacing w:line="520" w:lineRule="exact"/>
              <w:ind w:firstLine="480" w:firstLineChars="200"/>
              <w:rPr>
                <w:bCs/>
                <w:color w:val="auto"/>
                <w:sz w:val="24"/>
              </w:rPr>
            </w:pPr>
            <w:r>
              <w:rPr>
                <w:bCs/>
                <w:color w:val="auto"/>
                <w:sz w:val="24"/>
              </w:rPr>
              <w:t>附图</w:t>
            </w:r>
            <w:r>
              <w:rPr>
                <w:rFonts w:hint="eastAsia"/>
                <w:bCs/>
                <w:color w:val="auto"/>
                <w:sz w:val="24"/>
                <w:lang w:eastAsia="zh-CN"/>
              </w:rPr>
              <w:t>三</w:t>
            </w:r>
            <w:r>
              <w:rPr>
                <w:bCs/>
                <w:color w:val="auto"/>
                <w:sz w:val="24"/>
              </w:rPr>
              <w:t xml:space="preserve">  </w:t>
            </w:r>
            <w:r>
              <w:rPr>
                <w:rFonts w:hint="eastAsia"/>
                <w:bCs/>
                <w:color w:val="auto"/>
                <w:sz w:val="24"/>
                <w:lang w:eastAsia="zh-CN"/>
              </w:rPr>
              <w:t>项目</w:t>
            </w:r>
            <w:r>
              <w:rPr>
                <w:bCs/>
                <w:color w:val="auto"/>
                <w:sz w:val="24"/>
              </w:rPr>
              <w:t>厂区平面布置图</w:t>
            </w:r>
          </w:p>
          <w:p>
            <w:pPr>
              <w:adjustRightInd w:val="0"/>
              <w:snapToGrid w:val="0"/>
              <w:spacing w:line="520" w:lineRule="exact"/>
              <w:ind w:firstLine="480" w:firstLineChars="200"/>
              <w:rPr>
                <w:rFonts w:hint="eastAsia"/>
                <w:bCs/>
                <w:color w:val="auto"/>
                <w:sz w:val="24"/>
                <w:lang w:val="en-US" w:eastAsia="zh-CN"/>
              </w:rPr>
            </w:pPr>
            <w:r>
              <w:rPr>
                <w:bCs/>
                <w:color w:val="auto"/>
                <w:sz w:val="24"/>
              </w:rPr>
              <w:t>附图</w:t>
            </w:r>
            <w:r>
              <w:rPr>
                <w:rFonts w:hint="eastAsia"/>
                <w:bCs/>
                <w:color w:val="auto"/>
                <w:sz w:val="24"/>
                <w:lang w:eastAsia="zh-CN"/>
              </w:rPr>
              <w:t>四</w:t>
            </w:r>
            <w:r>
              <w:rPr>
                <w:bCs/>
                <w:color w:val="auto"/>
                <w:sz w:val="24"/>
              </w:rPr>
              <w:t xml:space="preserve">  </w:t>
            </w:r>
            <w:r>
              <w:rPr>
                <w:rFonts w:hint="eastAsia"/>
                <w:bCs/>
                <w:color w:val="auto"/>
                <w:sz w:val="24"/>
                <w:lang w:val="en-US" w:eastAsia="zh-CN"/>
              </w:rPr>
              <w:t>项目与合河乡土地利用总体规划关系图</w:t>
            </w:r>
          </w:p>
          <w:p>
            <w:pPr>
              <w:adjustRightInd w:val="0"/>
              <w:snapToGrid w:val="0"/>
              <w:spacing w:line="520" w:lineRule="exact"/>
              <w:ind w:firstLine="480" w:firstLineChars="200"/>
              <w:rPr>
                <w:bCs/>
                <w:color w:val="auto"/>
                <w:sz w:val="24"/>
              </w:rPr>
            </w:pPr>
            <w:r>
              <w:rPr>
                <w:bCs/>
                <w:color w:val="auto"/>
                <w:sz w:val="24"/>
              </w:rPr>
              <w:t>附图</w:t>
            </w:r>
            <w:r>
              <w:rPr>
                <w:rFonts w:hint="eastAsia"/>
                <w:bCs/>
                <w:color w:val="auto"/>
                <w:sz w:val="24"/>
                <w:lang w:eastAsia="zh-CN"/>
              </w:rPr>
              <w:t>五</w:t>
            </w:r>
            <w:r>
              <w:rPr>
                <w:bCs/>
                <w:color w:val="auto"/>
                <w:sz w:val="24"/>
              </w:rPr>
              <w:t xml:space="preserve">  </w:t>
            </w:r>
            <w:r>
              <w:rPr>
                <w:rFonts w:hint="eastAsia"/>
                <w:bCs/>
                <w:color w:val="auto"/>
                <w:sz w:val="24"/>
              </w:rPr>
              <w:t>项目与</w:t>
            </w:r>
            <w:r>
              <w:rPr>
                <w:rFonts w:hint="eastAsia"/>
                <w:bCs/>
                <w:color w:val="auto"/>
                <w:sz w:val="24"/>
                <w:lang w:val="en-US" w:eastAsia="zh-CN"/>
              </w:rPr>
              <w:t>新乡县土地利用总体规划</w:t>
            </w:r>
            <w:r>
              <w:rPr>
                <w:rFonts w:hint="eastAsia"/>
                <w:bCs/>
                <w:color w:val="auto"/>
                <w:sz w:val="24"/>
              </w:rPr>
              <w:t>关系图</w:t>
            </w:r>
          </w:p>
          <w:p>
            <w:pPr>
              <w:adjustRightInd w:val="0"/>
              <w:snapToGrid w:val="0"/>
              <w:spacing w:line="520" w:lineRule="exact"/>
              <w:ind w:firstLine="480" w:firstLineChars="200"/>
              <w:rPr>
                <w:rFonts w:hint="eastAsia"/>
                <w:bCs/>
                <w:color w:val="auto"/>
                <w:sz w:val="24"/>
                <w:lang w:val="en-US" w:eastAsia="zh-CN"/>
              </w:rPr>
            </w:pPr>
            <w:r>
              <w:rPr>
                <w:bCs/>
                <w:color w:val="auto"/>
                <w:sz w:val="24"/>
              </w:rPr>
              <w:t>附图</w:t>
            </w:r>
            <w:r>
              <w:rPr>
                <w:rFonts w:hint="eastAsia"/>
                <w:bCs/>
                <w:color w:val="auto"/>
                <w:sz w:val="24"/>
                <w:lang w:eastAsia="zh-CN"/>
              </w:rPr>
              <w:t>六</w:t>
            </w:r>
            <w:r>
              <w:rPr>
                <w:bCs/>
                <w:color w:val="auto"/>
                <w:sz w:val="24"/>
              </w:rPr>
              <w:t xml:space="preserve">  </w:t>
            </w:r>
            <w:r>
              <w:rPr>
                <w:rFonts w:hint="eastAsia"/>
                <w:bCs/>
                <w:color w:val="auto"/>
                <w:sz w:val="24"/>
                <w:lang w:val="en-US" w:eastAsia="zh-CN"/>
              </w:rPr>
              <w:t>项目与新乡市水源地保护区位置关系图</w:t>
            </w:r>
          </w:p>
          <w:p>
            <w:pPr>
              <w:adjustRightInd w:val="0"/>
              <w:snapToGrid w:val="0"/>
              <w:spacing w:line="520" w:lineRule="exact"/>
              <w:ind w:firstLine="480" w:firstLineChars="200"/>
              <w:rPr>
                <w:rFonts w:hint="eastAsia"/>
                <w:bCs/>
                <w:color w:val="auto"/>
                <w:sz w:val="24"/>
                <w:lang w:val="en-US" w:eastAsia="zh-CN"/>
              </w:rPr>
            </w:pPr>
            <w:r>
              <w:rPr>
                <w:bCs/>
                <w:color w:val="auto"/>
                <w:sz w:val="24"/>
              </w:rPr>
              <w:t>附图</w:t>
            </w:r>
            <w:r>
              <w:rPr>
                <w:rFonts w:hint="eastAsia"/>
                <w:bCs/>
                <w:color w:val="auto"/>
                <w:sz w:val="24"/>
                <w:lang w:eastAsia="zh-CN"/>
              </w:rPr>
              <w:t>七</w:t>
            </w:r>
            <w:r>
              <w:rPr>
                <w:bCs/>
                <w:color w:val="auto"/>
                <w:sz w:val="24"/>
              </w:rPr>
              <w:t xml:space="preserve">  </w:t>
            </w:r>
            <w:r>
              <w:rPr>
                <w:rFonts w:hint="eastAsia"/>
                <w:bCs/>
                <w:color w:val="auto"/>
                <w:sz w:val="24"/>
                <w:lang w:val="en-US" w:eastAsia="zh-CN"/>
              </w:rPr>
              <w:t>项目现场环境图</w:t>
            </w:r>
          </w:p>
          <w:p>
            <w:pPr>
              <w:adjustRightInd w:val="0"/>
              <w:snapToGrid w:val="0"/>
              <w:spacing w:line="520" w:lineRule="exact"/>
              <w:ind w:firstLine="480" w:firstLineChars="200"/>
              <w:rPr>
                <w:bCs/>
                <w:color w:val="auto"/>
                <w:sz w:val="24"/>
              </w:rPr>
            </w:pPr>
          </w:p>
          <w:p>
            <w:pPr>
              <w:adjustRightInd w:val="0"/>
              <w:snapToGrid w:val="0"/>
              <w:spacing w:line="520" w:lineRule="exact"/>
              <w:ind w:firstLine="480" w:firstLineChars="200"/>
              <w:rPr>
                <w:bCs/>
                <w:color w:val="auto"/>
                <w:sz w:val="24"/>
              </w:rPr>
            </w:pPr>
            <w:r>
              <w:rPr>
                <w:bCs/>
                <w:color w:val="auto"/>
                <w:sz w:val="24"/>
              </w:rPr>
              <w:t>附件一  委托书</w:t>
            </w:r>
          </w:p>
          <w:p>
            <w:pPr>
              <w:adjustRightInd w:val="0"/>
              <w:snapToGrid w:val="0"/>
              <w:spacing w:line="520" w:lineRule="exact"/>
              <w:ind w:firstLine="480" w:firstLineChars="200"/>
              <w:rPr>
                <w:bCs/>
                <w:color w:val="auto"/>
                <w:sz w:val="24"/>
              </w:rPr>
            </w:pPr>
            <w:r>
              <w:rPr>
                <w:bCs/>
                <w:color w:val="auto"/>
                <w:sz w:val="24"/>
              </w:rPr>
              <w:t>附件二  发改委备案</w:t>
            </w:r>
          </w:p>
          <w:p>
            <w:pPr>
              <w:adjustRightInd w:val="0"/>
              <w:snapToGrid w:val="0"/>
              <w:spacing w:line="520" w:lineRule="exact"/>
              <w:ind w:firstLine="480" w:firstLineChars="200"/>
              <w:rPr>
                <w:bCs/>
                <w:color w:val="auto"/>
                <w:sz w:val="24"/>
              </w:rPr>
            </w:pPr>
            <w:r>
              <w:rPr>
                <w:bCs/>
                <w:color w:val="auto"/>
                <w:sz w:val="24"/>
              </w:rPr>
              <w:t xml:space="preserve">附件三  </w:t>
            </w:r>
            <w:r>
              <w:rPr>
                <w:rFonts w:hint="eastAsia"/>
                <w:bCs/>
                <w:color w:val="auto"/>
                <w:sz w:val="24"/>
                <w:lang w:eastAsia="zh-CN"/>
              </w:rPr>
              <w:t>租赁协议</w:t>
            </w:r>
          </w:p>
          <w:p>
            <w:pPr>
              <w:adjustRightInd w:val="0"/>
              <w:snapToGrid w:val="0"/>
              <w:spacing w:line="520" w:lineRule="exact"/>
              <w:ind w:firstLine="480" w:firstLineChars="200"/>
              <w:rPr>
                <w:bCs/>
                <w:color w:val="auto"/>
                <w:sz w:val="24"/>
              </w:rPr>
            </w:pPr>
            <w:r>
              <w:rPr>
                <w:bCs/>
                <w:color w:val="auto"/>
                <w:sz w:val="24"/>
              </w:rPr>
              <w:t>二、如果本报告表不能说明项目产生的污染及对环境造成的影响，应进行专项评价。根据建设项目的特点和当地环境特征，应选下列1～2项进行专项评价。</w:t>
            </w:r>
          </w:p>
          <w:p>
            <w:pPr>
              <w:adjustRightInd w:val="0"/>
              <w:snapToGrid w:val="0"/>
              <w:spacing w:line="520" w:lineRule="exact"/>
              <w:ind w:firstLine="540"/>
              <w:rPr>
                <w:bCs/>
                <w:color w:val="auto"/>
                <w:sz w:val="24"/>
              </w:rPr>
            </w:pPr>
            <w:r>
              <w:rPr>
                <w:bCs/>
                <w:color w:val="auto"/>
                <w:sz w:val="24"/>
              </w:rPr>
              <w:t>1、大气环境影响专项评价</w:t>
            </w:r>
          </w:p>
          <w:p>
            <w:pPr>
              <w:adjustRightInd w:val="0"/>
              <w:snapToGrid w:val="0"/>
              <w:spacing w:line="520" w:lineRule="exact"/>
              <w:ind w:firstLine="540"/>
              <w:rPr>
                <w:bCs/>
                <w:color w:val="auto"/>
                <w:sz w:val="24"/>
              </w:rPr>
            </w:pPr>
            <w:r>
              <w:rPr>
                <w:bCs/>
                <w:color w:val="auto"/>
                <w:sz w:val="24"/>
              </w:rPr>
              <w:t>2、水环境影响专项评价（包括地表水和地下水）</w:t>
            </w:r>
          </w:p>
          <w:p>
            <w:pPr>
              <w:adjustRightInd w:val="0"/>
              <w:snapToGrid w:val="0"/>
              <w:spacing w:line="520" w:lineRule="exact"/>
              <w:ind w:firstLine="540"/>
              <w:rPr>
                <w:bCs/>
                <w:color w:val="auto"/>
                <w:sz w:val="24"/>
              </w:rPr>
            </w:pPr>
            <w:r>
              <w:rPr>
                <w:bCs/>
                <w:color w:val="auto"/>
                <w:sz w:val="24"/>
              </w:rPr>
              <w:t>3、生态影响专项评价</w:t>
            </w:r>
          </w:p>
          <w:p>
            <w:pPr>
              <w:adjustRightInd w:val="0"/>
              <w:snapToGrid w:val="0"/>
              <w:spacing w:line="520" w:lineRule="exact"/>
              <w:ind w:firstLine="540"/>
              <w:rPr>
                <w:bCs/>
                <w:color w:val="auto"/>
                <w:sz w:val="24"/>
              </w:rPr>
            </w:pPr>
            <w:r>
              <w:rPr>
                <w:bCs/>
                <w:color w:val="auto"/>
                <w:sz w:val="24"/>
              </w:rPr>
              <w:t>4、声环境专项评价</w:t>
            </w:r>
          </w:p>
          <w:p>
            <w:pPr>
              <w:adjustRightInd w:val="0"/>
              <w:snapToGrid w:val="0"/>
              <w:spacing w:line="520" w:lineRule="exact"/>
              <w:ind w:firstLine="540"/>
              <w:rPr>
                <w:bCs/>
                <w:color w:val="auto"/>
                <w:sz w:val="24"/>
              </w:rPr>
            </w:pPr>
            <w:r>
              <w:rPr>
                <w:bCs/>
                <w:color w:val="auto"/>
                <w:sz w:val="24"/>
              </w:rPr>
              <w:t>5、土壤影响专项评价</w:t>
            </w:r>
          </w:p>
          <w:p>
            <w:pPr>
              <w:adjustRightInd w:val="0"/>
              <w:snapToGrid w:val="0"/>
              <w:spacing w:line="520" w:lineRule="exact"/>
              <w:ind w:firstLine="540"/>
              <w:rPr>
                <w:bCs/>
                <w:color w:val="auto"/>
                <w:sz w:val="24"/>
              </w:rPr>
            </w:pPr>
            <w:r>
              <w:rPr>
                <w:bCs/>
                <w:color w:val="auto"/>
                <w:sz w:val="24"/>
              </w:rPr>
              <w:t>6、固定废物影响专项评价</w:t>
            </w:r>
          </w:p>
          <w:p>
            <w:pPr>
              <w:adjustRightInd w:val="0"/>
              <w:snapToGrid w:val="0"/>
              <w:spacing w:line="520" w:lineRule="exact"/>
              <w:rPr>
                <w:color w:val="auto"/>
                <w:sz w:val="24"/>
              </w:rPr>
            </w:pPr>
            <w:r>
              <w:rPr>
                <w:bCs/>
                <w:color w:val="auto"/>
                <w:sz w:val="24"/>
              </w:rPr>
              <w:t>以上专项评价未包括的可另列专项，专项评价按照《环境影响评价技术导则》中的要求进行。</w:t>
            </w:r>
          </w:p>
          <w:p>
            <w:pPr>
              <w:tabs>
                <w:tab w:val="left" w:pos="309"/>
              </w:tabs>
              <w:jc w:val="left"/>
              <w:rPr>
                <w:rFonts w:hint="eastAsia"/>
                <w:color w:val="auto"/>
                <w:sz w:val="24"/>
                <w:lang w:eastAsia="zh-CN"/>
              </w:rPr>
            </w:pPr>
          </w:p>
          <w:p>
            <w:pPr>
              <w:tabs>
                <w:tab w:val="left" w:pos="309"/>
              </w:tabs>
              <w:jc w:val="left"/>
              <w:rPr>
                <w:rFonts w:hint="eastAsia"/>
                <w:color w:val="auto"/>
                <w:sz w:val="24"/>
                <w:lang w:eastAsia="zh-CN"/>
              </w:rPr>
            </w:pPr>
          </w:p>
          <w:p>
            <w:pPr>
              <w:tabs>
                <w:tab w:val="left" w:pos="309"/>
              </w:tabs>
              <w:jc w:val="left"/>
              <w:rPr>
                <w:rFonts w:hint="eastAsia"/>
                <w:color w:val="auto"/>
                <w:sz w:val="24"/>
                <w:lang w:eastAsia="zh-CN"/>
              </w:rPr>
            </w:pPr>
          </w:p>
          <w:p>
            <w:pPr>
              <w:tabs>
                <w:tab w:val="left" w:pos="309"/>
              </w:tabs>
              <w:jc w:val="left"/>
              <w:rPr>
                <w:rFonts w:hint="eastAsia"/>
                <w:color w:val="auto"/>
                <w:sz w:val="24"/>
                <w:lang w:eastAsia="zh-CN"/>
              </w:rPr>
            </w:pPr>
          </w:p>
          <w:p>
            <w:pPr>
              <w:tabs>
                <w:tab w:val="left" w:pos="309"/>
              </w:tabs>
              <w:jc w:val="left"/>
              <w:rPr>
                <w:rFonts w:hint="eastAsia" w:eastAsia="宋体"/>
                <w:color w:val="auto"/>
                <w:sz w:val="24"/>
                <w:lang w:eastAsia="zh-CN"/>
              </w:rPr>
            </w:pPr>
          </w:p>
        </w:tc>
      </w:tr>
    </w:tbl>
    <w:p>
      <w:pPr>
        <w:pStyle w:val="2"/>
        <w:ind w:left="0" w:leftChars="0" w:firstLine="0" w:firstLineChars="0"/>
      </w:pPr>
    </w:p>
    <w:p>
      <w:pPr>
        <w:pStyle w:val="2"/>
        <w:ind w:left="0" w:leftChars="0" w:firstLine="0" w:firstLineChars="0"/>
      </w:pPr>
    </w:p>
    <w:p>
      <w:pPr>
        <w:pStyle w:val="2"/>
        <w:ind w:left="0" w:leftChars="0" w:firstLine="0" w:firstLineChars="0"/>
        <w:rPr>
          <w:rFonts w:hint="eastAsia" w:eastAsia="宋体"/>
          <w:lang w:eastAsia="zh-CN"/>
        </w:rPr>
      </w:pPr>
      <w:r>
        <w:rPr>
          <w:rFonts w:hint="eastAsia" w:eastAsia="宋体"/>
          <w:lang w:eastAsia="zh-CN"/>
        </w:rPr>
        <w:drawing>
          <wp:anchor distT="0" distB="0" distL="114300" distR="114300" simplePos="0" relativeHeight="251749376" behindDoc="0" locked="0" layoutInCell="1" allowOverlap="1">
            <wp:simplePos x="0" y="0"/>
            <wp:positionH relativeFrom="column">
              <wp:posOffset>-318135</wp:posOffset>
            </wp:positionH>
            <wp:positionV relativeFrom="paragraph">
              <wp:posOffset>-10795</wp:posOffset>
            </wp:positionV>
            <wp:extent cx="5910580" cy="8884285"/>
            <wp:effectExtent l="0" t="0" r="2540" b="635"/>
            <wp:wrapSquare wrapText="bothSides"/>
            <wp:docPr id="10" name="图片 10" descr="3081ee95f3e571d09f63999d35bb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081ee95f3e571d09f63999d35bb000"/>
                    <pic:cNvPicPr>
                      <a:picLocks noChangeAspect="1"/>
                    </pic:cNvPicPr>
                  </pic:nvPicPr>
                  <pic:blipFill>
                    <a:blip r:embed="rId13"/>
                    <a:stretch>
                      <a:fillRect/>
                    </a:stretch>
                  </pic:blipFill>
                  <pic:spPr>
                    <a:xfrm>
                      <a:off x="0" y="0"/>
                      <a:ext cx="5910580" cy="8884285"/>
                    </a:xfrm>
                    <a:prstGeom prst="rect">
                      <a:avLst/>
                    </a:prstGeom>
                  </pic:spPr>
                </pic:pic>
              </a:graphicData>
            </a:graphic>
          </wp:anchor>
        </w:drawing>
      </w:r>
    </w:p>
    <w:p>
      <w:pPr>
        <w:pStyle w:val="2"/>
        <w:ind w:left="0" w:leftChars="0" w:firstLine="0" w:firstLineChars="0"/>
        <w:rPr>
          <w:rFonts w:hint="eastAsia" w:eastAsia="宋体"/>
          <w:lang w:eastAsia="zh-CN"/>
        </w:rPr>
        <w:sectPr>
          <w:pgSz w:w="11906" w:h="16838"/>
          <w:pgMar w:top="1440" w:right="1800" w:bottom="1440" w:left="1800" w:header="851" w:footer="992" w:gutter="0"/>
          <w:cols w:space="425" w:num="1"/>
          <w:docGrid w:type="lines" w:linePitch="312" w:charSpace="0"/>
        </w:sectPr>
      </w:pPr>
    </w:p>
    <w:p>
      <w:pPr>
        <w:pStyle w:val="2"/>
        <w:ind w:left="0" w:leftChars="0" w:firstLine="0" w:firstLineChars="0"/>
        <w:rPr>
          <w:rFonts w:hint="eastAsia" w:eastAsia="宋体"/>
          <w:lang w:eastAsia="zh-CN"/>
        </w:rPr>
      </w:pPr>
      <w:r>
        <w:rPr>
          <w:rFonts w:hint="eastAsia" w:eastAsia="宋体"/>
          <w:lang w:eastAsia="zh-CN"/>
        </w:rPr>
        <w:drawing>
          <wp:anchor distT="0" distB="0" distL="114300" distR="114300" simplePos="0" relativeHeight="251750400" behindDoc="0" locked="0" layoutInCell="1" allowOverlap="1">
            <wp:simplePos x="0" y="0"/>
            <wp:positionH relativeFrom="column">
              <wp:posOffset>-403860</wp:posOffset>
            </wp:positionH>
            <wp:positionV relativeFrom="paragraph">
              <wp:posOffset>-789940</wp:posOffset>
            </wp:positionV>
            <wp:extent cx="9671050" cy="6854825"/>
            <wp:effectExtent l="0" t="0" r="6350" b="3175"/>
            <wp:wrapSquare wrapText="bothSides"/>
            <wp:docPr id="12" name="图片 12" descr="53e129e2e17a741c1c2b8a9ae6d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3e129e2e17a741c1c2b8a9ae6d2f19"/>
                    <pic:cNvPicPr>
                      <a:picLocks noChangeAspect="1"/>
                    </pic:cNvPicPr>
                  </pic:nvPicPr>
                  <pic:blipFill>
                    <a:blip r:embed="rId14"/>
                    <a:stretch>
                      <a:fillRect/>
                    </a:stretch>
                  </pic:blipFill>
                  <pic:spPr>
                    <a:xfrm>
                      <a:off x="0" y="0"/>
                      <a:ext cx="9671050" cy="6854825"/>
                    </a:xfrm>
                    <a:prstGeom prst="rect">
                      <a:avLst/>
                    </a:prstGeom>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1751424" behindDoc="0" locked="0" layoutInCell="1" allowOverlap="1">
            <wp:simplePos x="0" y="0"/>
            <wp:positionH relativeFrom="column">
              <wp:posOffset>-499110</wp:posOffset>
            </wp:positionH>
            <wp:positionV relativeFrom="paragraph">
              <wp:posOffset>-410210</wp:posOffset>
            </wp:positionV>
            <wp:extent cx="9860915" cy="6094730"/>
            <wp:effectExtent l="0" t="0" r="14605" b="1270"/>
            <wp:wrapSquare wrapText="bothSides"/>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5"/>
                    <a:stretch>
                      <a:fillRect/>
                    </a:stretch>
                  </pic:blipFill>
                  <pic:spPr>
                    <a:xfrm>
                      <a:off x="0" y="0"/>
                      <a:ext cx="9860915" cy="6094730"/>
                    </a:xfrm>
                    <a:prstGeom prst="rect">
                      <a:avLst/>
                    </a:prstGeom>
                    <a:noFill/>
                    <a:ln>
                      <a:noFill/>
                    </a:ln>
                  </pic:spPr>
                </pic:pic>
              </a:graphicData>
            </a:graphic>
          </wp:anchor>
        </w:drawing>
      </w:r>
    </w:p>
    <w:p>
      <w:pPr>
        <w:pStyle w:val="2"/>
        <w:ind w:left="0" w:leftChars="0" w:firstLine="0" w:firstLineChars="0"/>
        <w:rPr>
          <w:rFonts w:hint="eastAsia" w:eastAsia="宋体"/>
          <w:lang w:eastAsia="zh-CN"/>
        </w:r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2398592" behindDoc="0" locked="0" layoutInCell="1" allowOverlap="1">
            <wp:simplePos x="0" y="0"/>
            <wp:positionH relativeFrom="column">
              <wp:posOffset>257175</wp:posOffset>
            </wp:positionH>
            <wp:positionV relativeFrom="paragraph">
              <wp:posOffset>-1032510</wp:posOffset>
            </wp:positionV>
            <wp:extent cx="8348980" cy="7338695"/>
            <wp:effectExtent l="0" t="0" r="2540" b="6985"/>
            <wp:wrapSquare wrapText="bothSides"/>
            <wp:docPr id="19" name="图片 19" descr="b8da35716dcaab2495429014fb28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b8da35716dcaab2495429014fb2815a"/>
                    <pic:cNvPicPr>
                      <a:picLocks noChangeAspect="1"/>
                    </pic:cNvPicPr>
                  </pic:nvPicPr>
                  <pic:blipFill>
                    <a:blip r:embed="rId16"/>
                    <a:stretch>
                      <a:fillRect/>
                    </a:stretch>
                  </pic:blipFill>
                  <pic:spPr>
                    <a:xfrm>
                      <a:off x="0" y="0"/>
                      <a:ext cx="8348980" cy="7338695"/>
                    </a:xfrm>
                    <a:prstGeom prst="rect">
                      <a:avLst/>
                    </a:prstGeom>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2399616" behindDoc="0" locked="0" layoutInCell="1" allowOverlap="1">
            <wp:simplePos x="0" y="0"/>
            <wp:positionH relativeFrom="column">
              <wp:posOffset>-924560</wp:posOffset>
            </wp:positionH>
            <wp:positionV relativeFrom="paragraph">
              <wp:posOffset>0</wp:posOffset>
            </wp:positionV>
            <wp:extent cx="7122795" cy="8863330"/>
            <wp:effectExtent l="0" t="0" r="9525" b="6350"/>
            <wp:wrapSquare wrapText="bothSides"/>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7"/>
                    <a:stretch>
                      <a:fillRect/>
                    </a:stretch>
                  </pic:blipFill>
                  <pic:spPr>
                    <a:xfrm>
                      <a:off x="0" y="0"/>
                      <a:ext cx="7122795" cy="8863330"/>
                    </a:xfrm>
                    <a:prstGeom prst="rect">
                      <a:avLst/>
                    </a:prstGeom>
                    <a:noFill/>
                    <a:ln>
                      <a:noFill/>
                    </a:ln>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2400640" behindDoc="0" locked="0" layoutInCell="1" allowOverlap="1">
            <wp:simplePos x="0" y="0"/>
            <wp:positionH relativeFrom="column">
              <wp:posOffset>-1002665</wp:posOffset>
            </wp:positionH>
            <wp:positionV relativeFrom="paragraph">
              <wp:posOffset>-424815</wp:posOffset>
            </wp:positionV>
            <wp:extent cx="7280275" cy="9712960"/>
            <wp:effectExtent l="0" t="0" r="4445" b="10160"/>
            <wp:wrapSquare wrapText="bothSides"/>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18"/>
                    <a:stretch>
                      <a:fillRect/>
                    </a:stretch>
                  </pic:blipFill>
                  <pic:spPr>
                    <a:xfrm>
                      <a:off x="0" y="0"/>
                      <a:ext cx="7280275" cy="9712960"/>
                    </a:xfrm>
                    <a:prstGeom prst="rect">
                      <a:avLst/>
                    </a:prstGeom>
                    <a:noFill/>
                    <a:ln>
                      <a:noFill/>
                    </a:ln>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2401664" behindDoc="0" locked="0" layoutInCell="1" allowOverlap="1">
            <wp:simplePos x="0" y="0"/>
            <wp:positionH relativeFrom="column">
              <wp:posOffset>-798830</wp:posOffset>
            </wp:positionH>
            <wp:positionV relativeFrom="paragraph">
              <wp:posOffset>-380365</wp:posOffset>
            </wp:positionV>
            <wp:extent cx="6872605" cy="9624060"/>
            <wp:effectExtent l="0" t="0" r="635" b="7620"/>
            <wp:wrapSquare wrapText="bothSides"/>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19"/>
                    <a:stretch>
                      <a:fillRect/>
                    </a:stretch>
                  </pic:blipFill>
                  <pic:spPr>
                    <a:xfrm>
                      <a:off x="0" y="0"/>
                      <a:ext cx="6872605" cy="9624060"/>
                    </a:xfrm>
                    <a:prstGeom prst="rect">
                      <a:avLst/>
                    </a:prstGeom>
                    <a:noFill/>
                    <a:ln>
                      <a:noFill/>
                    </a:ln>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2402688" behindDoc="0" locked="0" layoutInCell="1" allowOverlap="1">
            <wp:simplePos x="0" y="0"/>
            <wp:positionH relativeFrom="column">
              <wp:posOffset>-561975</wp:posOffset>
            </wp:positionH>
            <wp:positionV relativeFrom="paragraph">
              <wp:posOffset>-403860</wp:posOffset>
            </wp:positionV>
            <wp:extent cx="6398895" cy="6671310"/>
            <wp:effectExtent l="0" t="0" r="1905" b="3810"/>
            <wp:wrapSquare wrapText="bothSides"/>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20"/>
                    <a:stretch>
                      <a:fillRect/>
                    </a:stretch>
                  </pic:blipFill>
                  <pic:spPr>
                    <a:xfrm>
                      <a:off x="0" y="0"/>
                      <a:ext cx="6398895" cy="6671310"/>
                    </a:xfrm>
                    <a:prstGeom prst="rect">
                      <a:avLst/>
                    </a:prstGeom>
                    <a:noFill/>
                    <a:ln>
                      <a:noFill/>
                    </a:ln>
                  </pic:spPr>
                </pic:pic>
              </a:graphicData>
            </a:graphic>
          </wp:anchor>
        </w:drawing>
      </w: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p>
    <w:p>
      <w:pPr>
        <w:pStyle w:val="2"/>
        <w:ind w:left="0" w:leftChars="0" w:firstLine="0" w:firstLineChars="0"/>
        <w:rPr>
          <w:rFonts w:hint="eastAsia" w:eastAsia="宋体"/>
          <w:lang w:eastAsia="zh-CN"/>
        </w:rPr>
      </w:pPr>
      <w:r>
        <w:drawing>
          <wp:anchor distT="0" distB="0" distL="114300" distR="114300" simplePos="0" relativeHeight="253149184" behindDoc="0" locked="0" layoutInCell="1" allowOverlap="1">
            <wp:simplePos x="0" y="0"/>
            <wp:positionH relativeFrom="column">
              <wp:posOffset>-510540</wp:posOffset>
            </wp:positionH>
            <wp:positionV relativeFrom="paragraph">
              <wp:posOffset>-346075</wp:posOffset>
            </wp:positionV>
            <wp:extent cx="6294755" cy="9555480"/>
            <wp:effectExtent l="0" t="0" r="14605" b="0"/>
            <wp:wrapSquare wrapText="bothSides"/>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21"/>
                    <a:stretch>
                      <a:fillRect/>
                    </a:stretch>
                  </pic:blipFill>
                  <pic:spPr>
                    <a:xfrm>
                      <a:off x="0" y="0"/>
                      <a:ext cx="6294755" cy="9555480"/>
                    </a:xfrm>
                    <a:prstGeom prst="rect">
                      <a:avLst/>
                    </a:prstGeom>
                    <a:noFill/>
                    <a:ln>
                      <a:noFill/>
                    </a:ln>
                  </pic:spPr>
                </pic:pic>
              </a:graphicData>
            </a:graphic>
          </wp:anchor>
        </w:drawing>
      </w:r>
    </w:p>
    <w:p>
      <w:pPr>
        <w:pStyle w:val="2"/>
        <w:ind w:left="0" w:leftChars="0" w:firstLine="0" w:firstLineChars="0"/>
        <w:rPr>
          <w:rFonts w:hint="eastAsia" w:eastAsia="宋体"/>
          <w:lang w:eastAsia="zh-CN"/>
        </w:rPr>
      </w:pPr>
      <w:r>
        <w:drawing>
          <wp:anchor distT="0" distB="0" distL="114300" distR="114300" simplePos="0" relativeHeight="253150208" behindDoc="0" locked="0" layoutInCell="1" allowOverlap="1">
            <wp:simplePos x="0" y="0"/>
            <wp:positionH relativeFrom="column">
              <wp:posOffset>-635635</wp:posOffset>
            </wp:positionH>
            <wp:positionV relativeFrom="paragraph">
              <wp:posOffset>-606425</wp:posOffset>
            </wp:positionV>
            <wp:extent cx="6545580" cy="10076180"/>
            <wp:effectExtent l="0" t="0" r="7620" b="12700"/>
            <wp:wrapSquare wrapText="bothSides"/>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22"/>
                    <a:stretch>
                      <a:fillRect/>
                    </a:stretch>
                  </pic:blipFill>
                  <pic:spPr>
                    <a:xfrm>
                      <a:off x="0" y="0"/>
                      <a:ext cx="6545580" cy="10076180"/>
                    </a:xfrm>
                    <a:prstGeom prst="rect">
                      <a:avLst/>
                    </a:prstGeom>
                    <a:noFill/>
                    <a:ln>
                      <a:noFill/>
                    </a:ln>
                  </pic:spPr>
                </pic:pic>
              </a:graphicData>
            </a:graphic>
          </wp:anchor>
        </w:drawing>
      </w:r>
    </w:p>
    <w:p>
      <w:pPr>
        <w:pStyle w:val="2"/>
        <w:ind w:left="0" w:leftChars="0" w:firstLine="0" w:firstLineChars="0"/>
        <w:rPr>
          <w:rFonts w:hint="eastAsia" w:eastAsia="宋体"/>
          <w:lang w:eastAsia="zh-CN"/>
        </w:rPr>
        <w:sectPr>
          <w:pgSz w:w="11906" w:h="16838"/>
          <w:pgMar w:top="1440" w:right="1800" w:bottom="1440" w:left="1800" w:header="851" w:footer="992" w:gutter="0"/>
          <w:cols w:space="425" w:num="1"/>
          <w:docGrid w:type="lines" w:linePitch="312" w:charSpace="0"/>
        </w:sectPr>
      </w:pPr>
    </w:p>
    <w:p>
      <w:pPr>
        <w:pStyle w:val="2"/>
        <w:ind w:left="0" w:leftChars="0" w:firstLine="0" w:firstLineChars="0"/>
        <w:rPr>
          <w:rFonts w:hint="eastAsia" w:eastAsia="宋体"/>
          <w:lang w:eastAsia="zh-CN"/>
        </w:rPr>
      </w:pPr>
      <w:bookmarkStart w:id="1" w:name="_GoBack"/>
      <w:bookmarkEnd w:id="1"/>
      <w:r>
        <w:drawing>
          <wp:anchor distT="0" distB="0" distL="114300" distR="114300" simplePos="0" relativeHeight="253151232" behindDoc="0" locked="0" layoutInCell="1" allowOverlap="1">
            <wp:simplePos x="0" y="0"/>
            <wp:positionH relativeFrom="column">
              <wp:posOffset>-664210</wp:posOffset>
            </wp:positionH>
            <wp:positionV relativeFrom="paragraph">
              <wp:posOffset>-713105</wp:posOffset>
            </wp:positionV>
            <wp:extent cx="10191115" cy="6700520"/>
            <wp:effectExtent l="0" t="0" r="4445" b="5080"/>
            <wp:wrapSquare wrapText="bothSides"/>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3"/>
                    <a:stretch>
                      <a:fillRect/>
                    </a:stretch>
                  </pic:blipFill>
                  <pic:spPr>
                    <a:xfrm>
                      <a:off x="0" y="0"/>
                      <a:ext cx="10191115" cy="6700520"/>
                    </a:xfrm>
                    <a:prstGeom prst="rect">
                      <a:avLst/>
                    </a:prstGeom>
                    <a:noFill/>
                    <a:ln>
                      <a:noFill/>
                    </a:ln>
                  </pic:spPr>
                </pic:pic>
              </a:graphicData>
            </a:graphic>
          </wp:anchor>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新宋体">
    <w:panose1 w:val="02010609030101010101"/>
    <w:charset w:val="86"/>
    <w:family w:val="modern"/>
    <w:pitch w:val="default"/>
    <w:sig w:usb0="00000003" w:usb1="288F0000" w:usb2="0000000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DRMVdUrgEAAEsD&#10;AAAOAAAAAAAAAAEAIAAAAB4BAABkcnMvZTJvRG9jLnhtbFBLBQYAAAAABgAGAFkBAAA+BQ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103638"/>
    <w:multiLevelType w:val="singleLevel"/>
    <w:tmpl w:val="9A103638"/>
    <w:lvl w:ilvl="0" w:tentative="0">
      <w:start w:val="1"/>
      <w:numFmt w:val="decimal"/>
      <w:suff w:val="space"/>
      <w:lvlText w:val="%1."/>
      <w:lvlJc w:val="left"/>
    </w:lvl>
  </w:abstractNum>
  <w:abstractNum w:abstractNumId="1">
    <w:nsid w:val="5941DEEE"/>
    <w:multiLevelType w:val="singleLevel"/>
    <w:tmpl w:val="5941DEEE"/>
    <w:lvl w:ilvl="0" w:tentative="0">
      <w:start w:val="2"/>
      <w:numFmt w:val="decimal"/>
      <w:suff w:val="nothing"/>
      <w:lvlText w:val="%1、"/>
      <w:lvlJc w:val="left"/>
    </w:lvl>
  </w:abstractNum>
  <w:abstractNum w:abstractNumId="2">
    <w:nsid w:val="5A177E1E"/>
    <w:multiLevelType w:val="singleLevel"/>
    <w:tmpl w:val="5A177E1E"/>
    <w:lvl w:ilvl="0" w:tentative="0">
      <w:start w:val="6"/>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D801E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nhideWhenUsed="0" w:uiPriority="9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beforeLines="0" w:after="330" w:afterLines="0" w:line="578" w:lineRule="auto"/>
      <w:outlineLvl w:val="0"/>
    </w:pPr>
    <w:rPr>
      <w:b/>
      <w:bCs/>
      <w:kern w:val="44"/>
      <w:sz w:val="44"/>
      <w:szCs w:val="44"/>
    </w:rPr>
  </w:style>
  <w:style w:type="paragraph" w:styleId="4">
    <w:name w:val="heading 2"/>
    <w:basedOn w:val="1"/>
    <w:next w:val="5"/>
    <w:qFormat/>
    <w:uiPriority w:val="0"/>
    <w:pPr>
      <w:keepNext/>
      <w:keepLines/>
      <w:spacing w:before="240" w:beforeLines="0" w:after="120" w:afterLines="0"/>
      <w:outlineLvl w:val="1"/>
    </w:pPr>
    <w:rPr>
      <w:rFonts w:ascii="宋体" w:hAnsi="宋体"/>
      <w:b/>
      <w:sz w:val="32"/>
      <w:szCs w:val="20"/>
    </w:rPr>
  </w:style>
  <w:style w:type="paragraph" w:styleId="6">
    <w:name w:val="heading 5"/>
    <w:basedOn w:val="1"/>
    <w:next w:val="1"/>
    <w:qFormat/>
    <w:uiPriority w:val="99"/>
    <w:pPr>
      <w:spacing w:before="37"/>
      <w:ind w:left="120"/>
      <w:outlineLvl w:val="4"/>
    </w:pPr>
    <w:rPr>
      <w:rFonts w:ascii="宋体" w:hAnsi="宋体"/>
      <w:b/>
      <w:bCs/>
      <w:sz w:val="24"/>
    </w:rPr>
  </w:style>
  <w:style w:type="character" w:default="1" w:styleId="17">
    <w:name w:val="Default Paragraph Font"/>
    <w:semiHidden/>
    <w:uiPriority w:val="0"/>
  </w:style>
  <w:style w:type="table" w:default="1" w:styleId="15">
    <w:name w:val="Normal Table"/>
    <w:semiHidden/>
    <w:uiPriority w:val="0"/>
    <w:tblPr>
      <w:tblLayout w:type="fixed"/>
      <w:tblCellMar>
        <w:top w:w="0" w:type="dxa"/>
        <w:left w:w="108" w:type="dxa"/>
        <w:bottom w:w="0" w:type="dxa"/>
        <w:right w:w="108" w:type="dxa"/>
      </w:tblCellMar>
    </w:tblPr>
  </w:style>
  <w:style w:type="paragraph" w:styleId="2">
    <w:name w:val="Body Text First Indent 2"/>
    <w:basedOn w:val="1"/>
    <w:unhideWhenUsed/>
    <w:qFormat/>
    <w:uiPriority w:val="99"/>
    <w:pPr>
      <w:spacing w:after="120"/>
      <w:ind w:left="420" w:leftChars="200" w:firstLine="420"/>
    </w:pPr>
    <w:rPr>
      <w:rFonts w:ascii="Times New Roman" w:hAnsi="Times New Roman" w:eastAsia="宋体"/>
    </w:rPr>
  </w:style>
  <w:style w:type="paragraph" w:styleId="5">
    <w:name w:val="Normal Indent"/>
    <w:basedOn w:val="1"/>
    <w:qFormat/>
    <w:uiPriority w:val="0"/>
    <w:rPr>
      <w:sz w:val="28"/>
      <w:szCs w:val="20"/>
    </w:rPr>
  </w:style>
  <w:style w:type="paragraph" w:styleId="7">
    <w:name w:val="annotation text"/>
    <w:basedOn w:val="1"/>
    <w:qFormat/>
    <w:uiPriority w:val="0"/>
    <w:pPr>
      <w:jc w:val="left"/>
    </w:pPr>
  </w:style>
  <w:style w:type="paragraph" w:styleId="8">
    <w:name w:val="Body Text"/>
    <w:basedOn w:val="1"/>
    <w:qFormat/>
    <w:uiPriority w:val="0"/>
    <w:pPr>
      <w:spacing w:after="120" w:afterLines="0"/>
    </w:pPr>
  </w:style>
  <w:style w:type="paragraph" w:styleId="9">
    <w:name w:val="Body Text Indent"/>
    <w:basedOn w:val="1"/>
    <w:qFormat/>
    <w:uiPriority w:val="0"/>
    <w:pPr>
      <w:tabs>
        <w:tab w:val="left" w:pos="210"/>
      </w:tabs>
      <w:spacing w:line="360" w:lineRule="auto"/>
      <w:ind w:firstLine="420" w:firstLineChars="175"/>
    </w:pPr>
    <w:rPr>
      <w:sz w:val="24"/>
    </w:rPr>
  </w:style>
  <w:style w:type="paragraph" w:styleId="10">
    <w:name w:val="Block Text"/>
    <w:basedOn w:val="1"/>
    <w:qFormat/>
    <w:uiPriority w:val="0"/>
    <w:pPr>
      <w:autoSpaceDE w:val="0"/>
      <w:autoSpaceDN w:val="0"/>
      <w:adjustRightInd w:val="0"/>
      <w:spacing w:before="1" w:line="537" w:lineRule="exact"/>
      <w:ind w:left="88" w:right="6"/>
    </w:pPr>
    <w:rPr>
      <w:rFonts w:cs="宋体"/>
      <w:color w:val="000000"/>
      <w:kern w:val="0"/>
      <w:sz w:val="28"/>
    </w:rPr>
  </w:style>
  <w:style w:type="paragraph" w:styleId="11">
    <w:name w:val="Plain Text"/>
    <w:basedOn w:val="1"/>
    <w:qFormat/>
    <w:uiPriority w:val="0"/>
    <w:rPr>
      <w:rFonts w:ascii="宋体" w:hAnsi="Courier New"/>
      <w:sz w:val="28"/>
      <w:szCs w:val="20"/>
    </w:rPr>
  </w:style>
  <w:style w:type="paragraph" w:styleId="12">
    <w:name w:val="footer"/>
    <w:basedOn w:val="1"/>
    <w:unhideWhenUsed/>
    <w:qFormat/>
    <w:uiPriority w:val="99"/>
    <w:pPr>
      <w:tabs>
        <w:tab w:val="center" w:pos="4153"/>
        <w:tab w:val="right" w:pos="8306"/>
      </w:tabs>
      <w:snapToGrid w:val="0"/>
      <w:jc w:val="left"/>
    </w:pPr>
    <w:rPr>
      <w:sz w:val="18"/>
      <w:szCs w:val="18"/>
    </w:rPr>
  </w:style>
  <w:style w:type="paragraph" w:styleId="13">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Normal (Web)"/>
    <w:basedOn w:val="1"/>
    <w:qFormat/>
    <w:uiPriority w:val="0"/>
    <w:pPr>
      <w:widowControl/>
      <w:spacing w:before="100" w:beforeLines="0" w:beforeAutospacing="1" w:after="100" w:afterLines="0" w:afterAutospacing="1"/>
      <w:jc w:val="left"/>
    </w:pPr>
    <w:rPr>
      <w:rFonts w:ascii="宋体" w:hAnsi="宋体"/>
      <w:kern w:val="0"/>
      <w:sz w:val="24"/>
      <w:szCs w:val="20"/>
    </w:rPr>
  </w:style>
  <w:style w:type="table" w:styleId="16">
    <w:name w:val="Table Grid"/>
    <w:basedOn w:val="15"/>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8">
    <w:name w:val="Strong"/>
    <w:basedOn w:val="17"/>
    <w:qFormat/>
    <w:uiPriority w:val="0"/>
    <w:rPr>
      <w:b/>
      <w:bCs/>
    </w:rPr>
  </w:style>
  <w:style w:type="paragraph" w:customStyle="1" w:styleId="19">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20">
    <w:name w:val="正文缩进1"/>
    <w:basedOn w:val="1"/>
    <w:qFormat/>
    <w:uiPriority w:val="0"/>
    <w:rPr>
      <w:sz w:val="28"/>
    </w:rPr>
  </w:style>
  <w:style w:type="paragraph" w:customStyle="1" w:styleId="21">
    <w:name w:val="样式 正文（首行缩进两字） + 首行缩进:  2 字符"/>
    <w:qFormat/>
    <w:uiPriority w:val="0"/>
    <w:pPr>
      <w:snapToGrid w:val="0"/>
      <w:spacing w:line="360" w:lineRule="auto"/>
      <w:ind w:firstLine="560" w:firstLineChars="200"/>
    </w:pPr>
    <w:rPr>
      <w:rFonts w:ascii="Calibri" w:hAnsi="Calibri" w:eastAsia="宋体" w:cs="Times New Roman"/>
      <w:sz w:val="28"/>
      <w:szCs w:val="22"/>
      <w:lang w:val="en-US" w:eastAsia="zh-CN" w:bidi="ar-SA"/>
    </w:rPr>
  </w:style>
  <w:style w:type="paragraph" w:customStyle="1" w:styleId="22">
    <w:name w:val="p16"/>
    <w:basedOn w:val="1"/>
    <w:qFormat/>
    <w:uiPriority w:val="0"/>
    <w:pPr>
      <w:widowControl/>
      <w:snapToGrid w:val="0"/>
      <w:spacing w:line="360" w:lineRule="auto"/>
      <w:ind w:firstLine="505"/>
    </w:pPr>
    <w:rPr>
      <w:rFonts w:hint="eastAsia" w:ascii="宋体" w:hAnsi="宋体"/>
      <w:sz w:val="24"/>
      <w:szCs w:val="20"/>
    </w:rPr>
  </w:style>
  <w:style w:type="paragraph" w:styleId="23">
    <w:name w:val="List Paragraph"/>
    <w:basedOn w:val="1"/>
    <w:qFormat/>
    <w:uiPriority w:val="34"/>
    <w:pPr>
      <w:ind w:firstLine="420" w:firstLineChars="200"/>
    </w:pPr>
  </w:style>
  <w:style w:type="paragraph" w:customStyle="1" w:styleId="24">
    <w:name w:val="5表格标题"/>
    <w:basedOn w:val="11"/>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25">
    <w:name w:val="Table Paragraph"/>
    <w:basedOn w:val="1"/>
    <w:qFormat/>
    <w:uiPriority w:val="99"/>
  </w:style>
  <w:style w:type="paragraph" w:customStyle="1" w:styleId="26">
    <w:name w:val="正文文本缩进1"/>
    <w:basedOn w:val="1"/>
    <w:qFormat/>
    <w:uiPriority w:val="0"/>
    <w:pPr>
      <w:tabs>
        <w:tab w:val="left" w:pos="210"/>
      </w:tabs>
      <w:spacing w:line="360" w:lineRule="auto"/>
      <w:ind w:firstLine="420" w:firstLineChars="175"/>
    </w:pPr>
    <w:rPr>
      <w:kern w:val="0"/>
      <w:sz w:val="20"/>
    </w:rPr>
  </w:style>
  <w:style w:type="paragraph" w:customStyle="1" w:styleId="27">
    <w:name w:val="Normal Indent"/>
    <w:basedOn w:val="1"/>
    <w:qFormat/>
    <w:uiPriority w:val="0"/>
    <w:rPr>
      <w:sz w:val="28"/>
      <w:szCs w:val="20"/>
    </w:rPr>
  </w:style>
  <w:style w:type="paragraph" w:customStyle="1" w:styleId="28">
    <w:name w:val="表格文字"/>
    <w:basedOn w:val="8"/>
    <w:qFormat/>
    <w:uiPriority w:val="0"/>
    <w:pPr>
      <w:adjustRightInd w:val="0"/>
      <w:snapToGrid w:val="0"/>
      <w:spacing w:after="156" w:afterLines="0" w:line="240" w:lineRule="exact"/>
      <w:ind w:left="-80" w:leftChars="-38" w:right="-84" w:rightChars="-40"/>
      <w:jc w:val="center"/>
    </w:pPr>
    <w:rPr>
      <w:szCs w:val="21"/>
    </w:rPr>
  </w:style>
  <w:style w:type="character" w:customStyle="1" w:styleId="29">
    <w:name w:val="fontrow151"/>
    <w:basedOn w:val="17"/>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Office_11.1.0.8612_F1E327BC-269C-435d-A152-05C5408002CA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苏彦豪</cp:lastModifiedBy>
  <dcterms:modified xsi:type="dcterms:W3CDTF">2019-06-24T08:33:12Z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