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64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 xml:space="preserve"> </w:t>
      </w:r>
    </w:p>
    <w:p>
      <w:pPr>
        <w:spacing w:line="600" w:lineRule="exact"/>
        <w:ind w:right="6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2018年春夏火灾防控工作方案</w:t>
      </w:r>
    </w:p>
    <w:p>
      <w:pPr>
        <w:spacing w:line="600" w:lineRule="exact"/>
        <w:ind w:right="640"/>
        <w:jc w:val="center"/>
        <w:rPr>
          <w:rFonts w:hint="eastAsia" w:ascii="仿宋_GB2312" w:hAnsi="仿宋_GB2312" w:eastAsia="仿宋_GB2312" w:cs="仿宋_GB2312"/>
          <w:sz w:val="32"/>
          <w:szCs w:val="32"/>
        </w:rPr>
      </w:pPr>
    </w:p>
    <w:p>
      <w:pPr>
        <w:autoSpaceDE w:val="0"/>
        <w:autoSpaceDN w:val="0"/>
        <w:adjustRightInd w:val="0"/>
        <w:spacing w:line="620" w:lineRule="atLeast"/>
        <w:ind w:firstLine="640"/>
        <w:rPr>
          <w:rFonts w:ascii="仿宋" w:hAnsi="仿宋" w:eastAsia="仿宋" w:cs="宋体"/>
          <w:kern w:val="0"/>
          <w:sz w:val="32"/>
          <w:szCs w:val="32"/>
          <w:lang w:val="zh-CN"/>
        </w:rPr>
      </w:pPr>
      <w:r>
        <w:rPr>
          <w:rFonts w:hint="eastAsia" w:ascii="仿宋_GB2312" w:hAnsi="仿宋_GB2312" w:eastAsia="仿宋_GB2312" w:cs="仿宋_GB2312"/>
          <w:kern w:val="0"/>
          <w:sz w:val="32"/>
          <w:szCs w:val="32"/>
          <w:lang w:val="zh-CN"/>
        </w:rPr>
        <w:t>为全力做好2018年春夏期间消防安全工作，按照县防火委员会工作统一部署，开发区决定自即日起至9月20日，在全区集中开展春夏火灾防控工作。现制定工作方案如下：</w:t>
      </w:r>
    </w:p>
    <w:p>
      <w:pPr>
        <w:autoSpaceDE w:val="0"/>
        <w:autoSpaceDN w:val="0"/>
        <w:adjustRightInd w:val="0"/>
        <w:spacing w:line="620" w:lineRule="atLeast"/>
        <w:ind w:firstLine="640"/>
        <w:rPr>
          <w:rFonts w:ascii="仿宋" w:hAnsi="仿宋" w:eastAsia="仿宋" w:cs="宋体"/>
          <w:b/>
          <w:kern w:val="0"/>
          <w:sz w:val="32"/>
          <w:szCs w:val="32"/>
          <w:lang w:val="zh-CN"/>
        </w:rPr>
      </w:pPr>
      <w:r>
        <w:rPr>
          <w:rFonts w:hint="eastAsia" w:ascii="仿宋" w:hAnsi="仿宋" w:eastAsia="仿宋" w:cs="宋体"/>
          <w:b/>
          <w:kern w:val="0"/>
          <w:sz w:val="32"/>
          <w:szCs w:val="32"/>
          <w:lang w:val="zh-CN"/>
        </w:rPr>
        <w:t>一、工作目标</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以习近平新时代中国特色社会主义思想为指导，深入贯彻党的十九大和全国“两会”精神，紧紧依靠党委政府，推动行业部门，动员社会各方面力量，强化风险管控，持续开展分行业排查治理，着力强化消防宣传培训和灭火救援执勤战备，落实重点环节、重点人员严管严控措施。夯实火灾防控工作基础，有效减少一般亡人火灾，遏制较大和有影响火灾，坚决杜绝重特大群死群伤火灾，全力维护火灾形势持续稳定。</w:t>
      </w:r>
    </w:p>
    <w:p>
      <w:pPr>
        <w:autoSpaceDE w:val="0"/>
        <w:autoSpaceDN w:val="0"/>
        <w:adjustRightInd w:val="0"/>
        <w:spacing w:line="620" w:lineRule="atLeast"/>
        <w:ind w:firstLine="640"/>
        <w:rPr>
          <w:rFonts w:ascii="仿宋" w:hAnsi="仿宋" w:eastAsia="仿宋" w:cs="宋体"/>
          <w:b/>
          <w:kern w:val="0"/>
          <w:sz w:val="32"/>
          <w:szCs w:val="32"/>
          <w:lang w:val="zh-CN"/>
        </w:rPr>
      </w:pPr>
      <w:r>
        <w:rPr>
          <w:rFonts w:hint="eastAsia" w:ascii="仿宋" w:hAnsi="仿宋" w:eastAsia="仿宋" w:cs="宋体"/>
          <w:b/>
          <w:kern w:val="0"/>
          <w:sz w:val="32"/>
          <w:szCs w:val="32"/>
          <w:lang w:val="zh-CN"/>
        </w:rPr>
        <w:t>二、工作内容</w:t>
      </w:r>
    </w:p>
    <w:p>
      <w:pPr>
        <w:spacing w:line="560" w:lineRule="exact"/>
        <w:ind w:firstLine="636" w:firstLineChars="199"/>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rPr>
        <w:t>各部门要按照“管行业必须管安全、管业务必须管安全、管生产经营必须管安全”的要求，将春夏火灾防控纳入日常工作范畴，结合实际，制定落实工作措施，召开会议进行部署，</w:t>
      </w:r>
      <w:r>
        <w:rPr>
          <w:rFonts w:hint="eastAsia" w:ascii="仿宋_GB2312" w:hAnsi="仿宋_GB2312" w:eastAsia="仿宋_GB2312" w:cs="仿宋_GB2312"/>
          <w:w w:val="90"/>
          <w:sz w:val="32"/>
          <w:szCs w:val="32"/>
        </w:rPr>
        <w:t>按照基层网格化综合管理和职责分工、负责组织实施本行业和领域内的消防安全工作。</w:t>
      </w:r>
    </w:p>
    <w:p>
      <w:pPr>
        <w:autoSpaceDE w:val="0"/>
        <w:autoSpaceDN w:val="0"/>
        <w:adjustRightInd w:val="0"/>
        <w:spacing w:line="620" w:lineRule="atLeast"/>
        <w:ind w:firstLine="640"/>
        <w:rPr>
          <w:rFonts w:ascii="仿宋" w:hAnsi="仿宋" w:eastAsia="仿宋" w:cs="宋体"/>
          <w:b/>
          <w:kern w:val="0"/>
          <w:sz w:val="32"/>
          <w:szCs w:val="32"/>
          <w:lang w:val="zh-CN"/>
        </w:rPr>
      </w:pPr>
      <w:r>
        <w:rPr>
          <w:rFonts w:hint="eastAsia" w:ascii="仿宋" w:hAnsi="仿宋" w:eastAsia="仿宋" w:cs="宋体"/>
          <w:b/>
          <w:kern w:val="0"/>
          <w:sz w:val="32"/>
          <w:szCs w:val="32"/>
          <w:lang w:val="zh-CN"/>
        </w:rPr>
        <w:t>（一）区行政服务中心</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kern w:val="0"/>
          <w:sz w:val="32"/>
          <w:szCs w:val="32"/>
          <w:lang w:val="zh-CN"/>
        </w:rPr>
        <w:t>1、</w:t>
      </w:r>
      <w:r>
        <w:rPr>
          <w:rFonts w:hint="eastAsia" w:ascii="仿宋_GB2312" w:hAnsi="仿宋_GB2312" w:eastAsia="仿宋_GB2312" w:cs="仿宋_GB2312"/>
          <w:kern w:val="0"/>
          <w:sz w:val="32"/>
          <w:szCs w:val="32"/>
          <w:lang w:val="zh-CN"/>
        </w:rPr>
        <w:t>聚焦“一高一低一大一化工”高危单位，落实“一场所、一对策”严管严控高危场所。6月底前，要督促高危单位开展1次消防安全风险评估，明确隐患问题和整改责任“两个清单”，因情施策、分类整治，8月底前突出隐患问题整改到位。</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2、7月份至8月份，对各类仓储物流企业开展全面检查，以日常巡查检查、消防设施配备运行、安全疏散、用火用电为重点，督促仓储物流企业落实消防安全主体责任，整改消除火灾隐患，建立长效管理机制。</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春夏火灾防控期间，消防安全重点单位要加强“四个能力”建设，落实消防安全主体责任。组织开展“六个一”活动，即：约见1次重点单位法人，签订1份消防安全承诺书，开展1次消防安全自查，对建筑消防设施进行1次维护保养，组织1次全员培训，开展1次全员应急疏散演练。</w:t>
      </w:r>
    </w:p>
    <w:p>
      <w:pPr>
        <w:autoSpaceDE w:val="0"/>
        <w:autoSpaceDN w:val="0"/>
        <w:adjustRightInd w:val="0"/>
        <w:spacing w:line="620" w:lineRule="atLeast"/>
        <w:ind w:firstLine="640"/>
        <w:rPr>
          <w:rFonts w:ascii="仿宋" w:hAnsi="仿宋" w:eastAsia="仿宋" w:cs="宋体"/>
          <w:b/>
          <w:kern w:val="0"/>
          <w:sz w:val="32"/>
          <w:szCs w:val="32"/>
          <w:lang w:val="zh-CN"/>
        </w:rPr>
      </w:pPr>
      <w:r>
        <w:rPr>
          <w:rFonts w:hint="eastAsia" w:ascii="仿宋" w:hAnsi="仿宋" w:eastAsia="仿宋" w:cs="宋体"/>
          <w:b/>
          <w:kern w:val="0"/>
          <w:sz w:val="32"/>
          <w:szCs w:val="32"/>
          <w:lang w:val="zh-CN"/>
        </w:rPr>
        <w:t>（二）区社会事业局</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1、区社会事业局、中心校按照职能分工，摸排养老机构、幼儿园、寄宿制学校等敏感场所，6月底前完成排查，建立工作台账，落实监管责任，确定治理标准，规范消防安全管理。</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加大城乡结合部地区火灾隐患治理力度，各居（村）民委员会要发动基层网格力量开展日常巡查、联合检查。对老旧住宅、群租房、“三合一”场所，严格用火用电用油用气管理，要求房屋所有者和业主，从严落实群租房“四个一律”措施和电动车“三个决不能”要求，对摸排发现10人以上的群租房，督促增设独立式火灾探测报警器。严格执行施工现场“五个必须”要求，至少明确1名消防安全员，具体负责防火巡查检查。</w:t>
      </w:r>
    </w:p>
    <w:p>
      <w:pPr>
        <w:autoSpaceDE w:val="0"/>
        <w:autoSpaceDN w:val="0"/>
        <w:adjustRightInd w:val="0"/>
        <w:spacing w:line="620" w:lineRule="atLeast"/>
        <w:ind w:firstLine="640"/>
        <w:rPr>
          <w:rFonts w:ascii="仿宋" w:hAnsi="仿宋" w:eastAsia="仿宋" w:cs="宋体"/>
          <w:b/>
          <w:kern w:val="0"/>
          <w:sz w:val="32"/>
          <w:szCs w:val="32"/>
          <w:lang w:val="zh-CN"/>
        </w:rPr>
      </w:pPr>
      <w:r>
        <w:rPr>
          <w:rFonts w:hint="eastAsia" w:ascii="仿宋" w:hAnsi="仿宋" w:eastAsia="仿宋" w:cs="宋体"/>
          <w:b/>
          <w:kern w:val="0"/>
          <w:sz w:val="32"/>
          <w:szCs w:val="32"/>
          <w:lang w:val="zh-CN"/>
        </w:rPr>
        <w:t>（三）区规划建设局</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6月底前要对建设工程施工现场消防安全进行排查治理，重点检查建设工程行政许可、建筑材料耐火性能、员工宿舍、施工现场消防设施器材、用火用电管理、日常巡查检查等方面内容，依法整治各类施工工地消防违法违规行为。</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2、深化高层建筑和电气火灾综合治理</w:t>
      </w:r>
      <w:r>
        <w:rPr>
          <w:rFonts w:hint="eastAsia" w:ascii="仿宋_GB2312" w:hAnsi="仿宋_GB2312" w:eastAsia="仿宋_GB2312" w:cs="仿宋_GB2312"/>
          <w:b/>
          <w:kern w:val="0"/>
          <w:sz w:val="32"/>
          <w:szCs w:val="32"/>
          <w:lang w:val="zh-CN"/>
        </w:rPr>
        <w:t>，</w:t>
      </w:r>
      <w:r>
        <w:rPr>
          <w:rFonts w:hint="eastAsia" w:ascii="仿宋_GB2312" w:hAnsi="仿宋_GB2312" w:eastAsia="仿宋_GB2312" w:cs="仿宋_GB2312"/>
          <w:kern w:val="0"/>
          <w:sz w:val="32"/>
          <w:szCs w:val="32"/>
          <w:lang w:val="zh-CN"/>
        </w:rPr>
        <w:t>进一步推进高层建筑消防安全综合治理“五查”行动，逐栋明确消防安全经理人或楼长。以外墙装饰和保温材料、用火用电用气、消防设施、安全疏散、多产权建筑消防管理为重点，集中查处一批存在严重违法行为和拒不整改火灾隐患的物业企业和单位业主。对摸排发现的“弃管楼”，要明确消防安全管理主体；违规采用易燃可燃外保温材料的，结合改建、扩建，推动尽快拆除改造。</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3、要持续开展在建工程电气施工质量检查和施工现场临时用电、办公场所、工棚消防安全检查；持续加强电气产品使用领域隐患排查治理。</w:t>
      </w:r>
    </w:p>
    <w:p>
      <w:pPr>
        <w:autoSpaceDE w:val="0"/>
        <w:autoSpaceDN w:val="0"/>
        <w:adjustRightInd w:val="0"/>
        <w:spacing w:line="620" w:lineRule="atLeast"/>
        <w:ind w:firstLine="640"/>
        <w:rPr>
          <w:rFonts w:ascii="仿宋" w:hAnsi="仿宋" w:eastAsia="仿宋" w:cs="宋体"/>
          <w:b/>
          <w:kern w:val="0"/>
          <w:sz w:val="32"/>
          <w:szCs w:val="32"/>
          <w:lang w:val="zh-CN"/>
        </w:rPr>
      </w:pPr>
      <w:r>
        <w:rPr>
          <w:rFonts w:hint="eastAsia" w:ascii="仿宋" w:hAnsi="仿宋" w:eastAsia="仿宋" w:cs="宋体"/>
          <w:b/>
          <w:kern w:val="0"/>
          <w:sz w:val="32"/>
          <w:szCs w:val="32"/>
          <w:lang w:val="zh-CN"/>
        </w:rPr>
        <w:t>（四）区工商分局</w:t>
      </w:r>
    </w:p>
    <w:p>
      <w:pPr>
        <w:autoSpaceDE w:val="0"/>
        <w:autoSpaceDN w:val="0"/>
        <w:adjustRightInd w:val="0"/>
        <w:spacing w:line="620" w:lineRule="atLeast"/>
        <w:ind w:firstLine="640"/>
        <w:rPr>
          <w:rFonts w:ascii="仿宋" w:hAnsi="仿宋" w:eastAsia="仿宋" w:cs="宋体"/>
          <w:kern w:val="0"/>
          <w:sz w:val="32"/>
          <w:szCs w:val="32"/>
          <w:lang w:val="zh-CN"/>
        </w:rPr>
      </w:pPr>
      <w:r>
        <w:rPr>
          <w:rFonts w:hint="eastAsia" w:ascii="仿宋_GB2312" w:hAnsi="仿宋_GB2312" w:eastAsia="仿宋_GB2312" w:cs="仿宋_GB2312"/>
          <w:kern w:val="0"/>
          <w:sz w:val="32"/>
          <w:szCs w:val="32"/>
          <w:lang w:val="zh-CN"/>
        </w:rPr>
        <w:t>持续深化电气火灾综合治理，推动建立长效管理机制，从源头上提升电气火灾防范水平。对生产、销售流通领域空调、冰箱、冰柜等制冷设备和电风扇、电蚊香等小家电开展专项检查。</w:t>
      </w:r>
    </w:p>
    <w:p>
      <w:pPr>
        <w:autoSpaceDE w:val="0"/>
        <w:autoSpaceDN w:val="0"/>
        <w:adjustRightInd w:val="0"/>
        <w:spacing w:line="620" w:lineRule="atLeast"/>
        <w:ind w:firstLine="640"/>
        <w:rPr>
          <w:rFonts w:ascii="仿宋" w:hAnsi="仿宋" w:eastAsia="仿宋" w:cs="宋体"/>
          <w:kern w:val="0"/>
          <w:sz w:val="32"/>
          <w:szCs w:val="32"/>
          <w:lang w:val="zh-CN"/>
        </w:rPr>
      </w:pPr>
      <w:r>
        <w:rPr>
          <w:rFonts w:hint="eastAsia" w:ascii="仿宋" w:hAnsi="仿宋" w:eastAsia="仿宋" w:cs="宋体"/>
          <w:b/>
          <w:kern w:val="0"/>
          <w:sz w:val="32"/>
          <w:szCs w:val="32"/>
          <w:lang w:val="zh-CN"/>
        </w:rPr>
        <w:t>（五）区经济发展局</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要排查消除各行业系统单位存在的违规使用大功率电器和“三无”电器产品、超负荷用电、私拉乱接电气线路等问题隐患。加快推进电气火灾隐患集中区域电气线路改造，预防和减少夏季用电高峰发生电气火灾。</w:t>
      </w:r>
    </w:p>
    <w:p>
      <w:pPr>
        <w:autoSpaceDE w:val="0"/>
        <w:autoSpaceDN w:val="0"/>
        <w:adjustRightInd w:val="0"/>
        <w:spacing w:line="620" w:lineRule="atLeast"/>
        <w:ind w:firstLine="640"/>
        <w:rPr>
          <w:rFonts w:ascii="仿宋" w:hAnsi="仿宋" w:eastAsia="仿宋" w:cs="宋体"/>
          <w:b/>
          <w:kern w:val="0"/>
          <w:sz w:val="32"/>
          <w:szCs w:val="32"/>
          <w:lang w:val="zh-CN"/>
        </w:rPr>
      </w:pPr>
      <w:r>
        <w:rPr>
          <w:rFonts w:hint="eastAsia" w:ascii="仿宋" w:hAnsi="仿宋" w:eastAsia="仿宋" w:cs="宋体"/>
          <w:b/>
          <w:kern w:val="0"/>
          <w:sz w:val="32"/>
          <w:szCs w:val="32"/>
          <w:lang w:val="zh-CN"/>
        </w:rPr>
        <w:t>（六）区黎明派出所</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紧盯端午节和重大活动期间，切实加强对超市、宾馆、网吧、人员密集场所等敏感单位的消防安全检查，各行业部门和社会单位要逐级落实责任，确保重大活动和重要节点期间消防安全。</w:t>
      </w:r>
    </w:p>
    <w:p>
      <w:pPr>
        <w:autoSpaceDE w:val="0"/>
        <w:autoSpaceDN w:val="0"/>
        <w:adjustRightInd w:val="0"/>
        <w:spacing w:line="620" w:lineRule="atLeast"/>
        <w:ind w:firstLine="640"/>
        <w:rPr>
          <w:rFonts w:ascii="仿宋" w:hAnsi="仿宋" w:eastAsia="仿宋" w:cs="宋体"/>
          <w:b/>
          <w:kern w:val="0"/>
          <w:sz w:val="32"/>
          <w:szCs w:val="32"/>
          <w:lang w:val="zh-CN"/>
        </w:rPr>
      </w:pPr>
      <w:r>
        <w:rPr>
          <w:rFonts w:hint="eastAsia" w:ascii="仿宋" w:hAnsi="仿宋" w:eastAsia="仿宋" w:cs="宋体"/>
          <w:b/>
          <w:kern w:val="0"/>
          <w:sz w:val="32"/>
          <w:szCs w:val="32"/>
          <w:lang w:val="zh-CN"/>
        </w:rPr>
        <w:t>三、春夏火灾防控工作分三个阶段开展：</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（一）部署发动阶段（5月31日前）。召开会议、动员部署，明确职责，细化措施。</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（二）全面实施阶段（6月1日至8月底）。各部门统一部署，精心组织，认真实施，定期督导检查和分析通报，及时解决发现的问题，落实各项工作任务。</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（三）总结考评阶段（9月10日前）。各部门对春夏火灾防控工作进行汇总分析、自查自评，总结固化经验做法，研究建立提升防火、灭火救援能力的长效机制。</w:t>
      </w:r>
    </w:p>
    <w:p>
      <w:pPr>
        <w:autoSpaceDE w:val="0"/>
        <w:autoSpaceDN w:val="0"/>
        <w:adjustRightInd w:val="0"/>
        <w:spacing w:line="620" w:lineRule="atLeast"/>
        <w:ind w:firstLine="640"/>
        <w:rPr>
          <w:rFonts w:ascii="仿宋" w:hAnsi="仿宋" w:eastAsia="仿宋" w:cs="宋体"/>
          <w:b/>
          <w:kern w:val="0"/>
          <w:sz w:val="32"/>
          <w:szCs w:val="32"/>
          <w:lang w:val="zh-CN"/>
        </w:rPr>
      </w:pPr>
      <w:r>
        <w:rPr>
          <w:rFonts w:hint="eastAsia" w:ascii="仿宋" w:hAnsi="仿宋" w:eastAsia="仿宋" w:cs="宋体"/>
          <w:b/>
          <w:kern w:val="0"/>
          <w:sz w:val="32"/>
          <w:szCs w:val="32"/>
          <w:lang w:val="zh-CN"/>
        </w:rPr>
        <w:t>四、工作要求</w:t>
      </w:r>
    </w:p>
    <w:p>
      <w:pPr>
        <w:snapToGrid w:val="0"/>
        <w:spacing w:line="600" w:lineRule="exact"/>
        <w:ind w:firstLine="540"/>
        <w:rPr>
          <w:rFonts w:hint="eastAsia" w:ascii="仿宋_GB2312" w:hAnsi="仿宋_GB2312" w:eastAsia="仿宋_GB2312" w:cs="仿宋_GB2312"/>
          <w:sz w:val="32"/>
          <w:szCs w:val="32"/>
        </w:rPr>
      </w:pPr>
      <w:r>
        <w:rPr>
          <w:rFonts w:hint="eastAsia" w:ascii="仿宋" w:hAnsi="仿宋" w:eastAsia="仿宋" w:cs="宋体"/>
          <w:b/>
          <w:kern w:val="0"/>
          <w:sz w:val="32"/>
          <w:szCs w:val="32"/>
          <w:lang w:val="zh-CN"/>
        </w:rPr>
        <w:t>（一）提高认识，加强领导。</w:t>
      </w:r>
      <w:r>
        <w:rPr>
          <w:rFonts w:hint="eastAsia" w:ascii="仿宋_GB2312" w:hAnsi="仿宋_GB2312" w:eastAsia="仿宋_GB2312" w:cs="仿宋_GB2312"/>
          <w:kern w:val="0"/>
          <w:sz w:val="32"/>
          <w:szCs w:val="32"/>
          <w:lang w:val="zh-CN"/>
        </w:rPr>
        <w:t>各部门要充分认识开展春夏火灾防控工作的重要意义</w:t>
      </w:r>
      <w:r>
        <w:rPr>
          <w:rFonts w:hint="eastAsia" w:ascii="仿宋_GB2312" w:hAnsi="仿宋_GB2312" w:eastAsia="仿宋_GB2312" w:cs="仿宋_GB2312"/>
          <w:sz w:val="32"/>
          <w:szCs w:val="32"/>
        </w:rPr>
        <w:t>，进一步增强政治意识、大局意识和责任意识，精心谋划，周密部署，全力以赴，扎实做好春夏火灾防控工作。</w:t>
      </w:r>
    </w:p>
    <w:p>
      <w:pPr>
        <w:snapToGrid w:val="0"/>
        <w:spacing w:line="600" w:lineRule="exact"/>
        <w:ind w:firstLine="540"/>
        <w:rPr>
          <w:rFonts w:hint="eastAsia" w:ascii="仿宋_GB2312" w:hAnsi="仿宋_GB2312" w:eastAsia="仿宋_GB2312" w:cs="仿宋_GB2312"/>
          <w:sz w:val="32"/>
          <w:szCs w:val="32"/>
        </w:rPr>
      </w:pPr>
      <w:r>
        <w:rPr>
          <w:rFonts w:ascii="楷体_GB2312" w:hAnsi="宋体" w:eastAsia="楷体_GB2312"/>
          <w:b/>
          <w:sz w:val="32"/>
          <w:szCs w:val="28"/>
        </w:rPr>
        <w:t>（二）</w:t>
      </w:r>
      <w:r>
        <w:rPr>
          <w:rFonts w:hint="eastAsia" w:ascii="楷体_GB2312" w:hAnsi="宋体" w:eastAsia="楷体_GB2312"/>
          <w:b/>
          <w:sz w:val="32"/>
          <w:szCs w:val="28"/>
        </w:rPr>
        <w:t>明确责任，狠抓落实。</w:t>
      </w:r>
      <w:r>
        <w:rPr>
          <w:rFonts w:hint="eastAsia" w:ascii="仿宋_GB2312" w:hAnsi="仿宋_GB2312" w:eastAsia="仿宋_GB2312" w:cs="仿宋_GB2312"/>
          <w:sz w:val="32"/>
          <w:szCs w:val="32"/>
        </w:rPr>
        <w:t>各部门负责人是直接责任人，要全面负责，全程参与，及时研究解决工作中遇到的困难和问题。要进一步细化任务、明确分工，切实将工作任务和职责落实到人，一级抓一级，层层抓落实。</w:t>
      </w:r>
    </w:p>
    <w:p>
      <w:pPr>
        <w:autoSpaceDE w:val="0"/>
        <w:autoSpaceDN w:val="0"/>
        <w:adjustRightInd w:val="0"/>
        <w:spacing w:line="620" w:lineRule="atLeast"/>
        <w:ind w:firstLine="640"/>
        <w:rPr>
          <w:rFonts w:hint="eastAsia" w:ascii="仿宋_GB2312" w:hAnsi="仿宋_GB2312" w:eastAsia="仿宋_GB2312" w:cs="仿宋_GB2312"/>
          <w:kern w:val="0"/>
          <w:sz w:val="32"/>
          <w:szCs w:val="32"/>
          <w:lang w:val="zh-CN"/>
        </w:rPr>
      </w:pPr>
      <w:r>
        <w:rPr>
          <w:rFonts w:hint="eastAsia" w:ascii="仿宋" w:hAnsi="仿宋" w:eastAsia="仿宋" w:cs="宋体"/>
          <w:b/>
          <w:kern w:val="0"/>
          <w:sz w:val="32"/>
          <w:szCs w:val="32"/>
          <w:lang w:val="zh-CN"/>
        </w:rPr>
        <w:t>（三）严格督导，落实责任。</w:t>
      </w:r>
      <w:r>
        <w:rPr>
          <w:rFonts w:hint="eastAsia" w:ascii="仿宋_GB2312" w:hAnsi="仿宋_GB2312" w:eastAsia="仿宋_GB2312" w:cs="仿宋_GB2312"/>
          <w:kern w:val="0"/>
          <w:sz w:val="32"/>
          <w:szCs w:val="32"/>
          <w:lang w:val="zh-CN"/>
        </w:rPr>
        <w:t>各部门要分重点、分阶段、分专项组织开展督导检查，及时发现问题，跟踪督促整改，确保各项工作落地见效。对工作不落实、进展缓慢的，将通报批评；</w:t>
      </w:r>
      <w:r>
        <w:rPr>
          <w:rFonts w:hint="eastAsia" w:ascii="仿宋_GB2312" w:hAnsi="仿宋_GB2312" w:eastAsia="仿宋_GB2312" w:cs="仿宋_GB2312"/>
          <w:sz w:val="32"/>
          <w:szCs w:val="32"/>
        </w:rPr>
        <w:t>凡是发生较大以上或有影响的火灾的，必须严格实行责任倒查，依法依纪从严追究有关领导和人员责任。</w:t>
      </w:r>
    </w:p>
    <w:p>
      <w:pPr>
        <w:snapToGrid w:val="0"/>
        <w:spacing w:line="6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各部门工作开展情况要及时报区防火安全委员会办公室</w:t>
      </w:r>
      <w:r>
        <w:rPr>
          <w:rFonts w:hint="eastAsia" w:ascii="仿宋_GB2312" w:hAnsi="仿宋_GB2312" w:eastAsia="仿宋_GB2312" w:cs="仿宋_GB2312"/>
          <w:kern w:val="0"/>
          <w:sz w:val="32"/>
          <w:szCs w:val="32"/>
          <w:lang w:val="zh-CN"/>
        </w:rPr>
        <w:t>（211房间）</w:t>
      </w:r>
      <w:r>
        <w:rPr>
          <w:rFonts w:hint="eastAsia" w:ascii="仿宋_GB2312" w:hAnsi="仿宋_GB2312" w:eastAsia="仿宋_GB2312" w:cs="仿宋_GB2312"/>
          <w:sz w:val="32"/>
          <w:szCs w:val="32"/>
        </w:rPr>
        <w:t>，2018年6月起每月20日前上报当月工作开展情况；9月10前上报春夏火灾防控工作总结。</w:t>
      </w:r>
    </w:p>
    <w:p>
      <w:pPr>
        <w:snapToGrid w:val="0"/>
        <w:spacing w:line="6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邮箱：xzfwzx5589636@163.com</w:t>
      </w:r>
    </w:p>
    <w:p>
      <w:pPr>
        <w:snapToGrid w:val="0"/>
        <w:spacing w:line="6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电话：13569877000    联系人：夏 征</w:t>
      </w:r>
    </w:p>
    <w:p>
      <w:pPr>
        <w:autoSpaceDE w:val="0"/>
        <w:autoSpaceDN w:val="0"/>
        <w:adjustRightInd w:val="0"/>
        <w:spacing w:line="320" w:lineRule="exact"/>
        <w:ind w:firstLine="480" w:firstLineChars="150"/>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bookmarkStart w:id="0" w:name="_GoBack"/>
      <w:bookmarkEnd w:id="0"/>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ind w:firstLine="641"/>
        <w:rPr>
          <w:rFonts w:hint="eastAsia" w:ascii="仿宋_GB2312" w:hAnsi="仿宋_GB2312" w:eastAsia="仿宋_GB2312" w:cs="仿宋_GB2312"/>
          <w:kern w:val="0"/>
          <w:sz w:val="32"/>
          <w:szCs w:val="32"/>
          <w:lang w:val="zh-CN"/>
        </w:rPr>
      </w:pPr>
    </w:p>
    <w:p>
      <w:pPr>
        <w:autoSpaceDE w:val="0"/>
        <w:autoSpaceDN w:val="0"/>
        <w:adjustRightInd w:val="0"/>
        <w:spacing w:line="320" w:lineRule="exact"/>
        <w:rPr>
          <w:rFonts w:hint="eastAsia" w:ascii="仿宋_GB2312" w:hAnsi="仿宋_GB2312" w:eastAsia="仿宋_GB2312" w:cs="仿宋_GB2312"/>
          <w:kern w:val="0"/>
          <w:sz w:val="32"/>
          <w:szCs w:val="32"/>
          <w:lang w:val="zh-CN"/>
        </w:rPr>
      </w:pPr>
    </w:p>
    <w:p>
      <w:pPr>
        <w:adjustRightInd w:val="0"/>
        <w:snapToGrid w:val="0"/>
        <w:spacing w:line="20" w:lineRule="exact"/>
        <w:rPr>
          <w:rFonts w:ascii="仿宋" w:hAnsi="仿宋" w:eastAsia="仿宋"/>
          <w:snapToGrid w:val="0"/>
          <w:kern w:val="0"/>
          <w:sz w:val="32"/>
          <w:szCs w:val="32"/>
        </w:rPr>
      </w:pPr>
    </w:p>
    <w:p>
      <w:pPr>
        <w:adjustRightInd w:val="0"/>
        <w:snapToGrid w:val="0"/>
        <w:spacing w:line="20" w:lineRule="exact"/>
        <w:rPr>
          <w:rFonts w:ascii="仿宋" w:hAnsi="仿宋" w:eastAsia="仿宋"/>
          <w:snapToGrid w:val="0"/>
          <w:kern w:val="0"/>
          <w:sz w:val="32"/>
          <w:szCs w:val="32"/>
        </w:rPr>
      </w:pPr>
    </w:p>
    <w:sectPr>
      <w:headerReference r:id="rId3" w:type="default"/>
      <w:footerReference r:id="rId4" w:type="default"/>
      <w:pgSz w:w="11906" w:h="16838"/>
      <w:pgMar w:top="1418" w:right="1418" w:bottom="1418" w:left="141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neGWMboBAABYAwAADgAAAAAAAAABACAAAAAiAQAAZHJzL2Uyb0RvYy54bWxQSwUGAAAA&#10;AAYABgBZAQAATg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EF"/>
    <w:rsid w:val="00001DBE"/>
    <w:rsid w:val="000030E5"/>
    <w:rsid w:val="0001359C"/>
    <w:rsid w:val="00032DF8"/>
    <w:rsid w:val="000460E6"/>
    <w:rsid w:val="00083C44"/>
    <w:rsid w:val="00087561"/>
    <w:rsid w:val="000900AB"/>
    <w:rsid w:val="0012625C"/>
    <w:rsid w:val="001303C9"/>
    <w:rsid w:val="00131650"/>
    <w:rsid w:val="00145245"/>
    <w:rsid w:val="00161DD2"/>
    <w:rsid w:val="00170CDA"/>
    <w:rsid w:val="00180373"/>
    <w:rsid w:val="0018678B"/>
    <w:rsid w:val="001967E6"/>
    <w:rsid w:val="001A29E4"/>
    <w:rsid w:val="001C0917"/>
    <w:rsid w:val="001D7F95"/>
    <w:rsid w:val="001F13F6"/>
    <w:rsid w:val="001F1C3C"/>
    <w:rsid w:val="00211711"/>
    <w:rsid w:val="002217CA"/>
    <w:rsid w:val="00235F36"/>
    <w:rsid w:val="002460FF"/>
    <w:rsid w:val="0025133B"/>
    <w:rsid w:val="002579EF"/>
    <w:rsid w:val="00272429"/>
    <w:rsid w:val="00275054"/>
    <w:rsid w:val="002809AE"/>
    <w:rsid w:val="002A7791"/>
    <w:rsid w:val="002D13C2"/>
    <w:rsid w:val="002D141A"/>
    <w:rsid w:val="00303FD4"/>
    <w:rsid w:val="00352EC3"/>
    <w:rsid w:val="00360980"/>
    <w:rsid w:val="00375441"/>
    <w:rsid w:val="00385AEA"/>
    <w:rsid w:val="00386D6D"/>
    <w:rsid w:val="003A0889"/>
    <w:rsid w:val="003E659B"/>
    <w:rsid w:val="004438BF"/>
    <w:rsid w:val="0044457E"/>
    <w:rsid w:val="00444CBD"/>
    <w:rsid w:val="004604BB"/>
    <w:rsid w:val="0046160D"/>
    <w:rsid w:val="00473262"/>
    <w:rsid w:val="004816F1"/>
    <w:rsid w:val="00497E89"/>
    <w:rsid w:val="004A7C9F"/>
    <w:rsid w:val="004B0CF1"/>
    <w:rsid w:val="004C423C"/>
    <w:rsid w:val="004E205B"/>
    <w:rsid w:val="00507D15"/>
    <w:rsid w:val="00513EC4"/>
    <w:rsid w:val="005214B5"/>
    <w:rsid w:val="00535782"/>
    <w:rsid w:val="00536AF9"/>
    <w:rsid w:val="00544A7C"/>
    <w:rsid w:val="00556C7A"/>
    <w:rsid w:val="005B56EF"/>
    <w:rsid w:val="005F3E9C"/>
    <w:rsid w:val="005F4FD3"/>
    <w:rsid w:val="005F79BF"/>
    <w:rsid w:val="00601EFC"/>
    <w:rsid w:val="006140D0"/>
    <w:rsid w:val="006374CF"/>
    <w:rsid w:val="00687198"/>
    <w:rsid w:val="00690E07"/>
    <w:rsid w:val="00697ABD"/>
    <w:rsid w:val="006A0488"/>
    <w:rsid w:val="006A5F1E"/>
    <w:rsid w:val="006D7463"/>
    <w:rsid w:val="006E6249"/>
    <w:rsid w:val="006F7DE6"/>
    <w:rsid w:val="0071127F"/>
    <w:rsid w:val="00720DA8"/>
    <w:rsid w:val="00765FDD"/>
    <w:rsid w:val="00787614"/>
    <w:rsid w:val="007944D2"/>
    <w:rsid w:val="007C1ACC"/>
    <w:rsid w:val="007F46C5"/>
    <w:rsid w:val="00803401"/>
    <w:rsid w:val="00815E5E"/>
    <w:rsid w:val="00843E3B"/>
    <w:rsid w:val="008446AC"/>
    <w:rsid w:val="008568B8"/>
    <w:rsid w:val="008712B0"/>
    <w:rsid w:val="0087333A"/>
    <w:rsid w:val="00880393"/>
    <w:rsid w:val="008B40FD"/>
    <w:rsid w:val="008F0F0A"/>
    <w:rsid w:val="009100D3"/>
    <w:rsid w:val="0091315B"/>
    <w:rsid w:val="0091750A"/>
    <w:rsid w:val="0091799A"/>
    <w:rsid w:val="00926956"/>
    <w:rsid w:val="00932D0C"/>
    <w:rsid w:val="00941643"/>
    <w:rsid w:val="00955C7A"/>
    <w:rsid w:val="00971371"/>
    <w:rsid w:val="009809F2"/>
    <w:rsid w:val="009C395D"/>
    <w:rsid w:val="009C59F0"/>
    <w:rsid w:val="00A16E69"/>
    <w:rsid w:val="00A170FA"/>
    <w:rsid w:val="00A26284"/>
    <w:rsid w:val="00A27CB2"/>
    <w:rsid w:val="00A3147D"/>
    <w:rsid w:val="00A37E5B"/>
    <w:rsid w:val="00A431DC"/>
    <w:rsid w:val="00A45E5F"/>
    <w:rsid w:val="00A52FB3"/>
    <w:rsid w:val="00A802C1"/>
    <w:rsid w:val="00AB2527"/>
    <w:rsid w:val="00AC58AB"/>
    <w:rsid w:val="00AC5E04"/>
    <w:rsid w:val="00AF3FDF"/>
    <w:rsid w:val="00B21352"/>
    <w:rsid w:val="00B43881"/>
    <w:rsid w:val="00B52562"/>
    <w:rsid w:val="00B914AE"/>
    <w:rsid w:val="00BB541A"/>
    <w:rsid w:val="00BD104A"/>
    <w:rsid w:val="00BE2E3F"/>
    <w:rsid w:val="00BF621E"/>
    <w:rsid w:val="00BF77CA"/>
    <w:rsid w:val="00C2392B"/>
    <w:rsid w:val="00C50915"/>
    <w:rsid w:val="00C7120E"/>
    <w:rsid w:val="00C83C54"/>
    <w:rsid w:val="00C857AF"/>
    <w:rsid w:val="00CA3A5E"/>
    <w:rsid w:val="00CC24FE"/>
    <w:rsid w:val="00CC30B5"/>
    <w:rsid w:val="00CE378D"/>
    <w:rsid w:val="00CF02BE"/>
    <w:rsid w:val="00CF0B45"/>
    <w:rsid w:val="00CF6552"/>
    <w:rsid w:val="00D00A50"/>
    <w:rsid w:val="00D0586C"/>
    <w:rsid w:val="00D10266"/>
    <w:rsid w:val="00D536DF"/>
    <w:rsid w:val="00D63E12"/>
    <w:rsid w:val="00D85505"/>
    <w:rsid w:val="00D90733"/>
    <w:rsid w:val="00D92592"/>
    <w:rsid w:val="00D95E8F"/>
    <w:rsid w:val="00DA4F29"/>
    <w:rsid w:val="00DB14EE"/>
    <w:rsid w:val="00DB5C2E"/>
    <w:rsid w:val="00DC3CE9"/>
    <w:rsid w:val="00DE6408"/>
    <w:rsid w:val="00E1754F"/>
    <w:rsid w:val="00E246DF"/>
    <w:rsid w:val="00E272E8"/>
    <w:rsid w:val="00E413F7"/>
    <w:rsid w:val="00E51D0C"/>
    <w:rsid w:val="00E53ADD"/>
    <w:rsid w:val="00E55303"/>
    <w:rsid w:val="00E60222"/>
    <w:rsid w:val="00E6385A"/>
    <w:rsid w:val="00E650D3"/>
    <w:rsid w:val="00E6653A"/>
    <w:rsid w:val="00E777DE"/>
    <w:rsid w:val="00E83C2C"/>
    <w:rsid w:val="00E85B01"/>
    <w:rsid w:val="00ED20C6"/>
    <w:rsid w:val="00ED5BC6"/>
    <w:rsid w:val="00EF608B"/>
    <w:rsid w:val="00EF79CE"/>
    <w:rsid w:val="00F0417F"/>
    <w:rsid w:val="00F256DC"/>
    <w:rsid w:val="00F33A95"/>
    <w:rsid w:val="00F35EA2"/>
    <w:rsid w:val="00F56239"/>
    <w:rsid w:val="00F7454C"/>
    <w:rsid w:val="00F7704F"/>
    <w:rsid w:val="00FC1D1A"/>
    <w:rsid w:val="00FF751A"/>
    <w:rsid w:val="15BD0779"/>
    <w:rsid w:val="178570A5"/>
    <w:rsid w:val="1A895BC9"/>
    <w:rsid w:val="28BC0562"/>
    <w:rsid w:val="2DC57268"/>
    <w:rsid w:val="3B12708D"/>
    <w:rsid w:val="4588425D"/>
    <w:rsid w:val="4BCC0131"/>
    <w:rsid w:val="50035A1B"/>
    <w:rsid w:val="531F530A"/>
    <w:rsid w:val="5B0F6FF4"/>
    <w:rsid w:val="5D721700"/>
    <w:rsid w:val="5F3A7A14"/>
    <w:rsid w:val="6D0D22D6"/>
    <w:rsid w:val="719F11F6"/>
    <w:rsid w:val="7D6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link w:val="3"/>
    <w:qFormat/>
    <w:locked/>
    <w:uiPriority w:val="0"/>
    <w:rPr>
      <w:rFonts w:eastAsia="宋体"/>
      <w:kern w:val="2"/>
      <w:sz w:val="18"/>
      <w:szCs w:val="18"/>
      <w:lang w:val="en-US" w:eastAsia="zh-CN" w:bidi="ar-SA"/>
    </w:rPr>
  </w:style>
  <w:style w:type="character" w:customStyle="1" w:styleId="10">
    <w:name w:val="页脚 Char"/>
    <w:link w:val="2"/>
    <w:qFormat/>
    <w:locked/>
    <w:uiPriority w:val="99"/>
    <w:rPr>
      <w:rFonts w:eastAsia="宋体"/>
      <w:kern w:val="2"/>
      <w:sz w:val="18"/>
      <w:szCs w:val="18"/>
      <w:lang w:val="en-US" w:eastAsia="zh-CN" w:bidi="ar-SA"/>
    </w:rPr>
  </w:style>
  <w:style w:type="paragraph" w:customStyle="1" w:styleId="11">
    <w:name w:val="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2">
    <w:name w:val="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3">
    <w:name w:val="Char Char Char Char Char Char"/>
    <w:basedOn w:val="1"/>
    <w:uiPriority w:val="0"/>
    <w:rPr>
      <w:rFonts w:ascii="Tahoma" w:hAnsi="Tahoma"/>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383</Words>
  <Characters>2188</Characters>
  <Lines>18</Lines>
  <Paragraphs>5</Paragraphs>
  <TotalTime>1</TotalTime>
  <ScaleCrop>false</ScaleCrop>
  <LinksUpToDate>false</LinksUpToDate>
  <CharactersWithSpaces>2566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2018-05-08T03:02:00Z</dcterms:created>
  <dc:creator>微软用户</dc:creator>
  <cp:lastModifiedBy>Administrator</cp:lastModifiedBy>
  <cp:lastPrinted>2018-05-31T03:53:00Z</cp:lastPrinted>
  <dcterms:modified xsi:type="dcterms:W3CDTF">2018-06-15T02:54:49Z</dcterms:modified>
  <dc:title>河南省公安消防总队</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